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8D" w:rsidRDefault="001F748D" w:rsidP="001F748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747643">
        <w:rPr>
          <w:b/>
          <w:sz w:val="22"/>
          <w:szCs w:val="22"/>
        </w:rPr>
        <w:t>490</w:t>
      </w:r>
      <w:bookmarkStart w:id="0" w:name="_GoBack"/>
      <w:bookmarkEnd w:id="0"/>
      <w:r>
        <w:rPr>
          <w:b/>
          <w:sz w:val="22"/>
          <w:szCs w:val="22"/>
        </w:rPr>
        <w:t>/2016</w:t>
      </w:r>
    </w:p>
    <w:p w:rsidR="001F748D" w:rsidRDefault="001F748D" w:rsidP="001F748D">
      <w:pPr>
        <w:spacing w:line="360" w:lineRule="auto"/>
        <w:jc w:val="both"/>
        <w:rPr>
          <w:b/>
          <w:sz w:val="22"/>
          <w:szCs w:val="22"/>
        </w:rPr>
      </w:pPr>
    </w:p>
    <w:p w:rsidR="001F748D" w:rsidRDefault="001F748D" w:rsidP="001F748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 18 JULY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CASE NO. LC/H/231/14</w:t>
      </w:r>
    </w:p>
    <w:p w:rsidR="001F748D" w:rsidRDefault="001F748D" w:rsidP="001F748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713360">
        <w:rPr>
          <w:b/>
          <w:sz w:val="22"/>
          <w:szCs w:val="22"/>
        </w:rPr>
        <w:t>19 AUGUST</w:t>
      </w:r>
      <w:r>
        <w:rPr>
          <w:b/>
          <w:sz w:val="22"/>
          <w:szCs w:val="22"/>
        </w:rPr>
        <w:t xml:space="preserve"> 2016</w:t>
      </w:r>
    </w:p>
    <w:p w:rsidR="001F748D" w:rsidRDefault="001F748D" w:rsidP="001F748D">
      <w:pPr>
        <w:spacing w:line="360" w:lineRule="auto"/>
        <w:jc w:val="both"/>
        <w:rPr>
          <w:b/>
          <w:sz w:val="22"/>
          <w:szCs w:val="22"/>
        </w:rPr>
      </w:pPr>
    </w:p>
    <w:p w:rsidR="001F748D" w:rsidRDefault="001F748D" w:rsidP="001F748D">
      <w:pPr>
        <w:spacing w:line="360" w:lineRule="auto"/>
        <w:jc w:val="both"/>
      </w:pPr>
    </w:p>
    <w:p w:rsidR="001F748D" w:rsidRDefault="005E696A" w:rsidP="001F748D">
      <w:pPr>
        <w:spacing w:line="360" w:lineRule="auto"/>
        <w:jc w:val="both"/>
        <w:rPr>
          <w:b/>
        </w:rPr>
      </w:pPr>
      <w:r>
        <w:rPr>
          <w:b/>
        </w:rPr>
        <w:t xml:space="preserve">TSITSI BWANYA &amp; </w:t>
      </w:r>
      <w:r w:rsidR="00BE056E">
        <w:rPr>
          <w:b/>
        </w:rPr>
        <w:t>21</w:t>
      </w:r>
      <w:r w:rsidR="00FF0BFB">
        <w:rPr>
          <w:b/>
        </w:rPr>
        <w:t xml:space="preserve"> OTHERS</w:t>
      </w:r>
      <w:r w:rsidR="00FF0BFB">
        <w:rPr>
          <w:b/>
        </w:rPr>
        <w:tab/>
      </w:r>
      <w:r w:rsidR="001F748D">
        <w:rPr>
          <w:b/>
        </w:rPr>
        <w:tab/>
      </w:r>
      <w:r w:rsidR="001F748D">
        <w:rPr>
          <w:b/>
        </w:rPr>
        <w:tab/>
      </w:r>
      <w:r w:rsidR="001F748D">
        <w:rPr>
          <w:b/>
        </w:rPr>
        <w:tab/>
      </w:r>
      <w:r w:rsidR="001F748D">
        <w:rPr>
          <w:b/>
        </w:rPr>
        <w:tab/>
        <w:t>Appellants</w:t>
      </w:r>
    </w:p>
    <w:p w:rsidR="001F748D" w:rsidRDefault="001F748D" w:rsidP="001F748D">
      <w:pPr>
        <w:spacing w:line="360" w:lineRule="auto"/>
        <w:jc w:val="both"/>
        <w:rPr>
          <w:b/>
        </w:rPr>
      </w:pPr>
    </w:p>
    <w:p w:rsidR="00FF0BFB" w:rsidRDefault="00FF0BFB" w:rsidP="001F748D">
      <w:pPr>
        <w:spacing w:line="360" w:lineRule="auto"/>
        <w:jc w:val="both"/>
        <w:rPr>
          <w:b/>
        </w:rPr>
      </w:pPr>
      <w:r>
        <w:rPr>
          <w:b/>
        </w:rPr>
        <w:t>SCIENTIFIC &amp; INDUSTRIAL RESEARCH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F748D">
        <w:rPr>
          <w:b/>
        </w:rPr>
        <w:t>Respondent</w:t>
      </w:r>
    </w:p>
    <w:p w:rsidR="001F748D" w:rsidRDefault="00FF0BFB" w:rsidP="001F748D">
      <w:pPr>
        <w:spacing w:line="360" w:lineRule="auto"/>
        <w:jc w:val="both"/>
        <w:rPr>
          <w:b/>
        </w:rPr>
      </w:pPr>
      <w:r>
        <w:rPr>
          <w:b/>
        </w:rPr>
        <w:t>AND DEVELOPMENT CENTER (SIRDC)</w:t>
      </w:r>
      <w:r w:rsidR="001F748D">
        <w:rPr>
          <w:b/>
        </w:rPr>
        <w:t xml:space="preserve"> </w:t>
      </w:r>
      <w:r w:rsidR="001F748D">
        <w:rPr>
          <w:b/>
        </w:rPr>
        <w:tab/>
      </w:r>
    </w:p>
    <w:p w:rsidR="001F748D" w:rsidRDefault="001F748D" w:rsidP="001F748D">
      <w:pPr>
        <w:spacing w:line="360" w:lineRule="auto"/>
        <w:jc w:val="both"/>
        <w:rPr>
          <w:b/>
        </w:rPr>
      </w:pPr>
    </w:p>
    <w:p w:rsidR="001F748D" w:rsidRDefault="001F748D" w:rsidP="001F748D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>G. Musariri, Judge</w:t>
      </w:r>
      <w:r>
        <w:rPr>
          <w:b/>
        </w:rPr>
        <w:t>:</w:t>
      </w:r>
    </w:p>
    <w:p w:rsidR="001F748D" w:rsidRDefault="001F748D" w:rsidP="001F748D">
      <w:pPr>
        <w:spacing w:line="360" w:lineRule="auto"/>
        <w:jc w:val="both"/>
      </w:pPr>
    </w:p>
    <w:p w:rsidR="001F748D" w:rsidRDefault="001F748D" w:rsidP="001F748D">
      <w:pPr>
        <w:spacing w:line="360" w:lineRule="auto"/>
        <w:jc w:val="both"/>
        <w:rPr>
          <w:b/>
        </w:rPr>
      </w:pPr>
      <w:r>
        <w:rPr>
          <w:b/>
        </w:rPr>
        <w:t xml:space="preserve">For Appellants </w:t>
      </w:r>
      <w:r w:rsidR="00030571">
        <w:rPr>
          <w:b/>
        </w:rPr>
        <w:tab/>
      </w:r>
      <w:r w:rsidR="00030571">
        <w:rPr>
          <w:b/>
        </w:rPr>
        <w:tab/>
        <w:t>Mr G. Koroka, Unionist</w:t>
      </w:r>
      <w:r>
        <w:rPr>
          <w:b/>
        </w:rPr>
        <w:tab/>
      </w:r>
      <w:r>
        <w:rPr>
          <w:b/>
        </w:rPr>
        <w:tab/>
      </w:r>
    </w:p>
    <w:p w:rsidR="001F748D" w:rsidRDefault="001F748D" w:rsidP="001F748D">
      <w:pPr>
        <w:jc w:val="both"/>
        <w:rPr>
          <w:b/>
        </w:rPr>
      </w:pPr>
      <w:r>
        <w:rPr>
          <w:b/>
        </w:rPr>
        <w:tab/>
      </w:r>
    </w:p>
    <w:p w:rsidR="001F748D" w:rsidRDefault="001F748D" w:rsidP="001F748D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 w:rsidR="00030571">
        <w:rPr>
          <w:b/>
        </w:rPr>
        <w:tab/>
      </w:r>
      <w:r w:rsidR="00030571">
        <w:rPr>
          <w:b/>
        </w:rPr>
        <w:tab/>
        <w:t>Mr L. Mazhawidza, Officer</w:t>
      </w:r>
      <w:r>
        <w:rPr>
          <w:b/>
        </w:rPr>
        <w:tab/>
      </w:r>
      <w:r>
        <w:rPr>
          <w:b/>
        </w:rPr>
        <w:tab/>
      </w:r>
    </w:p>
    <w:p w:rsidR="001F748D" w:rsidRDefault="001F748D" w:rsidP="001F748D">
      <w:pPr>
        <w:spacing w:line="360" w:lineRule="auto"/>
        <w:jc w:val="both"/>
        <w:rPr>
          <w:b/>
          <w:sz w:val="28"/>
          <w:szCs w:val="28"/>
        </w:rPr>
      </w:pPr>
    </w:p>
    <w:p w:rsidR="001F748D" w:rsidRDefault="001F748D" w:rsidP="001F748D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1F748D" w:rsidRDefault="001F748D" w:rsidP="001F748D"/>
    <w:p w:rsidR="00FC168A" w:rsidRDefault="00FC168A" w:rsidP="00FE4198">
      <w:pPr>
        <w:jc w:val="both"/>
      </w:pPr>
    </w:p>
    <w:p w:rsidR="005D0074" w:rsidRDefault="00C84B65" w:rsidP="005D0074">
      <w:pPr>
        <w:spacing w:line="360" w:lineRule="auto"/>
        <w:jc w:val="both"/>
      </w:pPr>
      <w:r>
        <w:t>On 13</w:t>
      </w:r>
      <w:r w:rsidRPr="00C84B65">
        <w:rPr>
          <w:vertAlign w:val="superscript"/>
        </w:rPr>
        <w:t>th</w:t>
      </w:r>
      <w:r>
        <w:t xml:space="preserve"> February 2014 at Harare</w:t>
      </w:r>
      <w:r w:rsidR="003E6A52">
        <w:t>,</w:t>
      </w:r>
      <w:r>
        <w:t xml:space="preserve"> Arbitrator M. Dangarembizi issued an arbitration award.  In terms thereof he dismissed Appellants’ claims against Respondent.  </w:t>
      </w:r>
      <w:r w:rsidR="00EE19CD">
        <w:t>Appellants then appealed to this Court.  Respondent opposed the appeal.</w:t>
      </w:r>
    </w:p>
    <w:p w:rsidR="00EE19CD" w:rsidRDefault="00EE19CD" w:rsidP="00CC664A">
      <w:pPr>
        <w:jc w:val="both"/>
      </w:pPr>
    </w:p>
    <w:p w:rsidR="00EE19CD" w:rsidRDefault="00EE19CD" w:rsidP="005D0074">
      <w:pPr>
        <w:spacing w:line="360" w:lineRule="auto"/>
        <w:jc w:val="both"/>
      </w:pPr>
      <w:r>
        <w:t>The grounds of appeal were two-fold as follows,</w:t>
      </w:r>
    </w:p>
    <w:p w:rsidR="00EE19CD" w:rsidRDefault="00EE19CD" w:rsidP="00CC664A">
      <w:pPr>
        <w:jc w:val="both"/>
      </w:pPr>
    </w:p>
    <w:p w:rsidR="00EE19CD" w:rsidRPr="00CC664A" w:rsidRDefault="00EE19CD" w:rsidP="00CC664A">
      <w:pPr>
        <w:spacing w:line="276" w:lineRule="auto"/>
        <w:ind w:left="1440" w:hanging="720"/>
        <w:jc w:val="both"/>
        <w:rPr>
          <w:sz w:val="22"/>
          <w:szCs w:val="22"/>
        </w:rPr>
      </w:pPr>
      <w:r>
        <w:t>“1.</w:t>
      </w:r>
      <w:r>
        <w:tab/>
      </w:r>
      <w:r w:rsidR="009F65E8" w:rsidRPr="00CC664A">
        <w:rPr>
          <w:sz w:val="22"/>
          <w:szCs w:val="22"/>
        </w:rPr>
        <w:t xml:space="preserve">The Arbitrator erred by claiming that the Labour Act cannot override a clause in the Statutory Instrument which is inconsistent with it until it is repealed and registered with Section 82 of the </w:t>
      </w:r>
      <w:r w:rsidR="00A95DF3" w:rsidRPr="00CC664A">
        <w:rPr>
          <w:sz w:val="22"/>
          <w:szCs w:val="22"/>
        </w:rPr>
        <w:t>Labour Act.</w:t>
      </w:r>
    </w:p>
    <w:p w:rsidR="00A95DF3" w:rsidRPr="00CC664A" w:rsidRDefault="00A95DF3" w:rsidP="00CC664A">
      <w:pPr>
        <w:spacing w:line="276" w:lineRule="auto"/>
        <w:ind w:left="1440" w:hanging="720"/>
        <w:jc w:val="both"/>
        <w:rPr>
          <w:sz w:val="22"/>
          <w:szCs w:val="22"/>
        </w:rPr>
      </w:pPr>
      <w:r w:rsidRPr="00CC664A">
        <w:rPr>
          <w:sz w:val="22"/>
          <w:szCs w:val="22"/>
        </w:rPr>
        <w:tab/>
        <w:t xml:space="preserve">The S.I. </w:t>
      </w:r>
      <w:r w:rsidR="007B05EE" w:rsidRPr="00CC664A">
        <w:rPr>
          <w:sz w:val="22"/>
          <w:szCs w:val="22"/>
        </w:rPr>
        <w:t xml:space="preserve">of Agriculture 393 of 1993 provides that the Agreement or allowances shall not apply to contract employees.  This clause contravenes the Labour Act </w:t>
      </w:r>
      <w:r w:rsidR="00D753CE" w:rsidRPr="00CC664A">
        <w:rPr>
          <w:sz w:val="22"/>
          <w:szCs w:val="22"/>
        </w:rPr>
        <w:t>Chapter 28:01 Section 5 (Protection of employees against discrimination)</w:t>
      </w:r>
    </w:p>
    <w:p w:rsidR="00D753CE" w:rsidRPr="00CC664A" w:rsidRDefault="007B29B6" w:rsidP="00CC664A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C664A">
        <w:rPr>
          <w:sz w:val="22"/>
          <w:szCs w:val="22"/>
        </w:rPr>
        <w:t xml:space="preserve">No employer </w:t>
      </w:r>
      <w:r w:rsidR="00577302" w:rsidRPr="00CC664A">
        <w:rPr>
          <w:sz w:val="22"/>
          <w:szCs w:val="22"/>
        </w:rPr>
        <w:t xml:space="preserve">shall discriminate against any employee or prospective employee on grounds of race, tribe, place </w:t>
      </w:r>
      <w:r w:rsidR="00AF47AC" w:rsidRPr="00CC664A">
        <w:rPr>
          <w:sz w:val="22"/>
          <w:szCs w:val="22"/>
        </w:rPr>
        <w:t>of origin, political opi</w:t>
      </w:r>
      <w:r w:rsidR="00EC0963" w:rsidRPr="00CC664A">
        <w:rPr>
          <w:sz w:val="22"/>
          <w:szCs w:val="22"/>
        </w:rPr>
        <w:t xml:space="preserve">nion, colour, gender, pregnancy, Hiv/Aids status or, subject to the Disabled </w:t>
      </w:r>
      <w:r w:rsidR="00EC0963" w:rsidRPr="00CC664A">
        <w:rPr>
          <w:sz w:val="22"/>
          <w:szCs w:val="22"/>
        </w:rPr>
        <w:lastRenderedPageBreak/>
        <w:t>Persons Act [Chapter 17:07]</w:t>
      </w:r>
      <w:r w:rsidR="00620F9A">
        <w:rPr>
          <w:sz w:val="22"/>
          <w:szCs w:val="22"/>
        </w:rPr>
        <w:t>, any</w:t>
      </w:r>
      <w:r w:rsidR="0092632B" w:rsidRPr="00CC664A">
        <w:rPr>
          <w:sz w:val="22"/>
          <w:szCs w:val="22"/>
        </w:rPr>
        <w:t xml:space="preserve"> disability referred to in the definition of disabled person in the Act, in relation to –</w:t>
      </w:r>
    </w:p>
    <w:p w:rsidR="0092632B" w:rsidRPr="00CC664A" w:rsidRDefault="00D71A04" w:rsidP="00CC664A">
      <w:pPr>
        <w:spacing w:line="276" w:lineRule="auto"/>
        <w:ind w:left="2160" w:hanging="720"/>
        <w:jc w:val="both"/>
        <w:rPr>
          <w:sz w:val="22"/>
          <w:szCs w:val="22"/>
        </w:rPr>
      </w:pPr>
      <w:r w:rsidRPr="00CC664A">
        <w:rPr>
          <w:sz w:val="22"/>
          <w:szCs w:val="22"/>
        </w:rPr>
        <w:t>(iv)</w:t>
      </w:r>
      <w:r w:rsidRPr="00CC664A">
        <w:rPr>
          <w:sz w:val="22"/>
          <w:szCs w:val="22"/>
        </w:rPr>
        <w:tab/>
        <w:t>the determination or allocation of wages, salaries, pensions, accommodation, leave or such other benefits; or</w:t>
      </w:r>
    </w:p>
    <w:p w:rsidR="005244E3" w:rsidRPr="00CC664A" w:rsidRDefault="00D71A04" w:rsidP="00CC664A">
      <w:pPr>
        <w:spacing w:line="276" w:lineRule="auto"/>
        <w:ind w:left="2160" w:hanging="720"/>
        <w:jc w:val="both"/>
        <w:rPr>
          <w:sz w:val="22"/>
          <w:szCs w:val="22"/>
        </w:rPr>
      </w:pPr>
      <w:r w:rsidRPr="00CC664A">
        <w:rPr>
          <w:sz w:val="22"/>
          <w:szCs w:val="22"/>
        </w:rPr>
        <w:tab/>
        <w:t>The inconsistence between the Labour Act and the Statuto</w:t>
      </w:r>
      <w:r w:rsidR="009B70E9" w:rsidRPr="00CC664A">
        <w:rPr>
          <w:sz w:val="22"/>
          <w:szCs w:val="22"/>
        </w:rPr>
        <w:t xml:space="preserve">ry Instrument means the Act takes precedence over the Statutory Instrument as the </w:t>
      </w:r>
      <w:r w:rsidR="00F7451F" w:rsidRPr="00CC664A">
        <w:rPr>
          <w:sz w:val="22"/>
          <w:szCs w:val="22"/>
        </w:rPr>
        <w:t>code cannot be superior to the provision of the act which it is registered.  Section 2A (3) of the Act (Purpose of the Act) states</w:t>
      </w:r>
    </w:p>
    <w:p w:rsidR="005244E3" w:rsidRPr="00CC664A" w:rsidRDefault="005244E3" w:rsidP="00CC664A">
      <w:pPr>
        <w:spacing w:line="276" w:lineRule="auto"/>
        <w:ind w:left="2160" w:hanging="720"/>
        <w:jc w:val="both"/>
        <w:rPr>
          <w:sz w:val="22"/>
          <w:szCs w:val="22"/>
        </w:rPr>
      </w:pPr>
      <w:r w:rsidRPr="00CC664A">
        <w:rPr>
          <w:sz w:val="22"/>
          <w:szCs w:val="22"/>
        </w:rPr>
        <w:t xml:space="preserve">(2) </w:t>
      </w:r>
      <w:r w:rsidRPr="00CC664A">
        <w:rPr>
          <w:sz w:val="22"/>
          <w:szCs w:val="22"/>
        </w:rPr>
        <w:tab/>
        <w:t xml:space="preserve">This Act shall </w:t>
      </w:r>
      <w:r w:rsidR="006F78DB" w:rsidRPr="00CC664A">
        <w:rPr>
          <w:sz w:val="22"/>
          <w:szCs w:val="22"/>
        </w:rPr>
        <w:t>prevail over any other enactment inconsistent with it.”</w:t>
      </w:r>
      <w:r w:rsidRPr="00CC664A">
        <w:rPr>
          <w:sz w:val="22"/>
          <w:szCs w:val="22"/>
        </w:rPr>
        <w:tab/>
      </w:r>
    </w:p>
    <w:p w:rsidR="006F78DB" w:rsidRDefault="006F78DB" w:rsidP="00783534">
      <w:pPr>
        <w:jc w:val="both"/>
      </w:pPr>
    </w:p>
    <w:p w:rsidR="006F78DB" w:rsidRDefault="006F78DB" w:rsidP="006F78DB">
      <w:pPr>
        <w:spacing w:line="360" w:lineRule="auto"/>
        <w:jc w:val="both"/>
      </w:pPr>
      <w:r>
        <w:t>Appellants’</w:t>
      </w:r>
      <w:r w:rsidR="00FE4044">
        <w:t xml:space="preserve"> case was not explicitly set out in their papers.  However it appears that amongst other claims they claimed certain</w:t>
      </w:r>
      <w:r w:rsidR="00A33FD5">
        <w:t xml:space="preserve"> allowances from the Respondent</w:t>
      </w:r>
      <w:r w:rsidR="0050434B">
        <w:t>,</w:t>
      </w:r>
      <w:r w:rsidR="00A33FD5">
        <w:t xml:space="preserve"> their ex-employer.  The Arbitrator ruled that they were not entitled to the allowances.  This was on the </w:t>
      </w:r>
      <w:r w:rsidR="00684AC0">
        <w:t>b</w:t>
      </w:r>
      <w:r w:rsidR="00A33FD5">
        <w:t>asis that as contract employees, Respondents</w:t>
      </w:r>
      <w:r w:rsidR="00684AC0">
        <w:t xml:space="preserve"> were not entitled to the benefits.  The Collective Bargaining Agreement (CBA) S.I. 323/93 specifically excluded contract </w:t>
      </w:r>
      <w:r w:rsidR="00220EB4">
        <w:t xml:space="preserve">workers from those entitled to the allowances.  Appellants sought to argue in this Court that such exclusion is </w:t>
      </w:r>
      <w:r w:rsidR="00220EB4" w:rsidRPr="00940BF4">
        <w:rPr>
          <w:i/>
          <w:u w:val="single"/>
        </w:rPr>
        <w:t>ultra vires</w:t>
      </w:r>
      <w:r w:rsidR="00220EB4">
        <w:t xml:space="preserve"> the provision</w:t>
      </w:r>
      <w:r w:rsidR="00940BF4">
        <w:t>s</w:t>
      </w:r>
      <w:r w:rsidR="00220EB4">
        <w:t xml:space="preserve"> of section 5</w:t>
      </w:r>
      <w:r w:rsidR="00094143">
        <w:t>(1) of the Labour Act</w:t>
      </w:r>
      <w:r w:rsidR="000E3A90">
        <w:t xml:space="preserve"> Chapter 28:01</w:t>
      </w:r>
      <w:r w:rsidR="00094143">
        <w:t xml:space="preserve"> (hereafter called the Act).</w:t>
      </w:r>
    </w:p>
    <w:p w:rsidR="00CA76B8" w:rsidRDefault="00CA76B8" w:rsidP="004533D1">
      <w:pPr>
        <w:jc w:val="both"/>
      </w:pPr>
    </w:p>
    <w:p w:rsidR="00CA76B8" w:rsidRDefault="00CA76B8" w:rsidP="006F78DB">
      <w:pPr>
        <w:spacing w:line="360" w:lineRule="auto"/>
        <w:jc w:val="both"/>
      </w:pPr>
      <w:r>
        <w:t>Section 5 (1) of the Act prohibits discrimination on specified grounds.  These are out</w:t>
      </w:r>
      <w:r w:rsidR="00F53758">
        <w:t xml:space="preserve"> in the quotation above taken from Appellants’</w:t>
      </w:r>
      <w:r w:rsidR="00B36265">
        <w:t xml:space="preserve"> </w:t>
      </w:r>
      <w:r w:rsidR="00F53758">
        <w:t xml:space="preserve">grounds of </w:t>
      </w:r>
      <w:r w:rsidR="000263FC">
        <w:t>appeal.  The grounds include race, tribe, gender, colour or creed.  There is no mention of “contract workers”</w:t>
      </w:r>
      <w:r w:rsidR="00B36265">
        <w:t xml:space="preserve"> </w:t>
      </w:r>
      <w:r w:rsidR="000263FC">
        <w:t xml:space="preserve">as </w:t>
      </w:r>
      <w:r w:rsidR="00B36265">
        <w:t>persons protected from discrimination.  Yet Appellants are effectively alleging discrimination against</w:t>
      </w:r>
      <w:r w:rsidR="00D9348F">
        <w:t xml:space="preserve"> them as contract workers.  </w:t>
      </w:r>
      <w:r w:rsidR="00B36265">
        <w:t xml:space="preserve"> </w:t>
      </w:r>
      <w:r w:rsidR="00D9348F">
        <w:t>They</w:t>
      </w:r>
      <w:r w:rsidR="00B36265">
        <w:t xml:space="preserve"> are not covered by the Act which </w:t>
      </w:r>
      <w:r w:rsidR="007D367D">
        <w:t>they</w:t>
      </w:r>
      <w:r w:rsidR="00B36265">
        <w:t xml:space="preserve"> sought to rely on.  In any </w:t>
      </w:r>
      <w:r w:rsidR="00994B1C">
        <w:t>event I find no contradiction between the Act and the CBA.  I consider their provisions as consonant rather than contradictory as alleged.</w:t>
      </w:r>
    </w:p>
    <w:p w:rsidR="00994B1C" w:rsidRDefault="00994B1C" w:rsidP="004533D1">
      <w:pPr>
        <w:jc w:val="both"/>
      </w:pPr>
    </w:p>
    <w:p w:rsidR="00994B1C" w:rsidRDefault="0058615F" w:rsidP="006F78DB">
      <w:pPr>
        <w:spacing w:line="360" w:lineRule="auto"/>
        <w:jc w:val="both"/>
      </w:pPr>
      <w:r>
        <w:t>Appellants also sought to reopen the issue of their alleged dismissal.  That issue was not raised in their Notice of Appeal</w:t>
      </w:r>
      <w:r w:rsidR="00F407B1">
        <w:t>.  The 1</w:t>
      </w:r>
      <w:r w:rsidR="00F407B1" w:rsidRPr="00F407B1">
        <w:rPr>
          <w:vertAlign w:val="superscript"/>
        </w:rPr>
        <w:t>st</w:t>
      </w:r>
      <w:r w:rsidR="00F407B1">
        <w:t xml:space="preserve"> sentence in the notice challenged only the decision “to throw away the request by Appellants to be paid allowances.” In any case</w:t>
      </w:r>
      <w:r w:rsidR="00814B6C">
        <w:t xml:space="preserve"> Respondent showed that Appellants through their erstwhile representative conceded at conciliation that they had no valid claim on that point.</w:t>
      </w:r>
    </w:p>
    <w:p w:rsidR="001C063B" w:rsidRDefault="001C063B" w:rsidP="004533D1">
      <w:pPr>
        <w:jc w:val="both"/>
      </w:pPr>
    </w:p>
    <w:p w:rsidR="001C063B" w:rsidRDefault="001C063B" w:rsidP="006F78DB">
      <w:pPr>
        <w:spacing w:line="360" w:lineRule="auto"/>
        <w:jc w:val="both"/>
      </w:pPr>
      <w:r>
        <w:t>All in all I consider that the appeal lacks merit and perforce needs be dismissed.</w:t>
      </w:r>
    </w:p>
    <w:p w:rsidR="008956B1" w:rsidRDefault="008956B1" w:rsidP="006F78DB">
      <w:pPr>
        <w:spacing w:line="360" w:lineRule="auto"/>
        <w:jc w:val="both"/>
      </w:pPr>
    </w:p>
    <w:p w:rsidR="008956B1" w:rsidRDefault="008956B1" w:rsidP="006F78DB">
      <w:pPr>
        <w:spacing w:line="360" w:lineRule="auto"/>
        <w:jc w:val="both"/>
      </w:pPr>
    </w:p>
    <w:p w:rsidR="00C91AF7" w:rsidRDefault="00C91AF7" w:rsidP="006F78DB">
      <w:pPr>
        <w:spacing w:line="360" w:lineRule="auto"/>
        <w:jc w:val="both"/>
      </w:pPr>
    </w:p>
    <w:p w:rsidR="008956B1" w:rsidRDefault="008956B1" w:rsidP="006F78DB">
      <w:pPr>
        <w:spacing w:line="360" w:lineRule="auto"/>
        <w:jc w:val="both"/>
      </w:pPr>
    </w:p>
    <w:p w:rsidR="008956B1" w:rsidRDefault="008956B1" w:rsidP="008956B1">
      <w:pPr>
        <w:spacing w:line="36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8956B1" w:rsidRDefault="008956B1" w:rsidP="008956B1">
      <w:pPr>
        <w:jc w:val="both"/>
        <w:rPr>
          <w:b/>
        </w:rPr>
      </w:pPr>
    </w:p>
    <w:p w:rsidR="008956B1" w:rsidRDefault="008956B1" w:rsidP="008956B1">
      <w:pPr>
        <w:pStyle w:val="ListParagraph"/>
        <w:numPr>
          <w:ilvl w:val="0"/>
          <w:numId w:val="2"/>
        </w:numPr>
        <w:spacing w:line="600" w:lineRule="auto"/>
        <w:jc w:val="both"/>
        <w:rPr>
          <w:b/>
        </w:rPr>
      </w:pPr>
      <w:r>
        <w:rPr>
          <w:b/>
        </w:rPr>
        <w:t>The appeal be and is hereby dismissed; and</w:t>
      </w:r>
    </w:p>
    <w:p w:rsidR="008956B1" w:rsidRDefault="004533D1" w:rsidP="004533D1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The arbitration award issued by Arbitrator M. Dangarembizi dated 13</w:t>
      </w:r>
      <w:r w:rsidRPr="004533D1">
        <w:rPr>
          <w:b/>
          <w:vertAlign w:val="superscript"/>
        </w:rPr>
        <w:t>th</w:t>
      </w:r>
      <w:r>
        <w:rPr>
          <w:b/>
        </w:rPr>
        <w:t xml:space="preserve"> February 2014 is upheld.</w:t>
      </w:r>
    </w:p>
    <w:p w:rsidR="008956B1" w:rsidRDefault="008956B1" w:rsidP="008956B1">
      <w:pPr>
        <w:spacing w:line="360" w:lineRule="auto"/>
        <w:jc w:val="both"/>
        <w:rPr>
          <w:b/>
        </w:rPr>
      </w:pPr>
    </w:p>
    <w:p w:rsidR="008956B1" w:rsidRPr="00EA44A5" w:rsidRDefault="008956B1" w:rsidP="008956B1">
      <w:pPr>
        <w:spacing w:line="360" w:lineRule="auto"/>
        <w:jc w:val="both"/>
        <w:rPr>
          <w:b/>
        </w:rPr>
      </w:pPr>
    </w:p>
    <w:p w:rsidR="008956B1" w:rsidRPr="008C1574" w:rsidRDefault="008956B1" w:rsidP="008956B1">
      <w:pPr>
        <w:pStyle w:val="ListParagraph"/>
        <w:spacing w:line="360" w:lineRule="auto"/>
        <w:jc w:val="both"/>
        <w:rPr>
          <w:b/>
        </w:rPr>
      </w:pPr>
    </w:p>
    <w:p w:rsidR="008956B1" w:rsidRDefault="008956B1" w:rsidP="008956B1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MUSARIRI</w:t>
      </w:r>
    </w:p>
    <w:p w:rsidR="008956B1" w:rsidRDefault="008956B1" w:rsidP="008956B1">
      <w:pPr>
        <w:pStyle w:val="ListParagraph"/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J-U-D-G-E</w:t>
      </w:r>
    </w:p>
    <w:p w:rsidR="008956B1" w:rsidRPr="007C34A2" w:rsidRDefault="008956B1" w:rsidP="008956B1">
      <w:pPr>
        <w:spacing w:line="360" w:lineRule="auto"/>
        <w:jc w:val="both"/>
        <w:rPr>
          <w:lang w:val="en-ZW"/>
        </w:rPr>
      </w:pPr>
    </w:p>
    <w:p w:rsidR="008956B1" w:rsidRDefault="008956B1" w:rsidP="006F78DB">
      <w:pPr>
        <w:spacing w:line="360" w:lineRule="auto"/>
        <w:jc w:val="both"/>
      </w:pPr>
    </w:p>
    <w:sectPr w:rsidR="008956B1" w:rsidSect="00E34B83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FE7" w:rsidRDefault="00A17FE7" w:rsidP="00E34B83">
      <w:r>
        <w:separator/>
      </w:r>
    </w:p>
  </w:endnote>
  <w:endnote w:type="continuationSeparator" w:id="0">
    <w:p w:rsidR="00A17FE7" w:rsidRDefault="00A17FE7" w:rsidP="00E3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090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758" w:rsidRDefault="00F537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7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3758" w:rsidRDefault="00F537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FE7" w:rsidRDefault="00A17FE7" w:rsidP="00E34B83">
      <w:r>
        <w:separator/>
      </w:r>
    </w:p>
  </w:footnote>
  <w:footnote w:type="continuationSeparator" w:id="0">
    <w:p w:rsidR="00A17FE7" w:rsidRDefault="00A17FE7" w:rsidP="00E34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758" w:rsidRPr="00E34B83" w:rsidRDefault="00F53758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747643">
      <w:rPr>
        <w:lang w:val="en-ZW"/>
      </w:rPr>
      <w:t>490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E1247"/>
    <w:multiLevelType w:val="hybridMultilevel"/>
    <w:tmpl w:val="6B1A56EA"/>
    <w:lvl w:ilvl="0" w:tplc="D7406C9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8D"/>
    <w:rsid w:val="000263FC"/>
    <w:rsid w:val="00030571"/>
    <w:rsid w:val="00094143"/>
    <w:rsid w:val="000E3A90"/>
    <w:rsid w:val="00143353"/>
    <w:rsid w:val="001C063B"/>
    <w:rsid w:val="001F748D"/>
    <w:rsid w:val="00220EB4"/>
    <w:rsid w:val="003360DD"/>
    <w:rsid w:val="003846D2"/>
    <w:rsid w:val="003E0AF8"/>
    <w:rsid w:val="003E6A52"/>
    <w:rsid w:val="004533D1"/>
    <w:rsid w:val="0050434B"/>
    <w:rsid w:val="005244E3"/>
    <w:rsid w:val="00577302"/>
    <w:rsid w:val="0058615F"/>
    <w:rsid w:val="005D0074"/>
    <w:rsid w:val="005E696A"/>
    <w:rsid w:val="00620F9A"/>
    <w:rsid w:val="006505A4"/>
    <w:rsid w:val="00684AC0"/>
    <w:rsid w:val="006A0859"/>
    <w:rsid w:val="006D5C48"/>
    <w:rsid w:val="006F78DB"/>
    <w:rsid w:val="00713360"/>
    <w:rsid w:val="00747643"/>
    <w:rsid w:val="00783534"/>
    <w:rsid w:val="007B05EE"/>
    <w:rsid w:val="007B29B6"/>
    <w:rsid w:val="007D367D"/>
    <w:rsid w:val="00814B6C"/>
    <w:rsid w:val="008956B1"/>
    <w:rsid w:val="0092632B"/>
    <w:rsid w:val="00940BF4"/>
    <w:rsid w:val="00994B1C"/>
    <w:rsid w:val="009B70E9"/>
    <w:rsid w:val="009F65E8"/>
    <w:rsid w:val="00A17FE7"/>
    <w:rsid w:val="00A33FD5"/>
    <w:rsid w:val="00A95DF3"/>
    <w:rsid w:val="00AF47AC"/>
    <w:rsid w:val="00B36265"/>
    <w:rsid w:val="00B7102D"/>
    <w:rsid w:val="00BC1D22"/>
    <w:rsid w:val="00BE056E"/>
    <w:rsid w:val="00C4176B"/>
    <w:rsid w:val="00C84B65"/>
    <w:rsid w:val="00C91AF7"/>
    <w:rsid w:val="00CA76B8"/>
    <w:rsid w:val="00CC664A"/>
    <w:rsid w:val="00D71A04"/>
    <w:rsid w:val="00D753CE"/>
    <w:rsid w:val="00D9348F"/>
    <w:rsid w:val="00E34B83"/>
    <w:rsid w:val="00EC0963"/>
    <w:rsid w:val="00EE19CD"/>
    <w:rsid w:val="00F407B1"/>
    <w:rsid w:val="00F53758"/>
    <w:rsid w:val="00F56BE4"/>
    <w:rsid w:val="00F7451F"/>
    <w:rsid w:val="00FC168A"/>
    <w:rsid w:val="00FE4044"/>
    <w:rsid w:val="00FE4198"/>
    <w:rsid w:val="00F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48D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9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B83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4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B83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64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4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48D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9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B83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4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B83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64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4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cp:lastPrinted>2016-08-12T13:59:00Z</cp:lastPrinted>
  <dcterms:created xsi:type="dcterms:W3CDTF">2016-08-04T09:35:00Z</dcterms:created>
  <dcterms:modified xsi:type="dcterms:W3CDTF">2016-08-12T14:01:00Z</dcterms:modified>
</cp:coreProperties>
</file>