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6DB" w:rsidRPr="00A52C11" w:rsidRDefault="002422D2" w:rsidP="00A52C11">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4AF2" w:rsidRPr="00A52C11" w:rsidRDefault="00B67F49" w:rsidP="00161BB4">
      <w:pPr>
        <w:spacing w:after="0" w:line="240" w:lineRule="auto"/>
        <w:jc w:val="both"/>
        <w:rPr>
          <w:rFonts w:ascii="Times New Roman" w:hAnsi="Times New Roman" w:cs="Times New Roman"/>
          <w:sz w:val="24"/>
          <w:szCs w:val="24"/>
        </w:rPr>
      </w:pPr>
      <w:r w:rsidRPr="00A52C11">
        <w:rPr>
          <w:rFonts w:ascii="Times New Roman" w:hAnsi="Times New Roman" w:cs="Times New Roman"/>
          <w:sz w:val="24"/>
          <w:szCs w:val="24"/>
        </w:rPr>
        <w:t xml:space="preserve">TSHEPO PROPERTIES (PVT) LIMITED </w:t>
      </w:r>
      <w:r w:rsidR="00161BB4">
        <w:rPr>
          <w:rFonts w:ascii="Times New Roman" w:hAnsi="Times New Roman" w:cs="Times New Roman"/>
          <w:sz w:val="24"/>
          <w:szCs w:val="24"/>
        </w:rPr>
        <w:tab/>
      </w:r>
      <w:r w:rsidR="00161BB4">
        <w:rPr>
          <w:rFonts w:ascii="Times New Roman" w:hAnsi="Times New Roman" w:cs="Times New Roman"/>
          <w:sz w:val="24"/>
          <w:szCs w:val="24"/>
        </w:rPr>
        <w:tab/>
      </w:r>
      <w:r w:rsidR="00161BB4">
        <w:rPr>
          <w:rFonts w:ascii="Times New Roman" w:hAnsi="Times New Roman" w:cs="Times New Roman"/>
          <w:sz w:val="24"/>
          <w:szCs w:val="24"/>
        </w:rPr>
        <w:tab/>
      </w:r>
      <w:r w:rsidR="00161BB4">
        <w:rPr>
          <w:rFonts w:ascii="Times New Roman" w:hAnsi="Times New Roman" w:cs="Times New Roman"/>
          <w:sz w:val="24"/>
          <w:szCs w:val="24"/>
        </w:rPr>
        <w:tab/>
      </w:r>
    </w:p>
    <w:p w:rsidR="003F4AF2" w:rsidRPr="00A52C11" w:rsidRDefault="00161BB4" w:rsidP="00161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B67F49" w:rsidRPr="00A52C11">
        <w:rPr>
          <w:rFonts w:ascii="Times New Roman" w:hAnsi="Times New Roman" w:cs="Times New Roman"/>
          <w:sz w:val="24"/>
          <w:szCs w:val="24"/>
        </w:rPr>
        <w:t xml:space="preserve"> </w:t>
      </w:r>
    </w:p>
    <w:p w:rsidR="00B67F49" w:rsidRDefault="00B67F49" w:rsidP="00161BB4">
      <w:pPr>
        <w:spacing w:after="0" w:line="240" w:lineRule="auto"/>
        <w:jc w:val="both"/>
        <w:rPr>
          <w:rFonts w:ascii="Times New Roman" w:hAnsi="Times New Roman" w:cs="Times New Roman"/>
          <w:sz w:val="24"/>
          <w:szCs w:val="24"/>
        </w:rPr>
      </w:pPr>
      <w:r w:rsidRPr="00A52C11">
        <w:rPr>
          <w:rFonts w:ascii="Times New Roman" w:hAnsi="Times New Roman" w:cs="Times New Roman"/>
          <w:sz w:val="24"/>
          <w:szCs w:val="24"/>
        </w:rPr>
        <w:t xml:space="preserve">FELIX SENGUDZWA </w:t>
      </w:r>
      <w:r w:rsidR="00161BB4">
        <w:rPr>
          <w:rFonts w:ascii="Times New Roman" w:hAnsi="Times New Roman" w:cs="Times New Roman"/>
          <w:sz w:val="24"/>
          <w:szCs w:val="24"/>
        </w:rPr>
        <w:tab/>
      </w:r>
      <w:r w:rsidR="00161BB4">
        <w:rPr>
          <w:rFonts w:ascii="Times New Roman" w:hAnsi="Times New Roman" w:cs="Times New Roman"/>
          <w:sz w:val="24"/>
          <w:szCs w:val="24"/>
        </w:rPr>
        <w:tab/>
      </w:r>
      <w:r w:rsidR="00161BB4">
        <w:rPr>
          <w:rFonts w:ascii="Times New Roman" w:hAnsi="Times New Roman" w:cs="Times New Roman"/>
          <w:sz w:val="24"/>
          <w:szCs w:val="24"/>
        </w:rPr>
        <w:tab/>
      </w:r>
      <w:r w:rsidR="00161BB4">
        <w:rPr>
          <w:rFonts w:ascii="Times New Roman" w:hAnsi="Times New Roman" w:cs="Times New Roman"/>
          <w:sz w:val="24"/>
          <w:szCs w:val="24"/>
        </w:rPr>
        <w:tab/>
      </w:r>
      <w:r w:rsidR="00161BB4">
        <w:rPr>
          <w:rFonts w:ascii="Times New Roman" w:hAnsi="Times New Roman" w:cs="Times New Roman"/>
          <w:sz w:val="24"/>
          <w:szCs w:val="24"/>
        </w:rPr>
        <w:tab/>
      </w:r>
      <w:r w:rsidR="00161BB4">
        <w:rPr>
          <w:rFonts w:ascii="Times New Roman" w:hAnsi="Times New Roman" w:cs="Times New Roman"/>
          <w:sz w:val="24"/>
          <w:szCs w:val="24"/>
        </w:rPr>
        <w:tab/>
      </w:r>
      <w:r w:rsidR="00161BB4">
        <w:rPr>
          <w:rFonts w:ascii="Times New Roman" w:hAnsi="Times New Roman" w:cs="Times New Roman"/>
          <w:sz w:val="24"/>
          <w:szCs w:val="24"/>
        </w:rPr>
        <w:tab/>
      </w:r>
    </w:p>
    <w:p w:rsidR="00161BB4" w:rsidRPr="00A52C11" w:rsidRDefault="00161BB4" w:rsidP="00161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F66DB" w:rsidRPr="00A52C11" w:rsidRDefault="00161BB4" w:rsidP="00161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THAMARI SENGUDZWA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F66DB" w:rsidRPr="00A52C11" w:rsidRDefault="00161BB4" w:rsidP="00161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F66DB" w:rsidRPr="00A52C11" w:rsidRDefault="00CF66DB" w:rsidP="00161BB4">
      <w:pPr>
        <w:spacing w:after="0" w:line="240" w:lineRule="auto"/>
        <w:jc w:val="both"/>
        <w:rPr>
          <w:rFonts w:ascii="Times New Roman" w:hAnsi="Times New Roman" w:cs="Times New Roman"/>
          <w:sz w:val="24"/>
          <w:szCs w:val="24"/>
        </w:rPr>
      </w:pPr>
      <w:r w:rsidRPr="00A52C11">
        <w:rPr>
          <w:rFonts w:ascii="Times New Roman" w:hAnsi="Times New Roman" w:cs="Times New Roman"/>
          <w:sz w:val="24"/>
          <w:szCs w:val="24"/>
        </w:rPr>
        <w:t>CR</w:t>
      </w:r>
      <w:r w:rsidR="00161BB4">
        <w:rPr>
          <w:rFonts w:ascii="Times New Roman" w:hAnsi="Times New Roman" w:cs="Times New Roman"/>
          <w:sz w:val="24"/>
          <w:szCs w:val="24"/>
        </w:rPr>
        <w:t xml:space="preserve">OWHILL FARM (PVT) LIMITED </w:t>
      </w:r>
      <w:r w:rsidR="00161BB4">
        <w:rPr>
          <w:rFonts w:ascii="Times New Roman" w:hAnsi="Times New Roman" w:cs="Times New Roman"/>
          <w:sz w:val="24"/>
          <w:szCs w:val="24"/>
        </w:rPr>
        <w:tab/>
      </w:r>
      <w:r w:rsidR="00161BB4">
        <w:rPr>
          <w:rFonts w:ascii="Times New Roman" w:hAnsi="Times New Roman" w:cs="Times New Roman"/>
          <w:sz w:val="24"/>
          <w:szCs w:val="24"/>
        </w:rPr>
        <w:tab/>
      </w:r>
      <w:r w:rsidR="00161BB4">
        <w:rPr>
          <w:rFonts w:ascii="Times New Roman" w:hAnsi="Times New Roman" w:cs="Times New Roman"/>
          <w:sz w:val="24"/>
          <w:szCs w:val="24"/>
        </w:rPr>
        <w:tab/>
      </w:r>
      <w:r w:rsidR="00161BB4">
        <w:rPr>
          <w:rFonts w:ascii="Times New Roman" w:hAnsi="Times New Roman" w:cs="Times New Roman"/>
          <w:sz w:val="24"/>
          <w:szCs w:val="24"/>
        </w:rPr>
        <w:tab/>
      </w:r>
    </w:p>
    <w:p w:rsidR="00CF66DB" w:rsidRPr="00A52C11" w:rsidRDefault="00161BB4" w:rsidP="00161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716B" w:rsidRPr="00A52C11" w:rsidRDefault="00161BB4" w:rsidP="00161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F66DB" w:rsidRDefault="00CF66DB" w:rsidP="00161BB4">
      <w:pPr>
        <w:spacing w:after="0" w:line="240" w:lineRule="auto"/>
        <w:jc w:val="both"/>
        <w:rPr>
          <w:rFonts w:ascii="Times New Roman" w:hAnsi="Times New Roman" w:cs="Times New Roman"/>
          <w:sz w:val="24"/>
          <w:szCs w:val="24"/>
        </w:rPr>
      </w:pPr>
      <w:r w:rsidRPr="00A52C11">
        <w:rPr>
          <w:rFonts w:ascii="Times New Roman" w:hAnsi="Times New Roman" w:cs="Times New Roman"/>
          <w:sz w:val="24"/>
          <w:szCs w:val="24"/>
        </w:rPr>
        <w:t xml:space="preserve"> </w:t>
      </w:r>
    </w:p>
    <w:p w:rsidR="00161BB4" w:rsidRPr="00A52C11" w:rsidRDefault="00161BB4" w:rsidP="00161BB4">
      <w:pPr>
        <w:spacing w:after="0" w:line="240" w:lineRule="auto"/>
        <w:jc w:val="both"/>
        <w:rPr>
          <w:rFonts w:ascii="Times New Roman" w:hAnsi="Times New Roman" w:cs="Times New Roman"/>
          <w:sz w:val="24"/>
          <w:szCs w:val="24"/>
        </w:rPr>
      </w:pPr>
    </w:p>
    <w:p w:rsidR="00CF66DB" w:rsidRPr="00A52C11" w:rsidRDefault="00CF66DB" w:rsidP="00A52C11">
      <w:pPr>
        <w:spacing w:after="0" w:line="240" w:lineRule="auto"/>
        <w:jc w:val="both"/>
        <w:rPr>
          <w:rFonts w:ascii="Times New Roman" w:hAnsi="Times New Roman" w:cs="Times New Roman"/>
          <w:sz w:val="24"/>
          <w:szCs w:val="24"/>
        </w:rPr>
      </w:pPr>
      <w:r w:rsidRPr="00A52C11">
        <w:rPr>
          <w:rFonts w:ascii="Times New Roman" w:hAnsi="Times New Roman" w:cs="Times New Roman"/>
          <w:sz w:val="24"/>
          <w:szCs w:val="24"/>
        </w:rPr>
        <w:t>HIGH COURT OF ZIMBABWE</w:t>
      </w:r>
    </w:p>
    <w:p w:rsidR="00CF66DB" w:rsidRPr="00A52C11" w:rsidRDefault="00CF66DB" w:rsidP="00A52C11">
      <w:pPr>
        <w:spacing w:after="0" w:line="240" w:lineRule="auto"/>
        <w:jc w:val="both"/>
        <w:rPr>
          <w:rFonts w:ascii="Times New Roman" w:hAnsi="Times New Roman" w:cs="Times New Roman"/>
          <w:b/>
          <w:sz w:val="24"/>
          <w:szCs w:val="24"/>
        </w:rPr>
      </w:pPr>
      <w:r w:rsidRPr="00A52C11">
        <w:rPr>
          <w:rFonts w:ascii="Times New Roman" w:hAnsi="Times New Roman" w:cs="Times New Roman"/>
          <w:b/>
          <w:sz w:val="24"/>
          <w:szCs w:val="24"/>
        </w:rPr>
        <w:t>TAKUVA J</w:t>
      </w:r>
    </w:p>
    <w:p w:rsidR="00CF66DB" w:rsidRPr="00A52C11" w:rsidRDefault="00CF663E" w:rsidP="00A52C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04 July 2024 &amp; 15 July 2025 </w:t>
      </w:r>
    </w:p>
    <w:p w:rsidR="00EE716B" w:rsidRPr="00A52C11" w:rsidRDefault="00EE716B" w:rsidP="00A52C11">
      <w:pPr>
        <w:spacing w:after="0" w:line="360" w:lineRule="auto"/>
        <w:jc w:val="both"/>
        <w:rPr>
          <w:rFonts w:ascii="Times New Roman" w:hAnsi="Times New Roman" w:cs="Times New Roman"/>
          <w:sz w:val="24"/>
          <w:szCs w:val="24"/>
        </w:rPr>
      </w:pPr>
    </w:p>
    <w:p w:rsidR="00CF66DB" w:rsidRPr="00A52C11" w:rsidRDefault="00491370" w:rsidP="00A52C11">
      <w:pPr>
        <w:spacing w:line="360" w:lineRule="auto"/>
        <w:jc w:val="both"/>
        <w:rPr>
          <w:rFonts w:ascii="Times New Roman" w:hAnsi="Times New Roman" w:cs="Times New Roman"/>
          <w:sz w:val="24"/>
          <w:szCs w:val="24"/>
        </w:rPr>
      </w:pPr>
      <w:r>
        <w:rPr>
          <w:rFonts w:ascii="Times New Roman" w:hAnsi="Times New Roman" w:cs="Times New Roman"/>
          <w:sz w:val="24"/>
          <w:szCs w:val="24"/>
        </w:rPr>
        <w:t>Opposed Application f</w:t>
      </w:r>
      <w:r w:rsidR="00CF66DB" w:rsidRPr="00A52C11">
        <w:rPr>
          <w:rFonts w:ascii="Times New Roman" w:hAnsi="Times New Roman" w:cs="Times New Roman"/>
          <w:sz w:val="24"/>
          <w:szCs w:val="24"/>
        </w:rPr>
        <w:t xml:space="preserve">or </w:t>
      </w:r>
      <w:r w:rsidR="00473E37" w:rsidRPr="00A52C11">
        <w:rPr>
          <w:rFonts w:ascii="Times New Roman" w:hAnsi="Times New Roman" w:cs="Times New Roman"/>
          <w:sz w:val="24"/>
          <w:szCs w:val="24"/>
        </w:rPr>
        <w:t>a</w:t>
      </w:r>
      <w:r w:rsidR="00CF66DB" w:rsidRPr="00A52C11">
        <w:rPr>
          <w:rFonts w:ascii="Times New Roman" w:hAnsi="Times New Roman" w:cs="Times New Roman"/>
          <w:sz w:val="24"/>
          <w:szCs w:val="24"/>
        </w:rPr>
        <w:t xml:space="preserve"> Declarator</w:t>
      </w:r>
    </w:p>
    <w:p w:rsidR="009F524A" w:rsidRDefault="00A52C11" w:rsidP="00A52C11">
      <w:pPr>
        <w:spacing w:after="0" w:line="240" w:lineRule="auto"/>
        <w:jc w:val="both"/>
        <w:rPr>
          <w:rFonts w:ascii="Times New Roman" w:hAnsi="Times New Roman" w:cs="Times New Roman"/>
          <w:sz w:val="24"/>
          <w:szCs w:val="24"/>
        </w:rPr>
      </w:pPr>
      <w:r w:rsidRPr="00A52C11">
        <w:rPr>
          <w:rFonts w:ascii="Times New Roman" w:hAnsi="Times New Roman" w:cs="Times New Roman"/>
          <w:i/>
          <w:sz w:val="24"/>
          <w:szCs w:val="24"/>
        </w:rPr>
        <w:t xml:space="preserve">Y M Chigodora </w:t>
      </w:r>
      <w:r w:rsidR="00CF66DB" w:rsidRPr="00A52C11">
        <w:rPr>
          <w:rFonts w:ascii="Times New Roman" w:hAnsi="Times New Roman" w:cs="Times New Roman"/>
          <w:sz w:val="24"/>
          <w:szCs w:val="24"/>
        </w:rPr>
        <w:t>for the applicant</w:t>
      </w:r>
    </w:p>
    <w:p w:rsidR="00CF66DB" w:rsidRPr="009F524A" w:rsidRDefault="009F524A" w:rsidP="00A52C11">
      <w:pPr>
        <w:spacing w:after="0" w:line="240" w:lineRule="auto"/>
        <w:jc w:val="both"/>
        <w:rPr>
          <w:rFonts w:ascii="Times New Roman" w:hAnsi="Times New Roman" w:cs="Times New Roman"/>
          <w:sz w:val="24"/>
          <w:szCs w:val="24"/>
        </w:rPr>
      </w:pPr>
      <w:r w:rsidRPr="009F524A">
        <w:rPr>
          <w:rFonts w:ascii="Times New Roman" w:hAnsi="Times New Roman" w:cs="Times New Roman"/>
          <w:i/>
          <w:sz w:val="24"/>
          <w:szCs w:val="24"/>
        </w:rPr>
        <w:t xml:space="preserve">S Nyawo </w:t>
      </w:r>
      <w:r w:rsidR="00CF66DB" w:rsidRPr="009F524A">
        <w:rPr>
          <w:rFonts w:ascii="Times New Roman" w:hAnsi="Times New Roman" w:cs="Times New Roman"/>
          <w:sz w:val="24"/>
          <w:szCs w:val="24"/>
        </w:rPr>
        <w:t>for the</w:t>
      </w:r>
      <w:r w:rsidRPr="009F524A">
        <w:rPr>
          <w:rFonts w:ascii="Times New Roman" w:hAnsi="Times New Roman" w:cs="Times New Roman"/>
          <w:sz w:val="24"/>
          <w:szCs w:val="24"/>
        </w:rPr>
        <w:t xml:space="preserve"> 1</w:t>
      </w:r>
      <w:r w:rsidRPr="009F524A">
        <w:rPr>
          <w:rFonts w:ascii="Times New Roman" w:hAnsi="Times New Roman" w:cs="Times New Roman"/>
          <w:sz w:val="24"/>
          <w:szCs w:val="24"/>
          <w:vertAlign w:val="superscript"/>
        </w:rPr>
        <w:t>st</w:t>
      </w:r>
      <w:r w:rsidRPr="009F524A">
        <w:rPr>
          <w:rFonts w:ascii="Times New Roman" w:hAnsi="Times New Roman" w:cs="Times New Roman"/>
          <w:sz w:val="24"/>
          <w:szCs w:val="24"/>
        </w:rPr>
        <w:t xml:space="preserve"> and </w:t>
      </w:r>
      <w:r w:rsidR="000F6E02">
        <w:rPr>
          <w:rFonts w:ascii="Times New Roman" w:hAnsi="Times New Roman" w:cs="Times New Roman"/>
          <w:sz w:val="24"/>
          <w:szCs w:val="24"/>
        </w:rPr>
        <w:t>3</w:t>
      </w:r>
      <w:r w:rsidR="000F6E02" w:rsidRPr="000F6E02">
        <w:rPr>
          <w:rFonts w:ascii="Times New Roman" w:hAnsi="Times New Roman" w:cs="Times New Roman"/>
          <w:sz w:val="24"/>
          <w:szCs w:val="24"/>
          <w:vertAlign w:val="superscript"/>
        </w:rPr>
        <w:t>rd</w:t>
      </w:r>
      <w:r w:rsidR="000F6E02">
        <w:rPr>
          <w:rFonts w:ascii="Times New Roman" w:hAnsi="Times New Roman" w:cs="Times New Roman"/>
          <w:sz w:val="24"/>
          <w:szCs w:val="24"/>
        </w:rPr>
        <w:t xml:space="preserve"> </w:t>
      </w:r>
      <w:r w:rsidR="00CF66DB" w:rsidRPr="009F524A">
        <w:rPr>
          <w:rFonts w:ascii="Times New Roman" w:hAnsi="Times New Roman" w:cs="Times New Roman"/>
          <w:sz w:val="24"/>
          <w:szCs w:val="24"/>
        </w:rPr>
        <w:t>respondents</w:t>
      </w:r>
    </w:p>
    <w:p w:rsidR="00CF66DB" w:rsidRPr="00A52C11" w:rsidRDefault="00CF66DB" w:rsidP="00A52C11">
      <w:pPr>
        <w:spacing w:after="0" w:line="240" w:lineRule="auto"/>
        <w:jc w:val="both"/>
        <w:rPr>
          <w:rFonts w:ascii="Times New Roman" w:hAnsi="Times New Roman" w:cs="Times New Roman"/>
          <w:i/>
          <w:sz w:val="24"/>
          <w:szCs w:val="24"/>
        </w:rPr>
      </w:pPr>
      <w:r w:rsidRPr="00A52C11">
        <w:rPr>
          <w:rFonts w:ascii="Times New Roman" w:hAnsi="Times New Roman" w:cs="Times New Roman"/>
          <w:i/>
          <w:sz w:val="24"/>
          <w:szCs w:val="24"/>
        </w:rPr>
        <w:t xml:space="preserve">No appearance </w:t>
      </w:r>
      <w:r w:rsidRPr="009F524A">
        <w:rPr>
          <w:rFonts w:ascii="Times New Roman" w:hAnsi="Times New Roman" w:cs="Times New Roman"/>
          <w:sz w:val="24"/>
          <w:szCs w:val="24"/>
        </w:rPr>
        <w:t xml:space="preserve">from the </w:t>
      </w:r>
      <w:r w:rsidR="000F6E02">
        <w:rPr>
          <w:rFonts w:ascii="Times New Roman" w:hAnsi="Times New Roman" w:cs="Times New Roman"/>
          <w:sz w:val="24"/>
          <w:szCs w:val="24"/>
        </w:rPr>
        <w:t>2</w:t>
      </w:r>
      <w:r w:rsidR="000F6E02" w:rsidRPr="000F6E02">
        <w:rPr>
          <w:rFonts w:ascii="Times New Roman" w:hAnsi="Times New Roman" w:cs="Times New Roman"/>
          <w:sz w:val="24"/>
          <w:szCs w:val="24"/>
          <w:vertAlign w:val="superscript"/>
        </w:rPr>
        <w:t>nd</w:t>
      </w:r>
      <w:r w:rsidRPr="009F524A">
        <w:rPr>
          <w:rFonts w:ascii="Times New Roman" w:hAnsi="Times New Roman" w:cs="Times New Roman"/>
          <w:sz w:val="24"/>
          <w:szCs w:val="24"/>
        </w:rPr>
        <w:t xml:space="preserve"> and 4</w:t>
      </w:r>
      <w:r w:rsidRPr="009F524A">
        <w:rPr>
          <w:rFonts w:ascii="Times New Roman" w:hAnsi="Times New Roman" w:cs="Times New Roman"/>
          <w:sz w:val="24"/>
          <w:szCs w:val="24"/>
          <w:vertAlign w:val="superscript"/>
        </w:rPr>
        <w:t>th</w:t>
      </w:r>
      <w:r w:rsidRPr="009F524A">
        <w:rPr>
          <w:rFonts w:ascii="Times New Roman" w:hAnsi="Times New Roman" w:cs="Times New Roman"/>
          <w:sz w:val="24"/>
          <w:szCs w:val="24"/>
        </w:rPr>
        <w:t xml:space="preserve"> respondents</w:t>
      </w:r>
      <w:r w:rsidRPr="00A52C11">
        <w:rPr>
          <w:rFonts w:ascii="Times New Roman" w:hAnsi="Times New Roman" w:cs="Times New Roman"/>
          <w:i/>
          <w:sz w:val="24"/>
          <w:szCs w:val="24"/>
        </w:rPr>
        <w:t xml:space="preserve"> </w:t>
      </w:r>
    </w:p>
    <w:p w:rsidR="00EE716B" w:rsidRPr="00A52C11" w:rsidRDefault="00EE716B" w:rsidP="00A52C11">
      <w:pPr>
        <w:spacing w:after="0" w:line="240" w:lineRule="auto"/>
        <w:jc w:val="both"/>
        <w:rPr>
          <w:rFonts w:ascii="Times New Roman" w:hAnsi="Times New Roman" w:cs="Times New Roman"/>
          <w:i/>
          <w:sz w:val="24"/>
          <w:szCs w:val="24"/>
        </w:rPr>
      </w:pPr>
    </w:p>
    <w:p w:rsidR="00EE716B" w:rsidRPr="00A52C11" w:rsidRDefault="00EE716B" w:rsidP="00491370">
      <w:pPr>
        <w:spacing w:after="0" w:line="360" w:lineRule="auto"/>
        <w:ind w:firstLine="720"/>
        <w:jc w:val="both"/>
        <w:rPr>
          <w:rFonts w:ascii="Times New Roman" w:hAnsi="Times New Roman" w:cs="Times New Roman"/>
          <w:sz w:val="24"/>
          <w:szCs w:val="24"/>
        </w:rPr>
      </w:pPr>
      <w:r w:rsidRPr="00A52C11">
        <w:rPr>
          <w:rFonts w:ascii="Times New Roman" w:hAnsi="Times New Roman" w:cs="Times New Roman"/>
          <w:sz w:val="24"/>
          <w:szCs w:val="24"/>
        </w:rPr>
        <w:t xml:space="preserve">TAKUVA J: </w:t>
      </w:r>
      <w:r w:rsidR="00491370">
        <w:rPr>
          <w:rFonts w:ascii="Times New Roman" w:hAnsi="Times New Roman" w:cs="Times New Roman"/>
          <w:sz w:val="24"/>
          <w:szCs w:val="24"/>
        </w:rPr>
        <w:t xml:space="preserve"> </w:t>
      </w:r>
      <w:r w:rsidRPr="00A52C11">
        <w:rPr>
          <w:rFonts w:ascii="Times New Roman" w:hAnsi="Times New Roman" w:cs="Times New Roman"/>
          <w:sz w:val="24"/>
          <w:szCs w:val="24"/>
        </w:rPr>
        <w:t>This is a court application for a declarator and ancillary relief. Through this application, the applicant requests the Court to declare it the lawful holder of rights to an undivided 0.0298% share, specifically share number 370, in Lot 3 of the Borrowdale Estate.</w:t>
      </w:r>
    </w:p>
    <w:p w:rsidR="00EE716B" w:rsidRPr="00A52C11" w:rsidRDefault="00EE716B" w:rsidP="00491370">
      <w:pPr>
        <w:spacing w:after="0" w:line="360" w:lineRule="auto"/>
        <w:jc w:val="both"/>
        <w:rPr>
          <w:rFonts w:ascii="Times New Roman" w:hAnsi="Times New Roman" w:cs="Times New Roman"/>
          <w:b/>
          <w:sz w:val="24"/>
          <w:szCs w:val="24"/>
        </w:rPr>
      </w:pPr>
      <w:r w:rsidRPr="00A52C11">
        <w:rPr>
          <w:rFonts w:ascii="Times New Roman" w:hAnsi="Times New Roman" w:cs="Times New Roman"/>
          <w:b/>
          <w:sz w:val="24"/>
          <w:szCs w:val="24"/>
        </w:rPr>
        <w:t>FACTUAL BACKGROUND</w:t>
      </w:r>
    </w:p>
    <w:p w:rsidR="005B4962" w:rsidRPr="00A52C11" w:rsidRDefault="00B67F49" w:rsidP="00A52C11">
      <w:pPr>
        <w:spacing w:line="360" w:lineRule="auto"/>
        <w:jc w:val="both"/>
        <w:rPr>
          <w:rFonts w:ascii="Times New Roman" w:hAnsi="Times New Roman" w:cs="Times New Roman"/>
          <w:b/>
          <w:sz w:val="24"/>
          <w:szCs w:val="24"/>
        </w:rPr>
      </w:pPr>
      <w:r w:rsidRPr="00A52C11">
        <w:rPr>
          <w:rFonts w:ascii="Times New Roman" w:hAnsi="Times New Roman" w:cs="Times New Roman"/>
          <w:b/>
          <w:sz w:val="24"/>
          <w:szCs w:val="24"/>
        </w:rPr>
        <w:t>Applicant’s Case</w:t>
      </w:r>
    </w:p>
    <w:p w:rsidR="005B4962" w:rsidRPr="00A52C11" w:rsidRDefault="005B4962" w:rsidP="00491370">
      <w:pPr>
        <w:spacing w:after="0" w:line="360" w:lineRule="auto"/>
        <w:ind w:firstLine="720"/>
        <w:jc w:val="both"/>
        <w:rPr>
          <w:rFonts w:ascii="Times New Roman" w:hAnsi="Times New Roman" w:cs="Times New Roman"/>
          <w:sz w:val="24"/>
          <w:szCs w:val="24"/>
        </w:rPr>
      </w:pPr>
      <w:r w:rsidRPr="00A52C11">
        <w:rPr>
          <w:rFonts w:ascii="Times New Roman" w:hAnsi="Times New Roman" w:cs="Times New Roman"/>
          <w:sz w:val="24"/>
          <w:szCs w:val="24"/>
        </w:rPr>
        <w:t>In its founding affidavit, the applicant states that it acquired title to Stand 3704, Lot J, Borrowdale Estate, in June 2010. It claims that i</w:t>
      </w:r>
      <w:r w:rsidR="00473E37">
        <w:rPr>
          <w:rFonts w:ascii="Times New Roman" w:hAnsi="Times New Roman" w:cs="Times New Roman"/>
          <w:sz w:val="24"/>
          <w:szCs w:val="24"/>
        </w:rPr>
        <w:t xml:space="preserve">n 2020, it discovered that the first </w:t>
      </w:r>
      <w:r w:rsidR="00473E37" w:rsidRPr="00A52C11">
        <w:rPr>
          <w:rFonts w:ascii="Times New Roman" w:hAnsi="Times New Roman" w:cs="Times New Roman"/>
          <w:sz w:val="24"/>
          <w:szCs w:val="24"/>
        </w:rPr>
        <w:t>respondent</w:t>
      </w:r>
      <w:r w:rsidRPr="00A52C11">
        <w:rPr>
          <w:rFonts w:ascii="Times New Roman" w:hAnsi="Times New Roman" w:cs="Times New Roman"/>
          <w:sz w:val="24"/>
          <w:szCs w:val="24"/>
        </w:rPr>
        <w:t xml:space="preserve"> was occupying the property without authorization. Despite multiple reques</w:t>
      </w:r>
      <w:r w:rsidR="00473E37">
        <w:rPr>
          <w:rFonts w:ascii="Times New Roman" w:hAnsi="Times New Roman" w:cs="Times New Roman"/>
          <w:sz w:val="24"/>
          <w:szCs w:val="24"/>
        </w:rPr>
        <w:t>ts to vacate the premises, the first</w:t>
      </w:r>
      <w:r w:rsidRPr="00A52C11">
        <w:rPr>
          <w:rFonts w:ascii="Times New Roman" w:hAnsi="Times New Roman" w:cs="Times New Roman"/>
          <w:sz w:val="24"/>
          <w:szCs w:val="24"/>
        </w:rPr>
        <w:t xml:space="preserve"> respondent allegedly refused to comply. The applicant further states that its legal representatives </w:t>
      </w:r>
      <w:r w:rsidR="00473E37">
        <w:rPr>
          <w:rFonts w:ascii="Times New Roman" w:hAnsi="Times New Roman" w:cs="Times New Roman"/>
          <w:sz w:val="24"/>
          <w:szCs w:val="24"/>
        </w:rPr>
        <w:t>issued a formal demand for the first</w:t>
      </w:r>
      <w:r w:rsidRPr="00A52C11">
        <w:rPr>
          <w:rFonts w:ascii="Times New Roman" w:hAnsi="Times New Roman" w:cs="Times New Roman"/>
          <w:sz w:val="24"/>
          <w:szCs w:val="24"/>
        </w:rPr>
        <w:t xml:space="preserve"> respondent to vacate the property, but this was ignored. Consequently, the applicant</w:t>
      </w:r>
      <w:r w:rsidR="009F524A">
        <w:rPr>
          <w:rFonts w:ascii="Times New Roman" w:hAnsi="Times New Roman" w:cs="Times New Roman"/>
          <w:sz w:val="24"/>
          <w:szCs w:val="24"/>
        </w:rPr>
        <w:t xml:space="preserve"> </w:t>
      </w:r>
      <w:r w:rsidRPr="00A52C11">
        <w:rPr>
          <w:rFonts w:ascii="Times New Roman" w:hAnsi="Times New Roman" w:cs="Times New Roman"/>
          <w:sz w:val="24"/>
          <w:szCs w:val="24"/>
        </w:rPr>
        <w:t>initiated eviction proceedings against the 1</w:t>
      </w:r>
      <w:r w:rsidRPr="00A52C11">
        <w:rPr>
          <w:rFonts w:ascii="Times New Roman" w:hAnsi="Times New Roman" w:cs="Times New Roman"/>
          <w:sz w:val="24"/>
          <w:szCs w:val="24"/>
          <w:vertAlign w:val="superscript"/>
        </w:rPr>
        <w:t>st</w:t>
      </w:r>
      <w:r w:rsidRPr="00A52C11">
        <w:rPr>
          <w:rFonts w:ascii="Times New Roman" w:hAnsi="Times New Roman" w:cs="Times New Roman"/>
          <w:sz w:val="24"/>
          <w:szCs w:val="24"/>
        </w:rPr>
        <w:t xml:space="preserve"> respondent in the Magistrates' Civil Court under case number HRE C-CG2692/22, resulting in a default judgment on 21 No</w:t>
      </w:r>
      <w:r w:rsidR="00473E37">
        <w:rPr>
          <w:rFonts w:ascii="Times New Roman" w:hAnsi="Times New Roman" w:cs="Times New Roman"/>
          <w:sz w:val="24"/>
          <w:szCs w:val="24"/>
        </w:rPr>
        <w:t>vember 2022. Subsequently, the first</w:t>
      </w:r>
      <w:r w:rsidRPr="00A52C11">
        <w:rPr>
          <w:rFonts w:ascii="Times New Roman" w:hAnsi="Times New Roman" w:cs="Times New Roman"/>
          <w:sz w:val="24"/>
          <w:szCs w:val="24"/>
        </w:rPr>
        <w:t xml:space="preserve"> respondent filed an application to rescind the default judgment, which was served on the applicant on 20 February 2023. Upon reviewing the rescission application, the applicant discovered that a Deed of Transfer exists in favor of both </w:t>
      </w:r>
      <w:r w:rsidR="00473E37">
        <w:rPr>
          <w:rFonts w:ascii="Times New Roman" w:hAnsi="Times New Roman" w:cs="Times New Roman"/>
          <w:sz w:val="24"/>
          <w:szCs w:val="24"/>
        </w:rPr>
        <w:lastRenderedPageBreak/>
        <w:t>the first and second</w:t>
      </w:r>
      <w:r w:rsidRPr="00A52C11">
        <w:rPr>
          <w:rFonts w:ascii="Times New Roman" w:hAnsi="Times New Roman" w:cs="Times New Roman"/>
          <w:sz w:val="24"/>
          <w:szCs w:val="24"/>
        </w:rPr>
        <w:t xml:space="preserve"> respondents, granting them rights over the same property. In light of the conflicting claims to ownership, the applicant argues that it is necessary for the Court to clarify the parties’ respective rights and to in</w:t>
      </w:r>
      <w:r w:rsidR="00473E37">
        <w:rPr>
          <w:rFonts w:ascii="Times New Roman" w:hAnsi="Times New Roman" w:cs="Times New Roman"/>
          <w:sz w:val="24"/>
          <w:szCs w:val="24"/>
        </w:rPr>
        <w:t>validate the title held by the first</w:t>
      </w:r>
      <w:r w:rsidRPr="00A52C11">
        <w:rPr>
          <w:rFonts w:ascii="Times New Roman" w:hAnsi="Times New Roman" w:cs="Times New Roman"/>
          <w:sz w:val="24"/>
          <w:szCs w:val="24"/>
        </w:rPr>
        <w:t xml:space="preserve"> respondent. As such, the applicant seeks a declaratory order confirming its ownership of the disputed stand.</w:t>
      </w:r>
    </w:p>
    <w:p w:rsidR="005B4962" w:rsidRPr="00A52C11" w:rsidRDefault="00473E37" w:rsidP="004913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opposing affidavit, the first</w:t>
      </w:r>
      <w:r w:rsidR="005B4962" w:rsidRPr="00A52C11">
        <w:rPr>
          <w:rFonts w:ascii="Times New Roman" w:hAnsi="Times New Roman" w:cs="Times New Roman"/>
          <w:sz w:val="24"/>
          <w:szCs w:val="24"/>
        </w:rPr>
        <w:t xml:space="preserve"> respondent raises several </w:t>
      </w:r>
      <w:r w:rsidR="005B4962" w:rsidRPr="00A52C11">
        <w:rPr>
          <w:rFonts w:ascii="Times New Roman" w:hAnsi="Times New Roman" w:cs="Times New Roman"/>
          <w:i/>
          <w:sz w:val="24"/>
          <w:szCs w:val="24"/>
        </w:rPr>
        <w:t>points in limine</w:t>
      </w:r>
      <w:r w:rsidR="005B4962" w:rsidRPr="00A52C11">
        <w:rPr>
          <w:rFonts w:ascii="Times New Roman" w:hAnsi="Times New Roman" w:cs="Times New Roman"/>
          <w:sz w:val="24"/>
          <w:szCs w:val="24"/>
        </w:rPr>
        <w:t>. He argues that the applicant's application is fundamentally flawed. Specifically, he contends that there is no valid founding affidavit before the court because it lacks the necessary commissioner of oaths stamp, rendering the affidavit uncommissioned. The affidavit only bears the deponent's signature on the lines where a commissioner of oaths should have sign</w:t>
      </w:r>
      <w:r>
        <w:rPr>
          <w:rFonts w:ascii="Times New Roman" w:hAnsi="Times New Roman" w:cs="Times New Roman"/>
          <w:sz w:val="24"/>
          <w:szCs w:val="24"/>
        </w:rPr>
        <w:t>ed, but it is not stamped. The first</w:t>
      </w:r>
      <w:r w:rsidR="005B4962" w:rsidRPr="00A52C11">
        <w:rPr>
          <w:rFonts w:ascii="Times New Roman" w:hAnsi="Times New Roman" w:cs="Times New Roman"/>
          <w:sz w:val="24"/>
          <w:szCs w:val="24"/>
        </w:rPr>
        <w:t xml:space="preserve"> respondent also claims that Annexure “A” </w:t>
      </w:r>
      <w:r w:rsidR="0045747E" w:rsidRPr="00A52C11">
        <w:rPr>
          <w:rFonts w:ascii="Times New Roman" w:hAnsi="Times New Roman" w:cs="Times New Roman"/>
          <w:sz w:val="24"/>
          <w:szCs w:val="24"/>
        </w:rPr>
        <w:t xml:space="preserve">which is </w:t>
      </w:r>
      <w:r w:rsidR="005B4962" w:rsidRPr="00A52C11">
        <w:rPr>
          <w:rFonts w:ascii="Times New Roman" w:hAnsi="Times New Roman" w:cs="Times New Roman"/>
          <w:sz w:val="24"/>
          <w:szCs w:val="24"/>
        </w:rPr>
        <w:t>the resolution</w:t>
      </w:r>
      <w:r w:rsidR="0045747E" w:rsidRPr="00A52C11">
        <w:rPr>
          <w:rFonts w:ascii="Times New Roman" w:hAnsi="Times New Roman" w:cs="Times New Roman"/>
          <w:sz w:val="24"/>
          <w:szCs w:val="24"/>
        </w:rPr>
        <w:t>,</w:t>
      </w:r>
      <w:r w:rsidR="005B4962" w:rsidRPr="00A52C11">
        <w:rPr>
          <w:rFonts w:ascii="Times New Roman" w:hAnsi="Times New Roman" w:cs="Times New Roman"/>
          <w:sz w:val="24"/>
          <w:szCs w:val="24"/>
        </w:rPr>
        <w:t xml:space="preserve"> is defective, as it is neither signed by the chairman nor dated. He further argues that no   evidence of authority for the deponent to swear the affidavit has been submitted, meaning the deponent is acting without proper authorization, effectively on a frolic</w:t>
      </w:r>
      <w:r>
        <w:rPr>
          <w:rFonts w:ascii="Times New Roman" w:hAnsi="Times New Roman" w:cs="Times New Roman"/>
          <w:sz w:val="24"/>
          <w:szCs w:val="24"/>
        </w:rPr>
        <w:t xml:space="preserve"> of his own. Additionally, the first</w:t>
      </w:r>
      <w:r w:rsidR="005B4962" w:rsidRPr="00A52C11">
        <w:rPr>
          <w:rFonts w:ascii="Times New Roman" w:hAnsi="Times New Roman" w:cs="Times New Roman"/>
          <w:sz w:val="24"/>
          <w:szCs w:val="24"/>
        </w:rPr>
        <w:t xml:space="preserve"> respondent points out that the applicant’s company address at the bottom of Annexure “A”, listed as 3703 Crowhill Estate, correspond</w:t>
      </w:r>
      <w:r>
        <w:rPr>
          <w:rFonts w:ascii="Times New Roman" w:hAnsi="Times New Roman" w:cs="Times New Roman"/>
          <w:sz w:val="24"/>
          <w:szCs w:val="24"/>
        </w:rPr>
        <w:t>s to a vacant stand next to the</w:t>
      </w:r>
      <w:r>
        <w:rPr>
          <w:rFonts w:ascii="Times New Roman" w:hAnsi="Times New Roman" w:cs="Times New Roman"/>
          <w:sz w:val="24"/>
          <w:szCs w:val="24"/>
          <w:vertAlign w:val="superscript"/>
        </w:rPr>
        <w:t xml:space="preserve"> </w:t>
      </w:r>
      <w:r>
        <w:rPr>
          <w:rFonts w:ascii="Times New Roman" w:hAnsi="Times New Roman" w:cs="Times New Roman"/>
          <w:sz w:val="24"/>
          <w:szCs w:val="24"/>
        </w:rPr>
        <w:t>first</w:t>
      </w:r>
      <w:r w:rsidR="005B4962" w:rsidRPr="00A52C11">
        <w:rPr>
          <w:rFonts w:ascii="Times New Roman" w:hAnsi="Times New Roman" w:cs="Times New Roman"/>
          <w:sz w:val="24"/>
          <w:szCs w:val="24"/>
        </w:rPr>
        <w:t xml:space="preserve"> respondent's property </w:t>
      </w:r>
      <w:r w:rsidR="008819CB" w:rsidRPr="00A52C11">
        <w:rPr>
          <w:rFonts w:ascii="Times New Roman" w:hAnsi="Times New Roman" w:cs="Times New Roman"/>
          <w:sz w:val="24"/>
          <w:szCs w:val="24"/>
        </w:rPr>
        <w:t>which is s</w:t>
      </w:r>
      <w:r w:rsidR="005B4962" w:rsidRPr="00A52C11">
        <w:rPr>
          <w:rFonts w:ascii="Times New Roman" w:hAnsi="Times New Roman" w:cs="Times New Roman"/>
          <w:sz w:val="24"/>
          <w:szCs w:val="24"/>
        </w:rPr>
        <w:t>tand 3704 Crowhill Estate, which raises concerns about the accuracy of the address.</w:t>
      </w:r>
      <w:r w:rsidR="008819CB" w:rsidRPr="00A52C11">
        <w:rPr>
          <w:rFonts w:ascii="Times New Roman" w:hAnsi="Times New Roman" w:cs="Times New Roman"/>
          <w:sz w:val="24"/>
          <w:szCs w:val="24"/>
        </w:rPr>
        <w:t xml:space="preserve"> </w:t>
      </w:r>
      <w:r w:rsidR="005B4962" w:rsidRPr="00A52C11">
        <w:rPr>
          <w:rFonts w:ascii="Times New Roman" w:hAnsi="Times New Roman" w:cs="Times New Roman"/>
          <w:sz w:val="24"/>
          <w:szCs w:val="24"/>
        </w:rPr>
        <w:t xml:space="preserve">The </w:t>
      </w:r>
      <w:r>
        <w:rPr>
          <w:rFonts w:ascii="Times New Roman" w:hAnsi="Times New Roman" w:cs="Times New Roman"/>
          <w:sz w:val="24"/>
          <w:szCs w:val="24"/>
        </w:rPr>
        <w:t>first</w:t>
      </w:r>
      <w:r w:rsidR="008819CB" w:rsidRPr="00A52C11">
        <w:rPr>
          <w:rFonts w:ascii="Times New Roman" w:hAnsi="Times New Roman" w:cs="Times New Roman"/>
          <w:sz w:val="24"/>
          <w:szCs w:val="24"/>
        </w:rPr>
        <w:t xml:space="preserve"> </w:t>
      </w:r>
      <w:r w:rsidR="005B4962" w:rsidRPr="00A52C11">
        <w:rPr>
          <w:rFonts w:ascii="Times New Roman" w:hAnsi="Times New Roman" w:cs="Times New Roman"/>
          <w:sz w:val="24"/>
          <w:szCs w:val="24"/>
        </w:rPr>
        <w:t>respondent also alleges improper service of the application, stating that it was served on his 12-year-old daughter. Given her age, he argues that she was too young to properly receive or understand the significance of the court papers. He contends that this constitutes improper service and, as a result, the application is defective.</w:t>
      </w:r>
      <w:r w:rsidR="008819CB" w:rsidRPr="00A52C11">
        <w:rPr>
          <w:rFonts w:ascii="Times New Roman" w:hAnsi="Times New Roman" w:cs="Times New Roman"/>
          <w:sz w:val="24"/>
          <w:szCs w:val="24"/>
        </w:rPr>
        <w:t xml:space="preserve"> </w:t>
      </w:r>
      <w:r w:rsidR="005B4962" w:rsidRPr="00A52C11">
        <w:rPr>
          <w:rFonts w:ascii="Times New Roman" w:hAnsi="Times New Roman" w:cs="Times New Roman"/>
          <w:sz w:val="24"/>
          <w:szCs w:val="24"/>
        </w:rPr>
        <w:t xml:space="preserve">Furthermore, the </w:t>
      </w:r>
      <w:r>
        <w:rPr>
          <w:rFonts w:ascii="Times New Roman" w:hAnsi="Times New Roman" w:cs="Times New Roman"/>
          <w:sz w:val="24"/>
          <w:szCs w:val="24"/>
        </w:rPr>
        <w:t>first</w:t>
      </w:r>
      <w:r w:rsidR="005B4962" w:rsidRPr="00A52C11">
        <w:rPr>
          <w:rFonts w:ascii="Times New Roman" w:hAnsi="Times New Roman" w:cs="Times New Roman"/>
          <w:sz w:val="24"/>
          <w:szCs w:val="24"/>
        </w:rPr>
        <w:t xml:space="preserve"> respondent asserts that the applicant has used the wrong legal procedure. He argues that the case presents issues that cannot be resolved solely on the papers, as there are competing claims to ownership of the property. Both the applicant and the </w:t>
      </w:r>
      <w:r>
        <w:rPr>
          <w:rFonts w:ascii="Times New Roman" w:hAnsi="Times New Roman" w:cs="Times New Roman"/>
          <w:sz w:val="24"/>
          <w:szCs w:val="24"/>
        </w:rPr>
        <w:t>first</w:t>
      </w:r>
      <w:r w:rsidR="005B4962" w:rsidRPr="00A52C11">
        <w:rPr>
          <w:rFonts w:ascii="Times New Roman" w:hAnsi="Times New Roman" w:cs="Times New Roman"/>
          <w:sz w:val="24"/>
          <w:szCs w:val="24"/>
        </w:rPr>
        <w:t xml:space="preserve"> </w:t>
      </w:r>
      <w:r>
        <w:rPr>
          <w:rFonts w:ascii="Times New Roman" w:hAnsi="Times New Roman" w:cs="Times New Roman"/>
          <w:sz w:val="24"/>
          <w:szCs w:val="24"/>
        </w:rPr>
        <w:t>together with the second</w:t>
      </w:r>
      <w:r w:rsidR="005B4962" w:rsidRPr="00A52C11">
        <w:rPr>
          <w:rFonts w:ascii="Times New Roman" w:hAnsi="Times New Roman" w:cs="Times New Roman"/>
          <w:sz w:val="24"/>
          <w:szCs w:val="24"/>
        </w:rPr>
        <w:t xml:space="preserve"> respondent claim to hold valid Deeds of Transfer, and therefore both parties assert ownership of the land.</w:t>
      </w:r>
      <w:r w:rsidR="008819CB" w:rsidRPr="00A52C11">
        <w:rPr>
          <w:rFonts w:ascii="Times New Roman" w:hAnsi="Times New Roman" w:cs="Times New Roman"/>
          <w:sz w:val="24"/>
          <w:szCs w:val="24"/>
        </w:rPr>
        <w:t xml:space="preserve"> </w:t>
      </w:r>
      <w:r w:rsidR="005B4962" w:rsidRPr="00A52C11">
        <w:rPr>
          <w:rFonts w:ascii="Times New Roman" w:hAnsi="Times New Roman" w:cs="Times New Roman"/>
          <w:sz w:val="24"/>
          <w:szCs w:val="24"/>
        </w:rPr>
        <w:t xml:space="preserve">In light of these objections, the </w:t>
      </w:r>
      <w:r>
        <w:rPr>
          <w:rFonts w:ascii="Times New Roman" w:hAnsi="Times New Roman" w:cs="Times New Roman"/>
          <w:sz w:val="24"/>
          <w:szCs w:val="24"/>
        </w:rPr>
        <w:t>first</w:t>
      </w:r>
      <w:r w:rsidR="005B4962" w:rsidRPr="00A52C11">
        <w:rPr>
          <w:rFonts w:ascii="Times New Roman" w:hAnsi="Times New Roman" w:cs="Times New Roman"/>
          <w:sz w:val="24"/>
          <w:szCs w:val="24"/>
        </w:rPr>
        <w:t xml:space="preserve"> respondent submits that the applicant’s application should be dismissed, and that the applicant should be ordered to pay costs on a higher scale.</w:t>
      </w:r>
    </w:p>
    <w:p w:rsidR="008819CB" w:rsidRPr="00A52C11" w:rsidRDefault="005B4962" w:rsidP="00473E37">
      <w:pPr>
        <w:spacing w:after="0" w:line="360" w:lineRule="auto"/>
        <w:ind w:firstLine="720"/>
        <w:jc w:val="both"/>
        <w:rPr>
          <w:rFonts w:ascii="Times New Roman" w:hAnsi="Times New Roman" w:cs="Times New Roman"/>
          <w:sz w:val="24"/>
          <w:szCs w:val="24"/>
        </w:rPr>
      </w:pPr>
      <w:r w:rsidRPr="00A52C11">
        <w:rPr>
          <w:rFonts w:ascii="Times New Roman" w:hAnsi="Times New Roman" w:cs="Times New Roman"/>
          <w:sz w:val="24"/>
          <w:szCs w:val="24"/>
        </w:rPr>
        <w:t xml:space="preserve">On the merits of the case, the first respondent argues that the Deed of Transfer is in favor of both the </w:t>
      </w:r>
      <w:r w:rsidR="00473E37">
        <w:rPr>
          <w:rFonts w:ascii="Times New Roman" w:hAnsi="Times New Roman" w:cs="Times New Roman"/>
          <w:sz w:val="24"/>
          <w:szCs w:val="24"/>
        </w:rPr>
        <w:t>first</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and </w:t>
      </w:r>
      <w:r w:rsidR="00473E37">
        <w:rPr>
          <w:rFonts w:ascii="Times New Roman" w:hAnsi="Times New Roman" w:cs="Times New Roman"/>
          <w:sz w:val="24"/>
          <w:szCs w:val="24"/>
        </w:rPr>
        <w:t>second</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respondents. He claims that while the </w:t>
      </w:r>
      <w:r w:rsidR="00473E37">
        <w:rPr>
          <w:rFonts w:ascii="Times New Roman" w:hAnsi="Times New Roman" w:cs="Times New Roman"/>
          <w:sz w:val="24"/>
          <w:szCs w:val="24"/>
        </w:rPr>
        <w:t>first</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and </w:t>
      </w:r>
      <w:r w:rsidR="00473E37">
        <w:rPr>
          <w:rFonts w:ascii="Times New Roman" w:hAnsi="Times New Roman" w:cs="Times New Roman"/>
          <w:sz w:val="24"/>
          <w:szCs w:val="24"/>
        </w:rPr>
        <w:t>second</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respondents developed the property, the applicant failed to take any action or show interest in the property. According to the </w:t>
      </w:r>
      <w:r w:rsidR="00473E37">
        <w:rPr>
          <w:rFonts w:ascii="Times New Roman" w:hAnsi="Times New Roman" w:cs="Times New Roman"/>
          <w:sz w:val="24"/>
          <w:szCs w:val="24"/>
        </w:rPr>
        <w:t>first</w:t>
      </w:r>
      <w:r w:rsidRPr="00A52C11">
        <w:rPr>
          <w:rFonts w:ascii="Times New Roman" w:hAnsi="Times New Roman" w:cs="Times New Roman"/>
          <w:sz w:val="24"/>
          <w:szCs w:val="24"/>
        </w:rPr>
        <w:t xml:space="preserve"> respondent, the applicant acquired the title in 2010 but neglected the property until 2020, while the </w:t>
      </w:r>
      <w:r w:rsidR="00473E37">
        <w:rPr>
          <w:rFonts w:ascii="Times New Roman" w:hAnsi="Times New Roman" w:cs="Times New Roman"/>
          <w:sz w:val="24"/>
          <w:szCs w:val="24"/>
        </w:rPr>
        <w:t>first</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and </w:t>
      </w:r>
      <w:r w:rsidR="00473E37">
        <w:rPr>
          <w:rFonts w:ascii="Times New Roman" w:hAnsi="Times New Roman" w:cs="Times New Roman"/>
          <w:sz w:val="24"/>
          <w:szCs w:val="24"/>
        </w:rPr>
        <w:t>second</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respondents obtained the stand in 2011 and began developing </w:t>
      </w:r>
      <w:r w:rsidRPr="00A52C11">
        <w:rPr>
          <w:rFonts w:ascii="Times New Roman" w:hAnsi="Times New Roman" w:cs="Times New Roman"/>
          <w:sz w:val="24"/>
          <w:szCs w:val="24"/>
        </w:rPr>
        <w:lastRenderedPageBreak/>
        <w:t>it.</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The </w:t>
      </w:r>
      <w:r w:rsidR="00473E37">
        <w:rPr>
          <w:rFonts w:ascii="Times New Roman" w:hAnsi="Times New Roman" w:cs="Times New Roman"/>
          <w:sz w:val="24"/>
          <w:szCs w:val="24"/>
        </w:rPr>
        <w:t>first</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respondent asserts that had the applicant made any efforts to develop the property, it would have become clear to the </w:t>
      </w:r>
      <w:r w:rsidR="00473E37">
        <w:rPr>
          <w:rFonts w:ascii="Times New Roman" w:hAnsi="Times New Roman" w:cs="Times New Roman"/>
          <w:sz w:val="24"/>
          <w:szCs w:val="24"/>
        </w:rPr>
        <w:t>first</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and </w:t>
      </w:r>
      <w:r w:rsidR="00473E37">
        <w:rPr>
          <w:rFonts w:ascii="Times New Roman" w:hAnsi="Times New Roman" w:cs="Times New Roman"/>
          <w:sz w:val="24"/>
          <w:szCs w:val="24"/>
        </w:rPr>
        <w:t>second</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respondents that the property might be part of another estate. He argues that the applicant’s ten-year abandonment of the property should be held against it, as such neglect is inconsistent with the actions of a vigilant property owner. The </w:t>
      </w:r>
      <w:r w:rsidR="008819CB" w:rsidRPr="00A52C11">
        <w:rPr>
          <w:rFonts w:ascii="Times New Roman" w:hAnsi="Times New Roman" w:cs="Times New Roman"/>
          <w:sz w:val="24"/>
          <w:szCs w:val="24"/>
        </w:rPr>
        <w:t>1</w:t>
      </w:r>
      <w:r w:rsidR="008819CB" w:rsidRPr="00A52C11">
        <w:rPr>
          <w:rFonts w:ascii="Times New Roman" w:hAnsi="Times New Roman" w:cs="Times New Roman"/>
          <w:sz w:val="24"/>
          <w:szCs w:val="24"/>
          <w:vertAlign w:val="superscript"/>
        </w:rPr>
        <w:t>st</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respondent contends that the applicant cannot now seek protection of its rights after abandoning the property for over a decade. The applicant’s actions</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only resurfacing in 2020 and initiating eviction proceedings in November 202</w:t>
      </w:r>
      <w:r w:rsidR="008819CB" w:rsidRPr="00A52C11">
        <w:rPr>
          <w:rFonts w:ascii="Times New Roman" w:hAnsi="Times New Roman" w:cs="Times New Roman"/>
          <w:sz w:val="24"/>
          <w:szCs w:val="24"/>
        </w:rPr>
        <w:t xml:space="preserve">2, </w:t>
      </w:r>
      <w:r w:rsidRPr="00A52C11">
        <w:rPr>
          <w:rFonts w:ascii="Times New Roman" w:hAnsi="Times New Roman" w:cs="Times New Roman"/>
          <w:sz w:val="24"/>
          <w:szCs w:val="24"/>
        </w:rPr>
        <w:t>are seen as detrimental to the applicant's claim.</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The </w:t>
      </w:r>
      <w:r w:rsidR="008819CB" w:rsidRPr="00A52C11">
        <w:rPr>
          <w:rFonts w:ascii="Times New Roman" w:hAnsi="Times New Roman" w:cs="Times New Roman"/>
          <w:sz w:val="24"/>
          <w:szCs w:val="24"/>
        </w:rPr>
        <w:t>1</w:t>
      </w:r>
      <w:r w:rsidR="008819CB" w:rsidRPr="00A52C11">
        <w:rPr>
          <w:rFonts w:ascii="Times New Roman" w:hAnsi="Times New Roman" w:cs="Times New Roman"/>
          <w:sz w:val="24"/>
          <w:szCs w:val="24"/>
          <w:vertAlign w:val="superscript"/>
        </w:rPr>
        <w:t>st</w:t>
      </w:r>
      <w:r w:rsidRPr="00A52C11">
        <w:rPr>
          <w:rFonts w:ascii="Times New Roman" w:hAnsi="Times New Roman" w:cs="Times New Roman"/>
          <w:sz w:val="24"/>
          <w:szCs w:val="24"/>
        </w:rPr>
        <w:t xml:space="preserve"> respondent further argues that the applicant’s failure to inspect the property during this period, especially while construction was underway, is significant. If the applicant had conducted even basic annual checks, it would have noticed that the </w:t>
      </w:r>
      <w:r w:rsidR="002921E2">
        <w:rPr>
          <w:rFonts w:ascii="Times New Roman" w:hAnsi="Times New Roman" w:cs="Times New Roman"/>
          <w:sz w:val="24"/>
          <w:szCs w:val="24"/>
        </w:rPr>
        <w:t>first</w:t>
      </w:r>
      <w:r w:rsidRPr="00A52C11">
        <w:rPr>
          <w:rFonts w:ascii="Times New Roman" w:hAnsi="Times New Roman" w:cs="Times New Roman"/>
          <w:sz w:val="24"/>
          <w:szCs w:val="24"/>
        </w:rPr>
        <w:t xml:space="preserve"> and </w:t>
      </w:r>
      <w:r w:rsidR="002921E2">
        <w:rPr>
          <w:rFonts w:ascii="Times New Roman" w:hAnsi="Times New Roman" w:cs="Times New Roman"/>
          <w:sz w:val="24"/>
          <w:szCs w:val="24"/>
        </w:rPr>
        <w:t>second</w:t>
      </w:r>
      <w:r w:rsidRPr="00A52C11">
        <w:rPr>
          <w:rFonts w:ascii="Times New Roman" w:hAnsi="Times New Roman" w:cs="Times New Roman"/>
          <w:sz w:val="24"/>
          <w:szCs w:val="24"/>
        </w:rPr>
        <w:t xml:space="preserve"> respondents were actively building a structure on the land. Such diligence, according to the </w:t>
      </w:r>
      <w:r w:rsidR="002921E2">
        <w:rPr>
          <w:rFonts w:ascii="Times New Roman" w:hAnsi="Times New Roman" w:cs="Times New Roman"/>
          <w:sz w:val="24"/>
          <w:szCs w:val="24"/>
        </w:rPr>
        <w:t>first</w:t>
      </w:r>
      <w:r w:rsidRPr="00A52C11">
        <w:rPr>
          <w:rFonts w:ascii="Times New Roman" w:hAnsi="Times New Roman" w:cs="Times New Roman"/>
          <w:sz w:val="24"/>
          <w:szCs w:val="24"/>
        </w:rPr>
        <w:t xml:space="preserve"> respondent, could have prevented the current dispute, as it would have made it clear that the respondents were developing the land while the applicant did nothing.</w:t>
      </w:r>
      <w:r w:rsidR="008819CB" w:rsidRPr="00A52C11">
        <w:rPr>
          <w:rFonts w:ascii="Times New Roman" w:hAnsi="Times New Roman" w:cs="Times New Roman"/>
          <w:sz w:val="24"/>
          <w:szCs w:val="24"/>
        </w:rPr>
        <w:t xml:space="preserve"> </w:t>
      </w:r>
    </w:p>
    <w:p w:rsidR="005B4962" w:rsidRPr="00A52C11" w:rsidRDefault="005B4962" w:rsidP="00491370">
      <w:pPr>
        <w:spacing w:after="0" w:line="360" w:lineRule="auto"/>
        <w:ind w:firstLine="720"/>
        <w:jc w:val="both"/>
        <w:rPr>
          <w:rFonts w:ascii="Times New Roman" w:hAnsi="Times New Roman" w:cs="Times New Roman"/>
          <w:sz w:val="24"/>
          <w:szCs w:val="24"/>
        </w:rPr>
      </w:pPr>
      <w:r w:rsidRPr="00A52C11">
        <w:rPr>
          <w:rFonts w:ascii="Times New Roman" w:hAnsi="Times New Roman" w:cs="Times New Roman"/>
          <w:sz w:val="24"/>
          <w:szCs w:val="24"/>
        </w:rPr>
        <w:t xml:space="preserve">The </w:t>
      </w:r>
      <w:r w:rsidR="002921E2">
        <w:rPr>
          <w:rFonts w:ascii="Times New Roman" w:hAnsi="Times New Roman" w:cs="Times New Roman"/>
          <w:sz w:val="24"/>
          <w:szCs w:val="24"/>
        </w:rPr>
        <w:t>first</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respondent claims that while the applicant neglected the property, the </w:t>
      </w:r>
      <w:r w:rsidR="00D20BEA">
        <w:rPr>
          <w:rFonts w:ascii="Times New Roman" w:hAnsi="Times New Roman" w:cs="Times New Roman"/>
          <w:sz w:val="24"/>
          <w:szCs w:val="24"/>
        </w:rPr>
        <w:t xml:space="preserve">third </w:t>
      </w:r>
      <w:r w:rsidRPr="00A52C11">
        <w:rPr>
          <w:rFonts w:ascii="Times New Roman" w:hAnsi="Times New Roman" w:cs="Times New Roman"/>
          <w:sz w:val="24"/>
          <w:szCs w:val="24"/>
        </w:rPr>
        <w:t xml:space="preserve">respondent sold the same piece of land to the </w:t>
      </w:r>
      <w:r w:rsidR="002921E2">
        <w:rPr>
          <w:rFonts w:ascii="Times New Roman" w:hAnsi="Times New Roman" w:cs="Times New Roman"/>
          <w:sz w:val="24"/>
          <w:szCs w:val="24"/>
        </w:rPr>
        <w:t>first</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and </w:t>
      </w:r>
      <w:r w:rsidR="002921E2">
        <w:rPr>
          <w:rFonts w:ascii="Times New Roman" w:hAnsi="Times New Roman" w:cs="Times New Roman"/>
          <w:sz w:val="24"/>
          <w:szCs w:val="24"/>
        </w:rPr>
        <w:t>second</w:t>
      </w:r>
      <w:r w:rsidRPr="00A52C11">
        <w:rPr>
          <w:rFonts w:ascii="Times New Roman" w:hAnsi="Times New Roman" w:cs="Times New Roman"/>
          <w:sz w:val="24"/>
          <w:szCs w:val="24"/>
        </w:rPr>
        <w:t xml:space="preserve"> resp</w:t>
      </w:r>
      <w:r w:rsidR="008819CB" w:rsidRPr="00A52C11">
        <w:rPr>
          <w:rFonts w:ascii="Times New Roman" w:hAnsi="Times New Roman" w:cs="Times New Roman"/>
          <w:sz w:val="24"/>
          <w:szCs w:val="24"/>
        </w:rPr>
        <w:t>o</w:t>
      </w:r>
      <w:r w:rsidRPr="00A52C11">
        <w:rPr>
          <w:rFonts w:ascii="Times New Roman" w:hAnsi="Times New Roman" w:cs="Times New Roman"/>
          <w:sz w:val="24"/>
          <w:szCs w:val="24"/>
        </w:rPr>
        <w:t>ndents, who then developed it into a</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home. He argues that cancel</w:t>
      </w:r>
      <w:r w:rsidR="00473E37">
        <w:rPr>
          <w:rFonts w:ascii="Times New Roman" w:hAnsi="Times New Roman" w:cs="Times New Roman"/>
          <w:sz w:val="24"/>
          <w:szCs w:val="24"/>
        </w:rPr>
        <w:t>l</w:t>
      </w:r>
      <w:r w:rsidRPr="00A52C11">
        <w:rPr>
          <w:rFonts w:ascii="Times New Roman" w:hAnsi="Times New Roman" w:cs="Times New Roman"/>
          <w:sz w:val="24"/>
          <w:szCs w:val="24"/>
        </w:rPr>
        <w:t xml:space="preserve">ing </w:t>
      </w:r>
      <w:r w:rsidR="002422D2" w:rsidRPr="00A52C11">
        <w:rPr>
          <w:rFonts w:ascii="Times New Roman" w:hAnsi="Times New Roman" w:cs="Times New Roman"/>
          <w:sz w:val="24"/>
          <w:szCs w:val="24"/>
        </w:rPr>
        <w:t>the first</w:t>
      </w:r>
      <w:r w:rsidR="002921E2">
        <w:rPr>
          <w:rFonts w:ascii="Times New Roman" w:hAnsi="Times New Roman" w:cs="Times New Roman"/>
          <w:sz w:val="24"/>
          <w:szCs w:val="24"/>
        </w:rPr>
        <w:t xml:space="preserve"> and second</w:t>
      </w:r>
      <w:r w:rsidR="008819CB" w:rsidRPr="00A52C11">
        <w:rPr>
          <w:rFonts w:ascii="Times New Roman" w:hAnsi="Times New Roman" w:cs="Times New Roman"/>
          <w:sz w:val="24"/>
          <w:szCs w:val="24"/>
        </w:rPr>
        <w:t xml:space="preserve"> respondents’ </w:t>
      </w:r>
      <w:r w:rsidRPr="00A52C11">
        <w:rPr>
          <w:rFonts w:ascii="Times New Roman" w:hAnsi="Times New Roman" w:cs="Times New Roman"/>
          <w:sz w:val="24"/>
          <w:szCs w:val="24"/>
        </w:rPr>
        <w:t>ownership now would cause them significant harm, as they have invested substantial time and money into developing the property. A declaration in favor of the applicant would result in severe financial prejudice for the respondents and would essentially strip them of what they have rightfully developed.</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The </w:t>
      </w:r>
      <w:r w:rsidR="00D20BEA">
        <w:rPr>
          <w:rFonts w:ascii="Times New Roman" w:hAnsi="Times New Roman" w:cs="Times New Roman"/>
          <w:sz w:val="24"/>
          <w:szCs w:val="24"/>
        </w:rPr>
        <w:t>first</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respondent also highlights the applicant’s failure to notice the construction happening on the neighboring stand, 3704 Crowhill Estate, even though the applicant claims that Stand 3703 Crowhill Estate is its office address. He finds it inconceivable that the applicant could operate from a neighboring stand for ten years and not observe the ongoing construction on the adjacent property, especially if it claims to hold title to it.</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 xml:space="preserve">Given that the applicant has held title since 2010 and is allegedly aware of the development next door, the </w:t>
      </w:r>
      <w:r w:rsidR="00D20BEA">
        <w:rPr>
          <w:rFonts w:ascii="Times New Roman" w:hAnsi="Times New Roman" w:cs="Times New Roman"/>
          <w:sz w:val="24"/>
          <w:szCs w:val="24"/>
        </w:rPr>
        <w:t>first</w:t>
      </w:r>
      <w:r w:rsidRPr="00A52C11">
        <w:rPr>
          <w:rFonts w:ascii="Times New Roman" w:hAnsi="Times New Roman" w:cs="Times New Roman"/>
          <w:sz w:val="24"/>
          <w:szCs w:val="24"/>
        </w:rPr>
        <w:t xml:space="preserve"> respondent argues that the applicant is estopped from claiming ownership of the property now. The applicant’s inaction over the years has allowed the </w:t>
      </w:r>
      <w:r w:rsidR="002921E2">
        <w:rPr>
          <w:rFonts w:ascii="Times New Roman" w:hAnsi="Times New Roman" w:cs="Times New Roman"/>
          <w:sz w:val="24"/>
          <w:szCs w:val="24"/>
        </w:rPr>
        <w:t>first</w:t>
      </w:r>
      <w:r w:rsidR="008819CB" w:rsidRPr="00A52C11">
        <w:rPr>
          <w:rFonts w:ascii="Times New Roman" w:hAnsi="Times New Roman" w:cs="Times New Roman"/>
          <w:sz w:val="24"/>
          <w:szCs w:val="24"/>
        </w:rPr>
        <w:t xml:space="preserve"> an</w:t>
      </w:r>
      <w:r w:rsidR="002921E2">
        <w:rPr>
          <w:rFonts w:ascii="Times New Roman" w:hAnsi="Times New Roman" w:cs="Times New Roman"/>
          <w:sz w:val="24"/>
          <w:szCs w:val="24"/>
        </w:rPr>
        <w:t>d second</w:t>
      </w:r>
      <w:r w:rsidR="008819CB" w:rsidRPr="00A52C11">
        <w:rPr>
          <w:rFonts w:ascii="Times New Roman" w:hAnsi="Times New Roman" w:cs="Times New Roman"/>
          <w:sz w:val="24"/>
          <w:szCs w:val="24"/>
        </w:rPr>
        <w:t xml:space="preserve"> </w:t>
      </w:r>
      <w:r w:rsidRPr="00A52C11">
        <w:rPr>
          <w:rFonts w:ascii="Times New Roman" w:hAnsi="Times New Roman" w:cs="Times New Roman"/>
          <w:sz w:val="24"/>
          <w:szCs w:val="24"/>
        </w:rPr>
        <w:t>respondents to labor under the belief that they were the rightful owners, and the applicant could have, within a reasonable time, notified them of the existence of a competing deed in its favor. Instead, the applicant chose not to intervene, allowing the respondents to invest in the property.</w:t>
      </w:r>
      <w:r w:rsidR="00D20BEA">
        <w:rPr>
          <w:rFonts w:ascii="Times New Roman" w:hAnsi="Times New Roman" w:cs="Times New Roman"/>
          <w:sz w:val="24"/>
          <w:szCs w:val="24"/>
        </w:rPr>
        <w:t xml:space="preserve"> To this end, the first</w:t>
      </w:r>
      <w:r w:rsidR="008819CB" w:rsidRPr="00A52C11">
        <w:rPr>
          <w:rFonts w:ascii="Times New Roman" w:hAnsi="Times New Roman" w:cs="Times New Roman"/>
          <w:sz w:val="24"/>
          <w:szCs w:val="24"/>
        </w:rPr>
        <w:t xml:space="preserve"> respondent prays that the applicant’s application be dismissed.</w:t>
      </w:r>
    </w:p>
    <w:p w:rsidR="00123662" w:rsidRPr="00A52C11" w:rsidRDefault="00D20BEA" w:rsidP="004913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w:t>
      </w:r>
      <w:r w:rsidRPr="00A52C11">
        <w:rPr>
          <w:rFonts w:ascii="Times New Roman" w:hAnsi="Times New Roman" w:cs="Times New Roman"/>
          <w:sz w:val="24"/>
          <w:szCs w:val="24"/>
        </w:rPr>
        <w:t>respondent</w:t>
      </w:r>
      <w:r w:rsidR="00123662" w:rsidRPr="00A52C11">
        <w:rPr>
          <w:rFonts w:ascii="Times New Roman" w:hAnsi="Times New Roman" w:cs="Times New Roman"/>
          <w:sz w:val="24"/>
          <w:szCs w:val="24"/>
        </w:rPr>
        <w:t xml:space="preserve"> in her opposing affidavit states that she</w:t>
      </w:r>
      <w:r>
        <w:rPr>
          <w:rFonts w:ascii="Times New Roman" w:hAnsi="Times New Roman" w:cs="Times New Roman"/>
          <w:sz w:val="24"/>
          <w:szCs w:val="24"/>
        </w:rPr>
        <w:t xml:space="preserve"> has read the affidavit of the first</w:t>
      </w:r>
      <w:r w:rsidR="00123662" w:rsidRPr="00A52C11">
        <w:rPr>
          <w:rFonts w:ascii="Times New Roman" w:hAnsi="Times New Roman" w:cs="Times New Roman"/>
          <w:sz w:val="24"/>
          <w:szCs w:val="24"/>
        </w:rPr>
        <w:t xml:space="preserve"> respondent in this application and wishes to associate herself fully with the contents therein. Wherefore she prays that the application be dismissed.</w:t>
      </w:r>
    </w:p>
    <w:p w:rsidR="005B74DA" w:rsidRPr="00A52C11" w:rsidRDefault="005B74DA" w:rsidP="00491370">
      <w:pPr>
        <w:spacing w:after="0" w:line="360" w:lineRule="auto"/>
        <w:jc w:val="both"/>
        <w:rPr>
          <w:rFonts w:ascii="Times New Roman" w:hAnsi="Times New Roman" w:cs="Times New Roman"/>
          <w:b/>
          <w:i/>
          <w:sz w:val="24"/>
          <w:szCs w:val="24"/>
        </w:rPr>
      </w:pPr>
      <w:r w:rsidRPr="00A52C11">
        <w:rPr>
          <w:rFonts w:ascii="Times New Roman" w:hAnsi="Times New Roman" w:cs="Times New Roman"/>
          <w:b/>
          <w:sz w:val="24"/>
          <w:szCs w:val="24"/>
        </w:rPr>
        <w:t xml:space="preserve">Points </w:t>
      </w:r>
      <w:r w:rsidRPr="00A52C11">
        <w:rPr>
          <w:rFonts w:ascii="Times New Roman" w:hAnsi="Times New Roman" w:cs="Times New Roman"/>
          <w:b/>
          <w:i/>
          <w:sz w:val="24"/>
          <w:szCs w:val="24"/>
        </w:rPr>
        <w:t xml:space="preserve">in limine </w:t>
      </w:r>
    </w:p>
    <w:p w:rsidR="005B74DA" w:rsidRPr="00A52C11" w:rsidRDefault="00855968" w:rsidP="00491370">
      <w:pPr>
        <w:pStyle w:val="ListParagraph"/>
        <w:numPr>
          <w:ilvl w:val="0"/>
          <w:numId w:val="1"/>
        </w:numPr>
        <w:spacing w:after="0" w:line="360" w:lineRule="auto"/>
        <w:jc w:val="both"/>
        <w:rPr>
          <w:rFonts w:ascii="Times New Roman" w:hAnsi="Times New Roman" w:cs="Times New Roman"/>
          <w:b/>
          <w:i/>
          <w:sz w:val="24"/>
          <w:szCs w:val="24"/>
        </w:rPr>
      </w:pPr>
      <w:r w:rsidRPr="00A52C11">
        <w:rPr>
          <w:rFonts w:ascii="Times New Roman" w:hAnsi="Times New Roman" w:cs="Times New Roman"/>
          <w:b/>
          <w:i/>
          <w:sz w:val="24"/>
          <w:szCs w:val="24"/>
        </w:rPr>
        <w:t>Whether there is a valid founding affidavit before the court</w:t>
      </w:r>
    </w:p>
    <w:p w:rsidR="00855968" w:rsidRPr="00A52C11" w:rsidRDefault="00DD56F3" w:rsidP="002921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w:t>
      </w:r>
      <w:r w:rsidR="00855968" w:rsidRPr="00A52C11">
        <w:rPr>
          <w:rFonts w:ascii="Times New Roman" w:hAnsi="Times New Roman" w:cs="Times New Roman"/>
          <w:sz w:val="24"/>
          <w:szCs w:val="24"/>
        </w:rPr>
        <w:t xml:space="preserve"> respondent contends that there is no founding affidavit before the court. This is because the affidavit is not stamped by a commissioner of oaths, thus it is regarded as uncommissioned.</w:t>
      </w:r>
      <w:r w:rsidR="002921E2">
        <w:rPr>
          <w:rFonts w:ascii="Times New Roman" w:hAnsi="Times New Roman" w:cs="Times New Roman"/>
          <w:sz w:val="24"/>
          <w:szCs w:val="24"/>
        </w:rPr>
        <w:t xml:space="preserve"> The first</w:t>
      </w:r>
      <w:r w:rsidR="00B86D1C" w:rsidRPr="00A52C11">
        <w:rPr>
          <w:rFonts w:ascii="Times New Roman" w:hAnsi="Times New Roman" w:cs="Times New Roman"/>
          <w:sz w:val="24"/>
          <w:szCs w:val="24"/>
        </w:rPr>
        <w:t xml:space="preserve"> respondent buttresses this point by stating that in the absence of a stamp by a commissioner of oaths there is no affidavit as there remains no other way that the respondents and the court can know who exactly commissioned the affidavit and whether or not they are indeed a commissioner. This therefore renders the application fatally defective and warrants its dismissal. This is in line with the well-known principle of law that an application stands or falls on its founding affidavit.</w:t>
      </w:r>
    </w:p>
    <w:p w:rsidR="00B86D1C" w:rsidRPr="00A52C11" w:rsidRDefault="00B86D1C" w:rsidP="002921E2">
      <w:pPr>
        <w:spacing w:after="0" w:line="360" w:lineRule="auto"/>
        <w:jc w:val="both"/>
        <w:rPr>
          <w:rFonts w:ascii="Times New Roman" w:hAnsi="Times New Roman" w:cs="Times New Roman"/>
          <w:sz w:val="24"/>
          <w:szCs w:val="24"/>
        </w:rPr>
      </w:pPr>
      <w:r w:rsidRPr="00A52C11">
        <w:rPr>
          <w:rFonts w:ascii="Times New Roman" w:hAnsi="Times New Roman" w:cs="Times New Roman"/>
          <w:sz w:val="24"/>
          <w:szCs w:val="24"/>
        </w:rPr>
        <w:t xml:space="preserve">In </w:t>
      </w:r>
      <w:r w:rsidRPr="00A52C11">
        <w:rPr>
          <w:rFonts w:ascii="Times New Roman" w:hAnsi="Times New Roman" w:cs="Times New Roman"/>
          <w:i/>
          <w:sz w:val="24"/>
          <w:szCs w:val="24"/>
        </w:rPr>
        <w:t>Prosecutor General v Makarichi and 2 Others</w:t>
      </w:r>
      <w:r w:rsidRPr="00A52C11">
        <w:rPr>
          <w:rFonts w:ascii="Times New Roman" w:hAnsi="Times New Roman" w:cs="Times New Roman"/>
          <w:sz w:val="24"/>
          <w:szCs w:val="24"/>
        </w:rPr>
        <w:t xml:space="preserve"> (502 of 2023) [2023] ZWHHC 588 p.6 the court noted the following;</w:t>
      </w:r>
    </w:p>
    <w:p w:rsidR="00B86D1C" w:rsidRPr="00047342" w:rsidRDefault="00C8537E" w:rsidP="009F524A">
      <w:pPr>
        <w:pStyle w:val="ListParagraph"/>
        <w:spacing w:line="240" w:lineRule="auto"/>
        <w:jc w:val="both"/>
        <w:rPr>
          <w:rFonts w:ascii="Times New Roman" w:eastAsia="Calibri" w:hAnsi="Times New Roman" w:cs="Times New Roman"/>
          <w:lang w:val="en-ZW"/>
        </w:rPr>
      </w:pPr>
      <w:r w:rsidRPr="00047342">
        <w:rPr>
          <w:rFonts w:ascii="Times New Roman" w:eastAsia="Calibri" w:hAnsi="Times New Roman" w:cs="Times New Roman"/>
          <w:lang w:val="en-ZW"/>
        </w:rPr>
        <w:t>“</w:t>
      </w:r>
      <w:r w:rsidR="00B86D1C" w:rsidRPr="00047342">
        <w:rPr>
          <w:rFonts w:ascii="Times New Roman" w:eastAsia="Calibri" w:hAnsi="Times New Roman" w:cs="Times New Roman"/>
          <w:lang w:val="en-ZW"/>
        </w:rPr>
        <w:t xml:space="preserve">In a nutshell, care should have been taken in composing the supporting affidavits and in ensuring that they were properly deposed to.  The dates and places of such depositions should have been clearly reflected as well as the respective identities of the commissioners of oaths and the offices or capacities of the persons in terms of which they acted as commissioners of oaths.  For example, if a person is a commissioner of oaths by virtue of being a duly admitted and practising notary public in Zimbabwe, the following information would be reflected on the commissioner of oaths’ stamp: his or her full name, that the person is a legal practitioner, conveyancer (if such be the case), notary public and commissioner of oaths.  The description as notary public would be evidence that the person signed the affidavit as an </w:t>
      </w:r>
      <w:r w:rsidR="00B86D1C" w:rsidRPr="00047342">
        <w:rPr>
          <w:rFonts w:ascii="Times New Roman" w:eastAsia="Calibri" w:hAnsi="Times New Roman" w:cs="Times New Roman"/>
          <w:i/>
          <w:lang w:val="en-ZW"/>
        </w:rPr>
        <w:t>ex officio</w:t>
      </w:r>
      <w:r w:rsidR="00B86D1C" w:rsidRPr="00047342">
        <w:rPr>
          <w:rFonts w:ascii="Times New Roman" w:eastAsia="Calibri" w:hAnsi="Times New Roman" w:cs="Times New Roman"/>
          <w:lang w:val="en-ZW"/>
        </w:rPr>
        <w:t xml:space="preserve"> commissioner of oaths.  For certainty, such thorough commissioners of oaths would also reflect, on their stamp, the law firms under which they practice their profession and their physical address.  Immediately above the designation of the commissioner of oaths, the commissioner would then append his or her signature.</w:t>
      </w:r>
      <w:r w:rsidRPr="00047342">
        <w:rPr>
          <w:rFonts w:ascii="Times New Roman" w:eastAsia="Calibri" w:hAnsi="Times New Roman" w:cs="Times New Roman"/>
          <w:lang w:val="en-ZW"/>
        </w:rPr>
        <w:t>”</w:t>
      </w:r>
    </w:p>
    <w:p w:rsidR="00590826" w:rsidRPr="00A52C11" w:rsidRDefault="00C8537E" w:rsidP="00047342">
      <w:pPr>
        <w:spacing w:after="0" w:line="360" w:lineRule="auto"/>
        <w:ind w:firstLine="720"/>
        <w:jc w:val="both"/>
        <w:rPr>
          <w:rFonts w:ascii="Times New Roman" w:hAnsi="Times New Roman" w:cs="Times New Roman"/>
          <w:sz w:val="24"/>
          <w:szCs w:val="24"/>
        </w:rPr>
      </w:pPr>
      <w:r w:rsidRPr="00A52C11">
        <w:rPr>
          <w:rFonts w:ascii="Times New Roman" w:hAnsi="Times New Roman" w:cs="Times New Roman"/>
          <w:sz w:val="24"/>
          <w:szCs w:val="24"/>
        </w:rPr>
        <w:t>From the above, the Court clearly pointed out that for an affidavit to be said to be properly deposed, there should be a stamp from the commissioner of oaths reflecting that commissioner’s full name, their capacity, their physical address as well as the entity under which they practice their profession.</w:t>
      </w:r>
    </w:p>
    <w:p w:rsidR="00CD3C94" w:rsidRPr="00A52C11" w:rsidRDefault="00C8537E" w:rsidP="00047342">
      <w:pPr>
        <w:spacing w:after="0" w:line="360" w:lineRule="auto"/>
        <w:jc w:val="both"/>
        <w:rPr>
          <w:rFonts w:ascii="Times New Roman" w:hAnsi="Times New Roman" w:cs="Times New Roman"/>
          <w:sz w:val="24"/>
          <w:szCs w:val="24"/>
        </w:rPr>
      </w:pPr>
      <w:r w:rsidRPr="00A52C11">
        <w:rPr>
          <w:rFonts w:ascii="Times New Roman" w:hAnsi="Times New Roman" w:cs="Times New Roman"/>
          <w:sz w:val="24"/>
          <w:szCs w:val="24"/>
        </w:rPr>
        <w:t xml:space="preserve"> </w:t>
      </w:r>
      <w:r w:rsidR="00047342">
        <w:rPr>
          <w:rFonts w:ascii="Times New Roman" w:hAnsi="Times New Roman" w:cs="Times New Roman"/>
          <w:sz w:val="24"/>
          <w:szCs w:val="24"/>
        </w:rPr>
        <w:tab/>
      </w:r>
      <w:r w:rsidRPr="00A52C11">
        <w:rPr>
          <w:rFonts w:ascii="Times New Roman" w:hAnsi="Times New Roman" w:cs="Times New Roman"/>
          <w:sz w:val="24"/>
          <w:szCs w:val="24"/>
        </w:rPr>
        <w:t xml:space="preserve">In </w:t>
      </w:r>
      <w:r w:rsidRPr="00A52C11">
        <w:rPr>
          <w:rFonts w:ascii="Times New Roman" w:hAnsi="Times New Roman" w:cs="Times New Roman"/>
          <w:i/>
          <w:sz w:val="24"/>
          <w:szCs w:val="24"/>
        </w:rPr>
        <w:t>casu</w:t>
      </w:r>
      <w:r w:rsidRPr="00A52C11">
        <w:rPr>
          <w:rFonts w:ascii="Times New Roman" w:hAnsi="Times New Roman" w:cs="Times New Roman"/>
          <w:sz w:val="24"/>
          <w:szCs w:val="24"/>
        </w:rPr>
        <w:t>,</w:t>
      </w:r>
      <w:r w:rsidR="00CD3C94" w:rsidRPr="00A52C11">
        <w:rPr>
          <w:rFonts w:ascii="Times New Roman" w:hAnsi="Times New Roman" w:cs="Times New Roman"/>
          <w:sz w:val="24"/>
          <w:szCs w:val="24"/>
        </w:rPr>
        <w:t xml:space="preserve"> the applicant </w:t>
      </w:r>
      <w:r w:rsidR="00590826" w:rsidRPr="00A52C11">
        <w:rPr>
          <w:rFonts w:ascii="Times New Roman" w:hAnsi="Times New Roman" w:cs="Times New Roman"/>
          <w:sz w:val="24"/>
          <w:szCs w:val="24"/>
        </w:rPr>
        <w:t xml:space="preserve">acknowledges to have noted this anomaly and rectified it on the same day that the initial founding affidavit was uploaded. The applicant avers that the scanner that was initially used to scan the documents was a black and white scanner which did not read any other colour except black and white. Upon </w:t>
      </w:r>
      <w:r w:rsidR="00E51D2B" w:rsidRPr="00A52C11">
        <w:rPr>
          <w:rFonts w:ascii="Times New Roman" w:hAnsi="Times New Roman" w:cs="Times New Roman"/>
          <w:sz w:val="24"/>
          <w:szCs w:val="24"/>
        </w:rPr>
        <w:t xml:space="preserve">realization </w:t>
      </w:r>
      <w:r w:rsidR="001C5AD1" w:rsidRPr="00A52C11">
        <w:rPr>
          <w:rFonts w:ascii="Times New Roman" w:hAnsi="Times New Roman" w:cs="Times New Roman"/>
          <w:sz w:val="24"/>
          <w:szCs w:val="24"/>
        </w:rPr>
        <w:t xml:space="preserve">that other colours on the application were not </w:t>
      </w:r>
      <w:r w:rsidR="001C5AD1" w:rsidRPr="00A52C11">
        <w:rPr>
          <w:rFonts w:ascii="Times New Roman" w:hAnsi="Times New Roman" w:cs="Times New Roman"/>
          <w:sz w:val="24"/>
          <w:szCs w:val="24"/>
        </w:rPr>
        <w:lastRenderedPageBreak/>
        <w:t xml:space="preserve">reflecting on the scanned application, the applicant scanned the application again with a different scanner which could scan all colours. </w:t>
      </w:r>
      <w:r w:rsidR="00CB7647" w:rsidRPr="00A52C11">
        <w:rPr>
          <w:rFonts w:ascii="Times New Roman" w:hAnsi="Times New Roman" w:cs="Times New Roman"/>
          <w:sz w:val="24"/>
          <w:szCs w:val="24"/>
        </w:rPr>
        <w:t>The colour scanned application was uploaded again and stamped on the same day by the Registrar of the High Court and is now part of the record.</w:t>
      </w:r>
    </w:p>
    <w:p w:rsidR="00CB7647" w:rsidRPr="00A52C11" w:rsidRDefault="00CB7647" w:rsidP="00A52C11">
      <w:pPr>
        <w:spacing w:line="360" w:lineRule="auto"/>
        <w:jc w:val="both"/>
        <w:rPr>
          <w:rFonts w:ascii="Times New Roman" w:hAnsi="Times New Roman" w:cs="Times New Roman"/>
          <w:sz w:val="24"/>
          <w:szCs w:val="24"/>
        </w:rPr>
      </w:pPr>
      <w:r w:rsidRPr="00A52C11">
        <w:rPr>
          <w:rFonts w:ascii="Times New Roman" w:hAnsi="Times New Roman" w:cs="Times New Roman"/>
          <w:sz w:val="24"/>
          <w:szCs w:val="24"/>
        </w:rPr>
        <w:t xml:space="preserve">This point </w:t>
      </w:r>
      <w:r w:rsidRPr="00A52C11">
        <w:rPr>
          <w:rFonts w:ascii="Times New Roman" w:hAnsi="Times New Roman" w:cs="Times New Roman"/>
          <w:i/>
          <w:sz w:val="24"/>
          <w:szCs w:val="24"/>
        </w:rPr>
        <w:t>in limine</w:t>
      </w:r>
      <w:r w:rsidRPr="00A52C11">
        <w:rPr>
          <w:rFonts w:ascii="Times New Roman" w:hAnsi="Times New Roman" w:cs="Times New Roman"/>
          <w:sz w:val="24"/>
          <w:szCs w:val="24"/>
        </w:rPr>
        <w:t xml:space="preserve"> is therefore dismissed. </w:t>
      </w:r>
    </w:p>
    <w:p w:rsidR="00C8537E" w:rsidRPr="00A52C11" w:rsidRDefault="006178A9" w:rsidP="00A52C11">
      <w:pPr>
        <w:pStyle w:val="ListParagraph"/>
        <w:numPr>
          <w:ilvl w:val="0"/>
          <w:numId w:val="1"/>
        </w:numPr>
        <w:spacing w:line="360" w:lineRule="auto"/>
        <w:jc w:val="both"/>
        <w:rPr>
          <w:rFonts w:ascii="Times New Roman" w:hAnsi="Times New Roman" w:cs="Times New Roman"/>
          <w:b/>
          <w:i/>
          <w:sz w:val="24"/>
          <w:szCs w:val="24"/>
        </w:rPr>
      </w:pPr>
      <w:r w:rsidRPr="00A52C11">
        <w:rPr>
          <w:rFonts w:ascii="Times New Roman" w:hAnsi="Times New Roman" w:cs="Times New Roman"/>
          <w:b/>
          <w:i/>
          <w:sz w:val="24"/>
          <w:szCs w:val="24"/>
        </w:rPr>
        <w:t>Whether serving a minor with court papers constitutes improper service</w:t>
      </w:r>
    </w:p>
    <w:p w:rsidR="006178A9" w:rsidRPr="00A52C11" w:rsidRDefault="002921E2" w:rsidP="0004734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first</w:t>
      </w:r>
      <w:r w:rsidR="006178A9" w:rsidRPr="00A52C11">
        <w:rPr>
          <w:rFonts w:ascii="Times New Roman" w:hAnsi="Times New Roman" w:cs="Times New Roman"/>
          <w:sz w:val="24"/>
          <w:szCs w:val="24"/>
        </w:rPr>
        <w:t xml:space="preserve"> respondent contends that the application was served on his minor child who is only twelve years old and recently sat for her grade seven examinations. </w:t>
      </w:r>
      <w:r w:rsidR="00750F98" w:rsidRPr="00A52C11">
        <w:rPr>
          <w:rFonts w:ascii="Times New Roman" w:hAnsi="Times New Roman" w:cs="Times New Roman"/>
          <w:sz w:val="24"/>
          <w:szCs w:val="24"/>
        </w:rPr>
        <w:t>Rule</w:t>
      </w:r>
      <w:r w:rsidR="006178A9" w:rsidRPr="00A52C11">
        <w:rPr>
          <w:rFonts w:ascii="Times New Roman" w:hAnsi="Times New Roman" w:cs="Times New Roman"/>
          <w:sz w:val="24"/>
          <w:szCs w:val="24"/>
        </w:rPr>
        <w:t xml:space="preserve"> </w:t>
      </w:r>
      <w:r w:rsidR="00750F98" w:rsidRPr="00A52C11">
        <w:rPr>
          <w:rFonts w:ascii="Times New Roman" w:hAnsi="Times New Roman" w:cs="Times New Roman"/>
          <w:sz w:val="24"/>
          <w:szCs w:val="24"/>
        </w:rPr>
        <w:t>15 (</w:t>
      </w:r>
      <w:r w:rsidR="006178A9" w:rsidRPr="00A52C11">
        <w:rPr>
          <w:rFonts w:ascii="Times New Roman" w:hAnsi="Times New Roman" w:cs="Times New Roman"/>
          <w:sz w:val="24"/>
          <w:szCs w:val="24"/>
        </w:rPr>
        <w:t>13</w:t>
      </w:r>
      <w:r w:rsidR="00750F98" w:rsidRPr="00A52C11">
        <w:rPr>
          <w:rFonts w:ascii="Times New Roman" w:hAnsi="Times New Roman" w:cs="Times New Roman"/>
          <w:sz w:val="24"/>
          <w:szCs w:val="24"/>
        </w:rPr>
        <w:t>)</w:t>
      </w:r>
      <w:r w:rsidR="006178A9" w:rsidRPr="00A52C11">
        <w:rPr>
          <w:rFonts w:ascii="Times New Roman" w:hAnsi="Times New Roman" w:cs="Times New Roman"/>
          <w:sz w:val="24"/>
          <w:szCs w:val="24"/>
        </w:rPr>
        <w:t xml:space="preserve">(b) of the High Court Rules </w:t>
      </w:r>
      <w:r w:rsidR="000E6CDA" w:rsidRPr="00A52C11">
        <w:rPr>
          <w:rFonts w:ascii="Times New Roman" w:hAnsi="Times New Roman" w:cs="Times New Roman"/>
          <w:sz w:val="24"/>
          <w:szCs w:val="24"/>
        </w:rPr>
        <w:t>2021 states that:</w:t>
      </w:r>
    </w:p>
    <w:p w:rsidR="000E6CDA" w:rsidRPr="00A52C11" w:rsidRDefault="000E6CDA" w:rsidP="009F524A">
      <w:pPr>
        <w:spacing w:line="240" w:lineRule="auto"/>
        <w:ind w:left="720"/>
        <w:jc w:val="both"/>
        <w:rPr>
          <w:rFonts w:ascii="Times New Roman" w:hAnsi="Times New Roman" w:cs="Times New Roman"/>
          <w:sz w:val="24"/>
          <w:szCs w:val="24"/>
        </w:rPr>
      </w:pPr>
      <w:r w:rsidRPr="00A52C11">
        <w:rPr>
          <w:rFonts w:ascii="Times New Roman" w:hAnsi="Times New Roman" w:cs="Times New Roman"/>
          <w:sz w:val="24"/>
          <w:szCs w:val="24"/>
        </w:rPr>
        <w:t>Service of any other process of the court may be affected in one or other of the following matters –</w:t>
      </w:r>
    </w:p>
    <w:p w:rsidR="000E6CDA" w:rsidRPr="00A52C11" w:rsidRDefault="000E6CDA" w:rsidP="009F524A">
      <w:pPr>
        <w:spacing w:line="240" w:lineRule="auto"/>
        <w:ind w:left="720"/>
        <w:jc w:val="both"/>
        <w:rPr>
          <w:rFonts w:ascii="Times New Roman" w:hAnsi="Times New Roman" w:cs="Times New Roman"/>
          <w:sz w:val="24"/>
          <w:szCs w:val="24"/>
        </w:rPr>
      </w:pPr>
      <w:r w:rsidRPr="00A52C11">
        <w:rPr>
          <w:rFonts w:ascii="Times New Roman" w:hAnsi="Times New Roman" w:cs="Times New Roman"/>
          <w:sz w:val="24"/>
          <w:szCs w:val="24"/>
        </w:rPr>
        <w:t>(b) by delivering a copy thereof on a responsible person at the place of residence or business or employment of that person, who shall be apparently in charge of the premises at the time of the delivery being a person apparently not less than sixteen years of age ……….</w:t>
      </w:r>
    </w:p>
    <w:p w:rsidR="009D2BB1" w:rsidRDefault="000E6CDA" w:rsidP="00047342">
      <w:pPr>
        <w:spacing w:line="360" w:lineRule="auto"/>
        <w:ind w:firstLine="360"/>
        <w:jc w:val="both"/>
        <w:rPr>
          <w:rFonts w:ascii="Times New Roman" w:hAnsi="Times New Roman" w:cs="Times New Roman"/>
          <w:sz w:val="24"/>
          <w:szCs w:val="24"/>
        </w:rPr>
      </w:pPr>
      <w:r w:rsidRPr="00A52C11">
        <w:rPr>
          <w:rFonts w:ascii="Times New Roman" w:hAnsi="Times New Roman" w:cs="Times New Roman"/>
          <w:sz w:val="24"/>
          <w:szCs w:val="24"/>
        </w:rPr>
        <w:t>From the above, it is clear that serving court papers on a child below the age of sixteen years constitutes improper service. The child is deemed to be too young to receive court papers or to properly comprehend and appreciate the effect and import of these proceedings.</w:t>
      </w:r>
      <w:r w:rsidR="008E66B9" w:rsidRPr="00A52C11">
        <w:rPr>
          <w:rFonts w:ascii="Times New Roman" w:hAnsi="Times New Roman" w:cs="Times New Roman"/>
          <w:sz w:val="24"/>
          <w:szCs w:val="24"/>
        </w:rPr>
        <w:t xml:space="preserve"> </w:t>
      </w:r>
      <w:r w:rsidR="009B234D" w:rsidRPr="00A52C11">
        <w:rPr>
          <w:rFonts w:ascii="Times New Roman" w:hAnsi="Times New Roman" w:cs="Times New Roman"/>
          <w:sz w:val="24"/>
          <w:szCs w:val="24"/>
        </w:rPr>
        <w:t xml:space="preserve"> </w:t>
      </w:r>
      <w:r w:rsidR="008E66B9" w:rsidRPr="00A52C11">
        <w:rPr>
          <w:rFonts w:ascii="Times New Roman" w:hAnsi="Times New Roman" w:cs="Times New Roman"/>
          <w:sz w:val="24"/>
          <w:szCs w:val="24"/>
        </w:rPr>
        <w:t xml:space="preserve">Proper service is a </w:t>
      </w:r>
      <w:r w:rsidR="008E66B9" w:rsidRPr="00A52C11">
        <w:rPr>
          <w:rFonts w:ascii="Times New Roman" w:hAnsi="Times New Roman" w:cs="Times New Roman"/>
          <w:bCs/>
          <w:sz w:val="24"/>
          <w:szCs w:val="24"/>
        </w:rPr>
        <w:t>jurisdictional prerequisite</w:t>
      </w:r>
      <w:r w:rsidR="008E66B9" w:rsidRPr="00A52C11">
        <w:rPr>
          <w:rFonts w:ascii="Times New Roman" w:hAnsi="Times New Roman" w:cs="Times New Roman"/>
          <w:sz w:val="24"/>
          <w:szCs w:val="24"/>
        </w:rPr>
        <w:t xml:space="preserve"> for the matter to be properly before the court. Failure to serve the court process in accordance with the </w:t>
      </w:r>
      <w:r w:rsidR="009B234D" w:rsidRPr="00A52C11">
        <w:rPr>
          <w:rFonts w:ascii="Times New Roman" w:hAnsi="Times New Roman" w:cs="Times New Roman"/>
          <w:sz w:val="24"/>
          <w:szCs w:val="24"/>
        </w:rPr>
        <w:t>r</w:t>
      </w:r>
      <w:r w:rsidR="008E66B9" w:rsidRPr="00A52C11">
        <w:rPr>
          <w:rFonts w:ascii="Times New Roman" w:hAnsi="Times New Roman" w:cs="Times New Roman"/>
          <w:sz w:val="24"/>
          <w:szCs w:val="24"/>
        </w:rPr>
        <w:t>ules renders the application fatally defective and liable to be dismissed.</w:t>
      </w:r>
      <w:r w:rsidR="009B234D" w:rsidRPr="00A52C11">
        <w:rPr>
          <w:rFonts w:ascii="Times New Roman" w:hAnsi="Times New Roman" w:cs="Times New Roman"/>
          <w:sz w:val="24"/>
          <w:szCs w:val="24"/>
        </w:rPr>
        <w:t xml:space="preserve"> The a</w:t>
      </w:r>
      <w:r w:rsidR="008E66B9" w:rsidRPr="00A52C11">
        <w:rPr>
          <w:rFonts w:ascii="Times New Roman" w:hAnsi="Times New Roman" w:cs="Times New Roman"/>
          <w:sz w:val="24"/>
          <w:szCs w:val="24"/>
        </w:rPr>
        <w:t xml:space="preserve">pplicant cannot rely on such </w:t>
      </w:r>
      <w:r w:rsidR="009B234D" w:rsidRPr="00A52C11">
        <w:rPr>
          <w:rFonts w:ascii="Times New Roman" w:hAnsi="Times New Roman" w:cs="Times New Roman"/>
          <w:sz w:val="24"/>
          <w:szCs w:val="24"/>
        </w:rPr>
        <w:t xml:space="preserve">an </w:t>
      </w:r>
      <w:r w:rsidR="008E66B9" w:rsidRPr="00A52C11">
        <w:rPr>
          <w:rFonts w:ascii="Times New Roman" w:hAnsi="Times New Roman" w:cs="Times New Roman"/>
          <w:sz w:val="24"/>
          <w:szCs w:val="24"/>
        </w:rPr>
        <w:t xml:space="preserve">irregularity to sustain proceedings against the </w:t>
      </w:r>
      <w:r w:rsidR="009B234D" w:rsidRPr="00A52C11">
        <w:rPr>
          <w:rFonts w:ascii="Times New Roman" w:hAnsi="Times New Roman" w:cs="Times New Roman"/>
          <w:sz w:val="24"/>
          <w:szCs w:val="24"/>
        </w:rPr>
        <w:t>r</w:t>
      </w:r>
      <w:r w:rsidR="008E66B9" w:rsidRPr="00A52C11">
        <w:rPr>
          <w:rFonts w:ascii="Times New Roman" w:hAnsi="Times New Roman" w:cs="Times New Roman"/>
          <w:sz w:val="24"/>
          <w:szCs w:val="24"/>
        </w:rPr>
        <w:t>espondent</w:t>
      </w:r>
      <w:r w:rsidR="009B234D" w:rsidRPr="00A52C11">
        <w:rPr>
          <w:rFonts w:ascii="Times New Roman" w:hAnsi="Times New Roman" w:cs="Times New Roman"/>
          <w:sz w:val="24"/>
          <w:szCs w:val="24"/>
        </w:rPr>
        <w:t xml:space="preserve">s. </w:t>
      </w:r>
      <w:r w:rsidR="008E66B9" w:rsidRPr="00A52C11">
        <w:rPr>
          <w:rFonts w:ascii="Times New Roman" w:hAnsi="Times New Roman" w:cs="Times New Roman"/>
          <w:sz w:val="24"/>
          <w:szCs w:val="24"/>
        </w:rPr>
        <w:t xml:space="preserve">It is trite law that where there has been no proper service, the court lacks jurisdiction over the </w:t>
      </w:r>
      <w:r w:rsidR="009B234D" w:rsidRPr="00A52C11">
        <w:rPr>
          <w:rFonts w:ascii="Times New Roman" w:hAnsi="Times New Roman" w:cs="Times New Roman"/>
          <w:sz w:val="24"/>
          <w:szCs w:val="24"/>
        </w:rPr>
        <w:t>r</w:t>
      </w:r>
      <w:r w:rsidR="008E66B9" w:rsidRPr="00A52C11">
        <w:rPr>
          <w:rFonts w:ascii="Times New Roman" w:hAnsi="Times New Roman" w:cs="Times New Roman"/>
          <w:sz w:val="24"/>
          <w:szCs w:val="24"/>
        </w:rPr>
        <w:t>espondent</w:t>
      </w:r>
      <w:r w:rsidR="009B234D" w:rsidRPr="00A52C11">
        <w:rPr>
          <w:rFonts w:ascii="Times New Roman" w:hAnsi="Times New Roman" w:cs="Times New Roman"/>
          <w:sz w:val="24"/>
          <w:szCs w:val="24"/>
        </w:rPr>
        <w:t>s</w:t>
      </w:r>
      <w:r w:rsidR="008E66B9" w:rsidRPr="00A52C11">
        <w:rPr>
          <w:rFonts w:ascii="Times New Roman" w:hAnsi="Times New Roman" w:cs="Times New Roman"/>
          <w:sz w:val="24"/>
          <w:szCs w:val="24"/>
        </w:rPr>
        <w:t xml:space="preserve">. Consequently, the application is not properly before </w:t>
      </w:r>
      <w:r w:rsidR="00473E37">
        <w:rPr>
          <w:rFonts w:ascii="Times New Roman" w:hAnsi="Times New Roman" w:cs="Times New Roman"/>
          <w:sz w:val="24"/>
          <w:szCs w:val="24"/>
        </w:rPr>
        <w:t xml:space="preserve">the court and must be struck off the roll. </w:t>
      </w:r>
    </w:p>
    <w:p w:rsidR="009D2BB1" w:rsidRPr="00A52C11" w:rsidRDefault="00A52C11" w:rsidP="00A52C11">
      <w:pPr>
        <w:spacing w:line="360" w:lineRule="auto"/>
        <w:jc w:val="both"/>
        <w:rPr>
          <w:rFonts w:ascii="Times New Roman" w:hAnsi="Times New Roman" w:cs="Times New Roman"/>
          <w:sz w:val="24"/>
          <w:szCs w:val="24"/>
        </w:rPr>
      </w:pPr>
      <w:r w:rsidRPr="00A52C11">
        <w:rPr>
          <w:rFonts w:ascii="Times New Roman" w:hAnsi="Times New Roman" w:cs="Times New Roman"/>
          <w:sz w:val="24"/>
          <w:szCs w:val="24"/>
        </w:rPr>
        <w:t xml:space="preserve">Accordingly, the </w:t>
      </w:r>
      <w:r w:rsidRPr="00A52C11">
        <w:rPr>
          <w:rFonts w:ascii="Times New Roman" w:hAnsi="Times New Roman" w:cs="Times New Roman"/>
          <w:i/>
          <w:sz w:val="24"/>
          <w:szCs w:val="24"/>
        </w:rPr>
        <w:t>point in limine</w:t>
      </w:r>
      <w:r w:rsidRPr="00A52C11">
        <w:rPr>
          <w:rFonts w:ascii="Times New Roman" w:hAnsi="Times New Roman" w:cs="Times New Roman"/>
          <w:sz w:val="24"/>
          <w:szCs w:val="24"/>
        </w:rPr>
        <w:t xml:space="preserve"> is upheld.</w:t>
      </w:r>
    </w:p>
    <w:p w:rsidR="000F6E02" w:rsidRPr="000F6E02" w:rsidRDefault="000F6E02" w:rsidP="000F6E0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F6E02">
        <w:rPr>
          <w:rFonts w:ascii="Times New Roman" w:hAnsi="Times New Roman" w:cs="Times New Roman"/>
          <w:sz w:val="24"/>
          <w:szCs w:val="24"/>
        </w:rPr>
        <w:t>In the result, I make the following order:</w:t>
      </w:r>
    </w:p>
    <w:p w:rsidR="000F6E02" w:rsidRPr="000F6E02" w:rsidRDefault="000F6E02" w:rsidP="002921E2">
      <w:pPr>
        <w:spacing w:line="360" w:lineRule="auto"/>
        <w:ind w:left="1440"/>
        <w:jc w:val="both"/>
        <w:rPr>
          <w:rFonts w:ascii="Times New Roman" w:hAnsi="Times New Roman" w:cs="Times New Roman"/>
          <w:sz w:val="24"/>
          <w:szCs w:val="24"/>
        </w:rPr>
      </w:pPr>
      <w:r w:rsidRPr="000F6E02">
        <w:rPr>
          <w:rFonts w:ascii="Times New Roman" w:hAnsi="Times New Roman" w:cs="Times New Roman"/>
          <w:sz w:val="24"/>
          <w:szCs w:val="24"/>
        </w:rPr>
        <w:t>(1) The application be an</w:t>
      </w:r>
      <w:r w:rsidR="00473E37">
        <w:rPr>
          <w:rFonts w:ascii="Times New Roman" w:hAnsi="Times New Roman" w:cs="Times New Roman"/>
          <w:sz w:val="24"/>
          <w:szCs w:val="24"/>
        </w:rPr>
        <w:t>d is hereby struck off the roll with costs</w:t>
      </w:r>
      <w:r w:rsidRPr="000F6E02">
        <w:rPr>
          <w:rFonts w:ascii="Times New Roman" w:hAnsi="Times New Roman" w:cs="Times New Roman"/>
          <w:sz w:val="24"/>
          <w:szCs w:val="24"/>
        </w:rPr>
        <w:t>.</w:t>
      </w:r>
    </w:p>
    <w:p w:rsidR="00614C32" w:rsidRDefault="00614C32" w:rsidP="000F6E02">
      <w:pPr>
        <w:spacing w:line="360" w:lineRule="auto"/>
        <w:jc w:val="both"/>
        <w:rPr>
          <w:rFonts w:ascii="Times New Roman" w:hAnsi="Times New Roman" w:cs="Times New Roman"/>
          <w:b/>
          <w:sz w:val="24"/>
          <w:szCs w:val="24"/>
        </w:rPr>
      </w:pPr>
    </w:p>
    <w:p w:rsidR="00614C32" w:rsidRDefault="00614C32" w:rsidP="000F6E02">
      <w:pPr>
        <w:spacing w:line="360" w:lineRule="auto"/>
        <w:jc w:val="both"/>
        <w:rPr>
          <w:rFonts w:ascii="Times New Roman" w:hAnsi="Times New Roman" w:cs="Times New Roman"/>
          <w:b/>
          <w:sz w:val="24"/>
          <w:szCs w:val="24"/>
        </w:rPr>
      </w:pPr>
    </w:p>
    <w:p w:rsidR="000F6E02" w:rsidRPr="002921E2" w:rsidRDefault="000F6E02" w:rsidP="000F6E02">
      <w:pPr>
        <w:spacing w:line="360" w:lineRule="auto"/>
        <w:jc w:val="both"/>
        <w:rPr>
          <w:rFonts w:ascii="Times New Roman" w:hAnsi="Times New Roman" w:cs="Times New Roman"/>
          <w:b/>
          <w:sz w:val="24"/>
          <w:szCs w:val="24"/>
        </w:rPr>
      </w:pPr>
      <w:r w:rsidRPr="000F6E02">
        <w:rPr>
          <w:rFonts w:ascii="Times New Roman" w:hAnsi="Times New Roman" w:cs="Times New Roman"/>
          <w:b/>
          <w:sz w:val="24"/>
          <w:szCs w:val="24"/>
        </w:rPr>
        <w:t>TAKUVA J………………………………..</w:t>
      </w:r>
    </w:p>
    <w:p w:rsidR="000F6E02" w:rsidRPr="000F6E02" w:rsidRDefault="000F6E02" w:rsidP="00047342">
      <w:pPr>
        <w:spacing w:after="0" w:line="240" w:lineRule="auto"/>
        <w:jc w:val="both"/>
        <w:rPr>
          <w:rFonts w:ascii="Times New Roman" w:hAnsi="Times New Roman" w:cs="Times New Roman"/>
          <w:sz w:val="24"/>
          <w:szCs w:val="24"/>
        </w:rPr>
      </w:pPr>
      <w:r w:rsidRPr="000F6E02">
        <w:rPr>
          <w:rFonts w:ascii="Times New Roman" w:hAnsi="Times New Roman" w:cs="Times New Roman"/>
          <w:i/>
          <w:sz w:val="24"/>
          <w:szCs w:val="24"/>
        </w:rPr>
        <w:lastRenderedPageBreak/>
        <w:t>MD Hungwe Attorneys at Law</w:t>
      </w:r>
      <w:r w:rsidRPr="000F6E02">
        <w:rPr>
          <w:rFonts w:ascii="Times New Roman" w:hAnsi="Times New Roman" w:cs="Times New Roman"/>
          <w:sz w:val="24"/>
          <w:szCs w:val="24"/>
        </w:rPr>
        <w:t>, applicant’s legal practitioners</w:t>
      </w:r>
    </w:p>
    <w:p w:rsidR="001E637F" w:rsidRPr="00A52C11" w:rsidRDefault="000F6E02" w:rsidP="00047342">
      <w:pPr>
        <w:spacing w:after="0" w:line="240" w:lineRule="auto"/>
        <w:jc w:val="both"/>
        <w:rPr>
          <w:rFonts w:ascii="Times New Roman" w:hAnsi="Times New Roman" w:cs="Times New Roman"/>
          <w:sz w:val="24"/>
          <w:szCs w:val="24"/>
        </w:rPr>
      </w:pPr>
      <w:r w:rsidRPr="000F6E02">
        <w:rPr>
          <w:rFonts w:ascii="Times New Roman" w:hAnsi="Times New Roman" w:cs="Times New Roman"/>
          <w:i/>
          <w:sz w:val="24"/>
          <w:szCs w:val="24"/>
        </w:rPr>
        <w:t>Nyawo Ruzive Attorneys</w:t>
      </w:r>
      <w:r w:rsidR="00047342">
        <w:rPr>
          <w:rFonts w:ascii="Times New Roman" w:hAnsi="Times New Roman" w:cs="Times New Roman"/>
          <w:sz w:val="24"/>
          <w:szCs w:val="24"/>
        </w:rPr>
        <w:t>, first and third</w:t>
      </w:r>
      <w:r w:rsidRPr="000F6E02">
        <w:rPr>
          <w:rFonts w:ascii="Times New Roman" w:hAnsi="Times New Roman" w:cs="Times New Roman"/>
          <w:sz w:val="24"/>
          <w:szCs w:val="24"/>
        </w:rPr>
        <w:t xml:space="preserve"> </w:t>
      </w:r>
      <w:r>
        <w:rPr>
          <w:rFonts w:ascii="Times New Roman" w:hAnsi="Times New Roman" w:cs="Times New Roman"/>
          <w:sz w:val="24"/>
          <w:szCs w:val="24"/>
        </w:rPr>
        <w:t>r</w:t>
      </w:r>
      <w:r w:rsidRPr="000F6E02">
        <w:rPr>
          <w:rFonts w:ascii="Times New Roman" w:hAnsi="Times New Roman" w:cs="Times New Roman"/>
          <w:sz w:val="24"/>
          <w:szCs w:val="24"/>
        </w:rPr>
        <w:t>espondent’s Legal Practitioners</w:t>
      </w:r>
    </w:p>
    <w:sectPr w:rsidR="001E637F" w:rsidRPr="00A52C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B5" w:rsidRDefault="00244FB5" w:rsidP="00161BB4">
      <w:pPr>
        <w:spacing w:after="0" w:line="240" w:lineRule="auto"/>
      </w:pPr>
      <w:r>
        <w:separator/>
      </w:r>
    </w:p>
  </w:endnote>
  <w:endnote w:type="continuationSeparator" w:id="0">
    <w:p w:rsidR="00244FB5" w:rsidRDefault="00244FB5" w:rsidP="0016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B5" w:rsidRDefault="00244FB5" w:rsidP="00161BB4">
      <w:pPr>
        <w:spacing w:after="0" w:line="240" w:lineRule="auto"/>
      </w:pPr>
      <w:r>
        <w:separator/>
      </w:r>
    </w:p>
  </w:footnote>
  <w:footnote w:type="continuationSeparator" w:id="0">
    <w:p w:rsidR="00244FB5" w:rsidRDefault="00244FB5" w:rsidP="00161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2D2" w:rsidRDefault="00161BB4">
    <w:pPr>
      <w:pStyle w:val="Header"/>
    </w:pPr>
    <w:r>
      <w:tab/>
    </w:r>
    <w:r>
      <w:tab/>
    </w:r>
    <w:sdt>
      <w:sdtPr>
        <w:id w:val="-18830830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15B3C">
          <w:rPr>
            <w:noProof/>
          </w:rPr>
          <w:t>1</w:t>
        </w:r>
        <w:r>
          <w:rPr>
            <w:noProof/>
          </w:rPr>
          <w:fldChar w:fldCharType="end"/>
        </w:r>
      </w:sdtContent>
    </w:sdt>
  </w:p>
  <w:p w:rsidR="002422D2" w:rsidRDefault="002422D2">
    <w:pPr>
      <w:pStyle w:val="Header"/>
    </w:pPr>
    <w:r>
      <w:tab/>
    </w:r>
    <w:r>
      <w:tab/>
      <w:t>HH 421-25</w:t>
    </w:r>
  </w:p>
  <w:p w:rsidR="00161BB4" w:rsidRDefault="002422D2">
    <w:pPr>
      <w:pStyle w:val="Header"/>
    </w:pPr>
    <w:r>
      <w:tab/>
    </w:r>
    <w:r>
      <w:tab/>
    </w:r>
    <w:r w:rsidR="00161BB4">
      <w:t>HCH 7463/23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F4049"/>
    <w:multiLevelType w:val="multilevel"/>
    <w:tmpl w:val="F1F4B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A2256"/>
    <w:multiLevelType w:val="hybridMultilevel"/>
    <w:tmpl w:val="73AE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DD4C7F"/>
    <w:multiLevelType w:val="hybridMultilevel"/>
    <w:tmpl w:val="E3247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49"/>
    <w:rsid w:val="00047342"/>
    <w:rsid w:val="00085A81"/>
    <w:rsid w:val="000C2957"/>
    <w:rsid w:val="000E6CDA"/>
    <w:rsid w:val="000F6E02"/>
    <w:rsid w:val="00123662"/>
    <w:rsid w:val="0012422B"/>
    <w:rsid w:val="00142E6E"/>
    <w:rsid w:val="00161BB4"/>
    <w:rsid w:val="001C5AD1"/>
    <w:rsid w:val="001E637F"/>
    <w:rsid w:val="002422D2"/>
    <w:rsid w:val="00244FB5"/>
    <w:rsid w:val="002921E2"/>
    <w:rsid w:val="002F0E07"/>
    <w:rsid w:val="00315B3C"/>
    <w:rsid w:val="00383D8D"/>
    <w:rsid w:val="003F4AF2"/>
    <w:rsid w:val="00413DCA"/>
    <w:rsid w:val="004559F7"/>
    <w:rsid w:val="0045747E"/>
    <w:rsid w:val="00473E37"/>
    <w:rsid w:val="00491370"/>
    <w:rsid w:val="00507785"/>
    <w:rsid w:val="005455F8"/>
    <w:rsid w:val="00590826"/>
    <w:rsid w:val="005B4962"/>
    <w:rsid w:val="005B74DA"/>
    <w:rsid w:val="005D6BCF"/>
    <w:rsid w:val="00614C32"/>
    <w:rsid w:val="006178A9"/>
    <w:rsid w:val="00750F98"/>
    <w:rsid w:val="007D78C7"/>
    <w:rsid w:val="00855968"/>
    <w:rsid w:val="008819CB"/>
    <w:rsid w:val="00897F68"/>
    <w:rsid w:val="008E66B9"/>
    <w:rsid w:val="009B234D"/>
    <w:rsid w:val="009D2BB1"/>
    <w:rsid w:val="009F01E8"/>
    <w:rsid w:val="009F483F"/>
    <w:rsid w:val="009F524A"/>
    <w:rsid w:val="00A4755F"/>
    <w:rsid w:val="00A52C11"/>
    <w:rsid w:val="00AC4319"/>
    <w:rsid w:val="00B15C14"/>
    <w:rsid w:val="00B23E67"/>
    <w:rsid w:val="00B4289D"/>
    <w:rsid w:val="00B611D4"/>
    <w:rsid w:val="00B67F49"/>
    <w:rsid w:val="00B75D02"/>
    <w:rsid w:val="00B86D1C"/>
    <w:rsid w:val="00BE7C8D"/>
    <w:rsid w:val="00C72AC7"/>
    <w:rsid w:val="00C8537E"/>
    <w:rsid w:val="00CB7647"/>
    <w:rsid w:val="00CD3C94"/>
    <w:rsid w:val="00CF663E"/>
    <w:rsid w:val="00CF66DB"/>
    <w:rsid w:val="00D20BEA"/>
    <w:rsid w:val="00D4447A"/>
    <w:rsid w:val="00DD56F3"/>
    <w:rsid w:val="00E51D2B"/>
    <w:rsid w:val="00E561DE"/>
    <w:rsid w:val="00E57248"/>
    <w:rsid w:val="00E86990"/>
    <w:rsid w:val="00EE716B"/>
    <w:rsid w:val="00EF3154"/>
    <w:rsid w:val="00F42505"/>
    <w:rsid w:val="00FC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842D4-7FAF-4FFF-A1E2-9C96619D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19"/>
    <w:pPr>
      <w:ind w:left="720"/>
      <w:contextualSpacing/>
    </w:pPr>
  </w:style>
  <w:style w:type="paragraph" w:styleId="NormalWeb">
    <w:name w:val="Normal (Web)"/>
    <w:basedOn w:val="Normal"/>
    <w:uiPriority w:val="99"/>
    <w:semiHidden/>
    <w:unhideWhenUsed/>
    <w:rsid w:val="00F42505"/>
    <w:rPr>
      <w:rFonts w:ascii="Times New Roman" w:hAnsi="Times New Roman" w:cs="Times New Roman"/>
      <w:sz w:val="24"/>
      <w:szCs w:val="24"/>
    </w:rPr>
  </w:style>
  <w:style w:type="character" w:styleId="Hyperlink">
    <w:name w:val="Hyperlink"/>
    <w:basedOn w:val="DefaultParagraphFont"/>
    <w:uiPriority w:val="99"/>
    <w:unhideWhenUsed/>
    <w:rsid w:val="00F42505"/>
    <w:rPr>
      <w:color w:val="0563C1" w:themeColor="hyperlink"/>
      <w:u w:val="single"/>
    </w:rPr>
  </w:style>
  <w:style w:type="character" w:customStyle="1" w:styleId="UnresolvedMention">
    <w:name w:val="Unresolved Mention"/>
    <w:basedOn w:val="DefaultParagraphFont"/>
    <w:uiPriority w:val="99"/>
    <w:semiHidden/>
    <w:unhideWhenUsed/>
    <w:rsid w:val="00F42505"/>
    <w:rPr>
      <w:color w:val="605E5C"/>
      <w:shd w:val="clear" w:color="auto" w:fill="E1DFDD"/>
    </w:rPr>
  </w:style>
  <w:style w:type="paragraph" w:styleId="Header">
    <w:name w:val="header"/>
    <w:basedOn w:val="Normal"/>
    <w:link w:val="HeaderChar"/>
    <w:uiPriority w:val="99"/>
    <w:unhideWhenUsed/>
    <w:rsid w:val="00161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BB4"/>
  </w:style>
  <w:style w:type="paragraph" w:styleId="Footer">
    <w:name w:val="footer"/>
    <w:basedOn w:val="Normal"/>
    <w:link w:val="FooterChar"/>
    <w:uiPriority w:val="99"/>
    <w:unhideWhenUsed/>
    <w:rsid w:val="00161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059996">
      <w:bodyDiv w:val="1"/>
      <w:marLeft w:val="0"/>
      <w:marRight w:val="0"/>
      <w:marTop w:val="0"/>
      <w:marBottom w:val="0"/>
      <w:divBdr>
        <w:top w:val="none" w:sz="0" w:space="0" w:color="auto"/>
        <w:left w:val="none" w:sz="0" w:space="0" w:color="auto"/>
        <w:bottom w:val="none" w:sz="0" w:space="0" w:color="auto"/>
        <w:right w:val="none" w:sz="0" w:space="0" w:color="auto"/>
      </w:divBdr>
    </w:div>
    <w:div w:id="805319855">
      <w:bodyDiv w:val="1"/>
      <w:marLeft w:val="0"/>
      <w:marRight w:val="0"/>
      <w:marTop w:val="0"/>
      <w:marBottom w:val="0"/>
      <w:divBdr>
        <w:top w:val="none" w:sz="0" w:space="0" w:color="auto"/>
        <w:left w:val="none" w:sz="0" w:space="0" w:color="auto"/>
        <w:bottom w:val="none" w:sz="0" w:space="0" w:color="auto"/>
        <w:right w:val="none" w:sz="0" w:space="0" w:color="auto"/>
      </w:divBdr>
    </w:div>
    <w:div w:id="1121653896">
      <w:bodyDiv w:val="1"/>
      <w:marLeft w:val="0"/>
      <w:marRight w:val="0"/>
      <w:marTop w:val="0"/>
      <w:marBottom w:val="0"/>
      <w:divBdr>
        <w:top w:val="none" w:sz="0" w:space="0" w:color="auto"/>
        <w:left w:val="none" w:sz="0" w:space="0" w:color="auto"/>
        <w:bottom w:val="none" w:sz="0" w:space="0" w:color="auto"/>
        <w:right w:val="none" w:sz="0" w:space="0" w:color="auto"/>
      </w:divBdr>
    </w:div>
    <w:div w:id="1305308040">
      <w:bodyDiv w:val="1"/>
      <w:marLeft w:val="0"/>
      <w:marRight w:val="0"/>
      <w:marTop w:val="0"/>
      <w:marBottom w:val="0"/>
      <w:divBdr>
        <w:top w:val="none" w:sz="0" w:space="0" w:color="auto"/>
        <w:left w:val="none" w:sz="0" w:space="0" w:color="auto"/>
        <w:bottom w:val="none" w:sz="0" w:space="0" w:color="auto"/>
        <w:right w:val="none" w:sz="0" w:space="0" w:color="auto"/>
      </w:divBdr>
    </w:div>
    <w:div w:id="1503273994">
      <w:bodyDiv w:val="1"/>
      <w:marLeft w:val="0"/>
      <w:marRight w:val="0"/>
      <w:marTop w:val="0"/>
      <w:marBottom w:val="0"/>
      <w:divBdr>
        <w:top w:val="none" w:sz="0" w:space="0" w:color="auto"/>
        <w:left w:val="none" w:sz="0" w:space="0" w:color="auto"/>
        <w:bottom w:val="none" w:sz="0" w:space="0" w:color="auto"/>
        <w:right w:val="none" w:sz="0" w:space="0" w:color="auto"/>
      </w:divBdr>
    </w:div>
    <w:div w:id="16206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Shamiso Zvingowanisei</dc:creator>
  <cp:keywords/>
  <dc:description/>
  <cp:lastModifiedBy>JSC</cp:lastModifiedBy>
  <cp:revision>2</cp:revision>
  <dcterms:created xsi:type="dcterms:W3CDTF">2025-07-18T11:15:00Z</dcterms:created>
  <dcterms:modified xsi:type="dcterms:W3CDTF">2025-07-18T11:15:00Z</dcterms:modified>
</cp:coreProperties>
</file>