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19D5" w:rsidRPr="00A86806" w:rsidRDefault="003719D5" w:rsidP="00A86806">
      <w:pPr>
        <w:pStyle w:val="NoSpacing"/>
        <w:spacing w:line="480" w:lineRule="auto"/>
        <w:jc w:val="both"/>
        <w:rPr>
          <w:rFonts w:ascii="Times New Roman" w:hAnsi="Times New Roman" w:cs="Times New Roman"/>
          <w:b/>
          <w:sz w:val="24"/>
          <w:szCs w:val="24"/>
          <w:lang w:val="en-US"/>
        </w:rPr>
      </w:pPr>
      <w:r w:rsidRPr="00A86806">
        <w:rPr>
          <w:rFonts w:ascii="Times New Roman" w:hAnsi="Times New Roman" w:cs="Times New Roman"/>
          <w:b/>
          <w:sz w:val="24"/>
          <w:szCs w:val="24"/>
          <w:lang w:val="en-US"/>
        </w:rPr>
        <w:t>TRYNOS NKOMO</w:t>
      </w:r>
    </w:p>
    <w:p w:rsidR="003719D5" w:rsidRPr="00A86806" w:rsidRDefault="003719D5" w:rsidP="00A86806">
      <w:pPr>
        <w:pStyle w:val="NoSpacing"/>
        <w:spacing w:line="480" w:lineRule="auto"/>
        <w:jc w:val="both"/>
        <w:rPr>
          <w:rFonts w:ascii="Times New Roman" w:hAnsi="Times New Roman" w:cs="Times New Roman"/>
          <w:b/>
          <w:sz w:val="24"/>
          <w:szCs w:val="24"/>
          <w:lang w:val="en-US"/>
        </w:rPr>
      </w:pPr>
      <w:r w:rsidRPr="00A86806">
        <w:rPr>
          <w:rFonts w:ascii="Times New Roman" w:hAnsi="Times New Roman" w:cs="Times New Roman"/>
          <w:b/>
          <w:sz w:val="24"/>
          <w:szCs w:val="24"/>
          <w:lang w:val="en-US"/>
        </w:rPr>
        <w:t>Versus</w:t>
      </w:r>
    </w:p>
    <w:p w:rsidR="003719D5" w:rsidRPr="00A86806" w:rsidRDefault="003719D5" w:rsidP="00A86806">
      <w:pPr>
        <w:pStyle w:val="NoSpacing"/>
        <w:spacing w:line="480" w:lineRule="auto"/>
        <w:jc w:val="both"/>
        <w:rPr>
          <w:rFonts w:ascii="Times New Roman" w:hAnsi="Times New Roman" w:cs="Times New Roman"/>
          <w:b/>
          <w:sz w:val="24"/>
          <w:szCs w:val="24"/>
          <w:lang w:val="en-US"/>
        </w:rPr>
      </w:pPr>
      <w:r w:rsidRPr="00A86806">
        <w:rPr>
          <w:rFonts w:ascii="Times New Roman" w:hAnsi="Times New Roman" w:cs="Times New Roman"/>
          <w:b/>
          <w:sz w:val="24"/>
          <w:szCs w:val="24"/>
          <w:lang w:val="en-US"/>
        </w:rPr>
        <w:t>LIONEL MAGUMBE</w:t>
      </w:r>
    </w:p>
    <w:p w:rsidR="003719D5" w:rsidRPr="00A86806" w:rsidRDefault="003719D5" w:rsidP="00A86806">
      <w:pPr>
        <w:pStyle w:val="NoSpacing"/>
        <w:spacing w:line="480" w:lineRule="auto"/>
        <w:jc w:val="both"/>
        <w:rPr>
          <w:rFonts w:ascii="Times New Roman" w:hAnsi="Times New Roman" w:cs="Times New Roman"/>
          <w:b/>
          <w:sz w:val="24"/>
          <w:szCs w:val="24"/>
          <w:lang w:val="en-US"/>
        </w:rPr>
      </w:pPr>
      <w:r w:rsidRPr="00A86806">
        <w:rPr>
          <w:rFonts w:ascii="Times New Roman" w:hAnsi="Times New Roman" w:cs="Times New Roman"/>
          <w:b/>
          <w:sz w:val="24"/>
          <w:szCs w:val="24"/>
          <w:lang w:val="en-US"/>
        </w:rPr>
        <w:t>AND</w:t>
      </w:r>
    </w:p>
    <w:p w:rsidR="003719D5" w:rsidRPr="00A86806" w:rsidRDefault="003719D5" w:rsidP="00A86806">
      <w:pPr>
        <w:pStyle w:val="NoSpacing"/>
        <w:spacing w:line="480" w:lineRule="auto"/>
        <w:jc w:val="both"/>
        <w:rPr>
          <w:rFonts w:ascii="Times New Roman" w:hAnsi="Times New Roman" w:cs="Times New Roman"/>
          <w:b/>
          <w:sz w:val="24"/>
          <w:szCs w:val="24"/>
          <w:lang w:val="en-US"/>
        </w:rPr>
      </w:pPr>
      <w:r w:rsidRPr="00A86806">
        <w:rPr>
          <w:rFonts w:ascii="Times New Roman" w:hAnsi="Times New Roman" w:cs="Times New Roman"/>
          <w:b/>
          <w:sz w:val="24"/>
          <w:szCs w:val="24"/>
          <w:lang w:val="en-US"/>
        </w:rPr>
        <w:t>PAUL WALKER</w:t>
      </w:r>
    </w:p>
    <w:p w:rsidR="003719D5" w:rsidRPr="00A86806" w:rsidRDefault="003719D5" w:rsidP="00A86806">
      <w:pPr>
        <w:pStyle w:val="NoSpacing"/>
        <w:spacing w:line="480" w:lineRule="auto"/>
        <w:jc w:val="both"/>
        <w:rPr>
          <w:rFonts w:ascii="Times New Roman" w:hAnsi="Times New Roman" w:cs="Times New Roman"/>
          <w:b/>
          <w:sz w:val="24"/>
          <w:szCs w:val="24"/>
          <w:lang w:val="en-US"/>
        </w:rPr>
      </w:pPr>
      <w:r w:rsidRPr="00A86806">
        <w:rPr>
          <w:rFonts w:ascii="Times New Roman" w:hAnsi="Times New Roman" w:cs="Times New Roman"/>
          <w:b/>
          <w:sz w:val="24"/>
          <w:szCs w:val="24"/>
          <w:lang w:val="en-US"/>
        </w:rPr>
        <w:t>And</w:t>
      </w:r>
    </w:p>
    <w:p w:rsidR="003719D5" w:rsidRPr="00A86806" w:rsidRDefault="003719D5" w:rsidP="00A86806">
      <w:pPr>
        <w:pStyle w:val="NoSpacing"/>
        <w:spacing w:line="480" w:lineRule="auto"/>
        <w:jc w:val="both"/>
        <w:rPr>
          <w:rFonts w:ascii="Times New Roman" w:hAnsi="Times New Roman" w:cs="Times New Roman"/>
          <w:b/>
          <w:sz w:val="24"/>
          <w:szCs w:val="24"/>
          <w:lang w:val="en-US"/>
        </w:rPr>
      </w:pPr>
      <w:r w:rsidRPr="00A86806">
        <w:rPr>
          <w:rFonts w:ascii="Times New Roman" w:hAnsi="Times New Roman" w:cs="Times New Roman"/>
          <w:b/>
          <w:sz w:val="24"/>
          <w:szCs w:val="24"/>
          <w:lang w:val="en-US"/>
        </w:rPr>
        <w:t>THE SHERIFF OF ZIMBABWE N.O</w:t>
      </w:r>
    </w:p>
    <w:p w:rsidR="003719D5" w:rsidRPr="00A86806" w:rsidRDefault="003719D5" w:rsidP="00A86806">
      <w:pPr>
        <w:pStyle w:val="NoSpacing"/>
        <w:spacing w:line="480" w:lineRule="auto"/>
        <w:jc w:val="both"/>
        <w:rPr>
          <w:rFonts w:ascii="Times New Roman" w:hAnsi="Times New Roman" w:cs="Times New Roman"/>
          <w:b/>
          <w:sz w:val="24"/>
          <w:szCs w:val="24"/>
          <w:lang w:val="en-US"/>
        </w:rPr>
      </w:pPr>
      <w:r w:rsidRPr="00A86806">
        <w:rPr>
          <w:rFonts w:ascii="Times New Roman" w:hAnsi="Times New Roman" w:cs="Times New Roman"/>
          <w:b/>
          <w:sz w:val="24"/>
          <w:szCs w:val="24"/>
          <w:lang w:val="en-US"/>
        </w:rPr>
        <w:t>And</w:t>
      </w:r>
    </w:p>
    <w:p w:rsidR="003719D5" w:rsidRPr="00A86806" w:rsidRDefault="003719D5" w:rsidP="00A86806">
      <w:pPr>
        <w:pStyle w:val="NoSpacing"/>
        <w:spacing w:line="480" w:lineRule="auto"/>
        <w:jc w:val="both"/>
        <w:rPr>
          <w:rFonts w:ascii="Times New Roman" w:hAnsi="Times New Roman" w:cs="Times New Roman"/>
          <w:b/>
          <w:sz w:val="24"/>
          <w:szCs w:val="24"/>
          <w:lang w:val="en-US"/>
        </w:rPr>
      </w:pPr>
      <w:r w:rsidRPr="00A86806">
        <w:rPr>
          <w:rFonts w:ascii="Times New Roman" w:hAnsi="Times New Roman" w:cs="Times New Roman"/>
          <w:b/>
          <w:sz w:val="24"/>
          <w:szCs w:val="24"/>
          <w:lang w:val="en-US"/>
        </w:rPr>
        <w:t>REALGATE PROPERIES (PVT) LTD</w:t>
      </w:r>
    </w:p>
    <w:p w:rsidR="003719D5" w:rsidRPr="00F001DB" w:rsidRDefault="003719D5" w:rsidP="00F001DB">
      <w:pPr>
        <w:pStyle w:val="NoSpacing"/>
        <w:rPr>
          <w:rFonts w:ascii="Times New Roman" w:hAnsi="Times New Roman" w:cs="Times New Roman"/>
          <w:sz w:val="24"/>
          <w:szCs w:val="24"/>
        </w:rPr>
      </w:pPr>
      <w:r w:rsidRPr="00F001DB">
        <w:rPr>
          <w:rFonts w:ascii="Times New Roman" w:hAnsi="Times New Roman" w:cs="Times New Roman"/>
          <w:sz w:val="24"/>
          <w:szCs w:val="24"/>
        </w:rPr>
        <w:t>IN THE HIGH COURT OF ZIMBABWE</w:t>
      </w:r>
    </w:p>
    <w:p w:rsidR="003719D5" w:rsidRPr="00F001DB" w:rsidRDefault="003719D5" w:rsidP="00F001DB">
      <w:pPr>
        <w:pStyle w:val="NoSpacing"/>
        <w:rPr>
          <w:rFonts w:ascii="Times New Roman" w:hAnsi="Times New Roman" w:cs="Times New Roman"/>
          <w:sz w:val="24"/>
          <w:szCs w:val="24"/>
        </w:rPr>
      </w:pPr>
      <w:r w:rsidRPr="00F001DB">
        <w:rPr>
          <w:rFonts w:ascii="Times New Roman" w:hAnsi="Times New Roman" w:cs="Times New Roman"/>
          <w:sz w:val="24"/>
          <w:szCs w:val="24"/>
        </w:rPr>
        <w:t>MAKONESE J</w:t>
      </w:r>
    </w:p>
    <w:p w:rsidR="003719D5" w:rsidRPr="00F001DB" w:rsidRDefault="003719D5" w:rsidP="00F001DB">
      <w:pPr>
        <w:pStyle w:val="NoSpacing"/>
        <w:rPr>
          <w:rFonts w:ascii="Times New Roman" w:hAnsi="Times New Roman" w:cs="Times New Roman"/>
          <w:sz w:val="24"/>
          <w:szCs w:val="24"/>
        </w:rPr>
      </w:pPr>
      <w:r w:rsidRPr="00F001DB">
        <w:rPr>
          <w:rFonts w:ascii="Times New Roman" w:hAnsi="Times New Roman" w:cs="Times New Roman"/>
          <w:sz w:val="24"/>
          <w:szCs w:val="24"/>
        </w:rPr>
        <w:t>BULAWAYO 3 NOVEMBER 2021 &amp; 27 JANUARY 2022</w:t>
      </w:r>
    </w:p>
    <w:p w:rsidR="003719D5" w:rsidRPr="00A86806" w:rsidRDefault="003719D5" w:rsidP="00A86806">
      <w:pPr>
        <w:pStyle w:val="NoSpacing"/>
        <w:spacing w:line="480" w:lineRule="auto"/>
        <w:jc w:val="both"/>
        <w:rPr>
          <w:rFonts w:ascii="Times New Roman" w:hAnsi="Times New Roman" w:cs="Times New Roman"/>
          <w:sz w:val="24"/>
          <w:szCs w:val="24"/>
          <w:lang w:val="en-US"/>
        </w:rPr>
      </w:pPr>
    </w:p>
    <w:p w:rsidR="003719D5" w:rsidRPr="00A86806" w:rsidRDefault="003719D5" w:rsidP="00A86806">
      <w:pPr>
        <w:pStyle w:val="NoSpacing"/>
        <w:spacing w:line="480" w:lineRule="auto"/>
        <w:jc w:val="both"/>
        <w:rPr>
          <w:rFonts w:ascii="Times New Roman" w:hAnsi="Times New Roman" w:cs="Times New Roman"/>
          <w:b/>
          <w:sz w:val="24"/>
          <w:szCs w:val="24"/>
          <w:lang w:val="en-US"/>
        </w:rPr>
      </w:pPr>
      <w:r w:rsidRPr="00A86806">
        <w:rPr>
          <w:rFonts w:ascii="Times New Roman" w:hAnsi="Times New Roman" w:cs="Times New Roman"/>
          <w:b/>
          <w:sz w:val="24"/>
          <w:szCs w:val="24"/>
          <w:lang w:val="en-US"/>
        </w:rPr>
        <w:t>Urgent Chamber Application</w:t>
      </w:r>
    </w:p>
    <w:p w:rsidR="003719D5" w:rsidRPr="00F001DB" w:rsidRDefault="003719D5" w:rsidP="00F001DB">
      <w:pPr>
        <w:pStyle w:val="NoSpacing"/>
        <w:rPr>
          <w:rFonts w:ascii="Times New Roman" w:hAnsi="Times New Roman" w:cs="Times New Roman"/>
          <w:sz w:val="24"/>
          <w:szCs w:val="24"/>
        </w:rPr>
      </w:pPr>
      <w:r w:rsidRPr="00F001DB">
        <w:rPr>
          <w:rFonts w:ascii="Times New Roman" w:hAnsi="Times New Roman" w:cs="Times New Roman"/>
          <w:i/>
          <w:sz w:val="24"/>
          <w:szCs w:val="24"/>
        </w:rPr>
        <w:t xml:space="preserve">H. </w:t>
      </w:r>
      <w:proofErr w:type="spellStart"/>
      <w:r w:rsidRPr="00F001DB">
        <w:rPr>
          <w:rFonts w:ascii="Times New Roman" w:hAnsi="Times New Roman" w:cs="Times New Roman"/>
          <w:i/>
          <w:sz w:val="24"/>
          <w:szCs w:val="24"/>
        </w:rPr>
        <w:t>Moyo</w:t>
      </w:r>
      <w:proofErr w:type="spellEnd"/>
      <w:r w:rsidRPr="00F001DB">
        <w:rPr>
          <w:rFonts w:ascii="Times New Roman" w:hAnsi="Times New Roman" w:cs="Times New Roman"/>
          <w:sz w:val="24"/>
          <w:szCs w:val="24"/>
        </w:rPr>
        <w:t xml:space="preserve"> for the applicant</w:t>
      </w:r>
    </w:p>
    <w:p w:rsidR="003719D5" w:rsidRPr="00F001DB" w:rsidRDefault="003719D5" w:rsidP="00F001DB">
      <w:pPr>
        <w:pStyle w:val="NoSpacing"/>
        <w:rPr>
          <w:rFonts w:ascii="Times New Roman" w:hAnsi="Times New Roman" w:cs="Times New Roman"/>
          <w:sz w:val="24"/>
          <w:szCs w:val="24"/>
        </w:rPr>
      </w:pPr>
      <w:r w:rsidRPr="00F001DB">
        <w:rPr>
          <w:rFonts w:ascii="Times New Roman" w:hAnsi="Times New Roman" w:cs="Times New Roman"/>
          <w:i/>
          <w:sz w:val="24"/>
          <w:szCs w:val="24"/>
        </w:rPr>
        <w:t xml:space="preserve">S. </w:t>
      </w:r>
      <w:proofErr w:type="spellStart"/>
      <w:r w:rsidRPr="00F001DB">
        <w:rPr>
          <w:rFonts w:ascii="Times New Roman" w:hAnsi="Times New Roman" w:cs="Times New Roman"/>
          <w:i/>
          <w:sz w:val="24"/>
          <w:szCs w:val="24"/>
        </w:rPr>
        <w:t>Chamunorwa</w:t>
      </w:r>
      <w:proofErr w:type="spellEnd"/>
      <w:r w:rsidRPr="00F001DB">
        <w:rPr>
          <w:rFonts w:ascii="Times New Roman" w:hAnsi="Times New Roman" w:cs="Times New Roman"/>
          <w:sz w:val="24"/>
          <w:szCs w:val="24"/>
        </w:rPr>
        <w:t xml:space="preserve"> for 1st and 2nd respondent</w:t>
      </w:r>
    </w:p>
    <w:p w:rsidR="003719D5" w:rsidRPr="00A86806" w:rsidRDefault="003719D5" w:rsidP="00A86806">
      <w:pPr>
        <w:pStyle w:val="NoSpacing"/>
        <w:spacing w:line="480" w:lineRule="auto"/>
        <w:jc w:val="both"/>
        <w:rPr>
          <w:rFonts w:ascii="Times New Roman" w:hAnsi="Times New Roman" w:cs="Times New Roman"/>
          <w:sz w:val="24"/>
          <w:szCs w:val="24"/>
          <w:lang w:val="en-US"/>
        </w:rPr>
      </w:pPr>
    </w:p>
    <w:p w:rsidR="003719D5" w:rsidRPr="00A86806" w:rsidRDefault="003719D5" w:rsidP="00A86806">
      <w:pPr>
        <w:jc w:val="both"/>
        <w:rPr>
          <w:rFonts w:cs="Times New Roman"/>
          <w:sz w:val="24"/>
          <w:szCs w:val="24"/>
          <w:lang w:val="en-US"/>
        </w:rPr>
      </w:pPr>
      <w:r w:rsidRPr="00A86806">
        <w:rPr>
          <w:rFonts w:cs="Times New Roman"/>
          <w:sz w:val="24"/>
          <w:szCs w:val="24"/>
          <w:lang w:val="en-US"/>
        </w:rPr>
        <w:tab/>
      </w:r>
      <w:r w:rsidRPr="00A86806">
        <w:rPr>
          <w:rFonts w:cs="Times New Roman"/>
          <w:b/>
          <w:sz w:val="24"/>
          <w:szCs w:val="24"/>
          <w:lang w:val="en-US"/>
        </w:rPr>
        <w:t>MAKONESE J:</w:t>
      </w:r>
      <w:r w:rsidRPr="00A86806">
        <w:rPr>
          <w:rFonts w:cs="Times New Roman"/>
          <w:b/>
          <w:sz w:val="24"/>
          <w:szCs w:val="24"/>
          <w:lang w:val="en-US"/>
        </w:rPr>
        <w:tab/>
      </w:r>
      <w:r w:rsidRPr="00A86806">
        <w:rPr>
          <w:rFonts w:cs="Times New Roman"/>
          <w:sz w:val="24"/>
          <w:szCs w:val="24"/>
          <w:lang w:val="en-US"/>
        </w:rPr>
        <w:t>This is an application for stay of execution brought under a certificate of urgency.  The draft order is in the following terms:</w:t>
      </w:r>
    </w:p>
    <w:p w:rsidR="003719D5" w:rsidRPr="00A86806" w:rsidRDefault="003719D5" w:rsidP="00A86806">
      <w:pPr>
        <w:pStyle w:val="NoSpacing"/>
        <w:spacing w:line="480" w:lineRule="auto"/>
        <w:jc w:val="both"/>
        <w:rPr>
          <w:rFonts w:ascii="Times New Roman" w:hAnsi="Times New Roman" w:cs="Times New Roman"/>
          <w:sz w:val="24"/>
          <w:szCs w:val="24"/>
          <w:lang w:val="en-US"/>
        </w:rPr>
      </w:pPr>
      <w:r w:rsidRPr="00A86806">
        <w:rPr>
          <w:sz w:val="24"/>
          <w:szCs w:val="24"/>
          <w:lang w:val="en-US"/>
        </w:rPr>
        <w:tab/>
      </w:r>
      <w:r w:rsidRPr="00A86806">
        <w:rPr>
          <w:rFonts w:ascii="Times New Roman" w:hAnsi="Times New Roman" w:cs="Times New Roman"/>
          <w:sz w:val="24"/>
          <w:szCs w:val="24"/>
          <w:lang w:val="en-US"/>
        </w:rPr>
        <w:t>“</w:t>
      </w:r>
      <w:r w:rsidRPr="00A86806">
        <w:rPr>
          <w:rFonts w:ascii="Times New Roman" w:hAnsi="Times New Roman" w:cs="Times New Roman"/>
          <w:b/>
          <w:sz w:val="24"/>
          <w:szCs w:val="24"/>
          <w:lang w:val="en-US"/>
        </w:rPr>
        <w:t>Interim relief sought</w:t>
      </w:r>
    </w:p>
    <w:p w:rsidR="003719D5" w:rsidRPr="00A86806" w:rsidRDefault="003719D5" w:rsidP="00A86806">
      <w:pPr>
        <w:pStyle w:val="NoSpacing"/>
        <w:numPr>
          <w:ilvl w:val="0"/>
          <w:numId w:val="1"/>
        </w:numPr>
        <w:spacing w:line="480" w:lineRule="auto"/>
        <w:jc w:val="both"/>
        <w:rPr>
          <w:rFonts w:ascii="Times New Roman" w:hAnsi="Times New Roman" w:cs="Times New Roman"/>
          <w:sz w:val="24"/>
          <w:szCs w:val="24"/>
          <w:lang w:val="en-US"/>
        </w:rPr>
      </w:pPr>
      <w:r w:rsidRPr="00A86806">
        <w:rPr>
          <w:rFonts w:ascii="Times New Roman" w:hAnsi="Times New Roman" w:cs="Times New Roman"/>
          <w:sz w:val="24"/>
          <w:szCs w:val="24"/>
          <w:lang w:val="en-US"/>
        </w:rPr>
        <w:t>The 3</w:t>
      </w:r>
      <w:r w:rsidRPr="00A86806">
        <w:rPr>
          <w:rFonts w:ascii="Times New Roman" w:hAnsi="Times New Roman" w:cs="Times New Roman"/>
          <w:sz w:val="24"/>
          <w:szCs w:val="24"/>
          <w:vertAlign w:val="superscript"/>
          <w:lang w:val="en-US"/>
        </w:rPr>
        <w:t>rd</w:t>
      </w:r>
      <w:r w:rsidRPr="00A86806">
        <w:rPr>
          <w:rFonts w:ascii="Times New Roman" w:hAnsi="Times New Roman" w:cs="Times New Roman"/>
          <w:sz w:val="24"/>
          <w:szCs w:val="24"/>
          <w:lang w:val="en-US"/>
        </w:rPr>
        <w:t xml:space="preserve"> and 4</w:t>
      </w:r>
      <w:r w:rsidRPr="00A86806">
        <w:rPr>
          <w:rFonts w:ascii="Times New Roman" w:hAnsi="Times New Roman" w:cs="Times New Roman"/>
          <w:sz w:val="24"/>
          <w:szCs w:val="24"/>
          <w:vertAlign w:val="superscript"/>
          <w:lang w:val="en-US"/>
        </w:rPr>
        <w:t>th</w:t>
      </w:r>
      <w:r w:rsidRPr="00A86806">
        <w:rPr>
          <w:rFonts w:ascii="Times New Roman" w:hAnsi="Times New Roman" w:cs="Times New Roman"/>
          <w:sz w:val="24"/>
          <w:szCs w:val="24"/>
          <w:lang w:val="en-US"/>
        </w:rPr>
        <w:t xml:space="preserve"> respondents be and are hereby ordered to stay the sale in execution in matter number </w:t>
      </w:r>
      <w:r w:rsidR="00A86806">
        <w:rPr>
          <w:rFonts w:ascii="Times New Roman" w:hAnsi="Times New Roman" w:cs="Times New Roman"/>
          <w:sz w:val="24"/>
          <w:szCs w:val="24"/>
          <w:lang w:val="en-US"/>
        </w:rPr>
        <w:t>HC</w:t>
      </w:r>
      <w:r w:rsidR="00786B1F">
        <w:rPr>
          <w:rFonts w:ascii="Times New Roman" w:hAnsi="Times New Roman" w:cs="Times New Roman"/>
          <w:sz w:val="24"/>
          <w:szCs w:val="24"/>
          <w:lang w:val="en-US"/>
        </w:rPr>
        <w:t xml:space="preserve"> </w:t>
      </w:r>
      <w:r w:rsidRPr="00A86806">
        <w:rPr>
          <w:rFonts w:ascii="Times New Roman" w:hAnsi="Times New Roman" w:cs="Times New Roman"/>
          <w:sz w:val="24"/>
          <w:szCs w:val="24"/>
          <w:lang w:val="en-US"/>
        </w:rPr>
        <w:t>1774/15 which is scheduled for the 19</w:t>
      </w:r>
      <w:r w:rsidRPr="00A86806">
        <w:rPr>
          <w:rFonts w:ascii="Times New Roman" w:hAnsi="Times New Roman" w:cs="Times New Roman"/>
          <w:sz w:val="24"/>
          <w:szCs w:val="24"/>
          <w:vertAlign w:val="superscript"/>
          <w:lang w:val="en-US"/>
        </w:rPr>
        <w:t>th</w:t>
      </w:r>
      <w:r w:rsidRPr="00A86806">
        <w:rPr>
          <w:rFonts w:ascii="Times New Roman" w:hAnsi="Times New Roman" w:cs="Times New Roman"/>
          <w:sz w:val="24"/>
          <w:szCs w:val="24"/>
          <w:lang w:val="en-US"/>
        </w:rPr>
        <w:t xml:space="preserve"> November 2021 pending the return date.</w:t>
      </w:r>
    </w:p>
    <w:p w:rsidR="003719D5" w:rsidRPr="00A86806" w:rsidRDefault="003719D5" w:rsidP="00A86806">
      <w:pPr>
        <w:pStyle w:val="NoSpacing"/>
        <w:spacing w:line="480" w:lineRule="auto"/>
        <w:ind w:left="720"/>
        <w:jc w:val="both"/>
        <w:rPr>
          <w:rFonts w:ascii="Times New Roman" w:hAnsi="Times New Roman" w:cs="Times New Roman"/>
          <w:b/>
          <w:sz w:val="24"/>
          <w:szCs w:val="24"/>
          <w:lang w:val="en-US"/>
        </w:rPr>
      </w:pPr>
      <w:r w:rsidRPr="00A86806">
        <w:rPr>
          <w:rFonts w:ascii="Times New Roman" w:hAnsi="Times New Roman" w:cs="Times New Roman"/>
          <w:b/>
          <w:sz w:val="24"/>
          <w:szCs w:val="24"/>
          <w:lang w:val="en-US"/>
        </w:rPr>
        <w:t>Final order sought</w:t>
      </w:r>
    </w:p>
    <w:p w:rsidR="003719D5" w:rsidRPr="00A86806" w:rsidRDefault="003719D5" w:rsidP="00A86806">
      <w:pPr>
        <w:pStyle w:val="NoSpacing"/>
        <w:numPr>
          <w:ilvl w:val="0"/>
          <w:numId w:val="2"/>
        </w:numPr>
        <w:spacing w:line="480" w:lineRule="auto"/>
        <w:jc w:val="both"/>
        <w:rPr>
          <w:rFonts w:ascii="Times New Roman" w:hAnsi="Times New Roman" w:cs="Times New Roman"/>
          <w:sz w:val="24"/>
          <w:szCs w:val="24"/>
          <w:lang w:val="en-US"/>
        </w:rPr>
      </w:pPr>
      <w:r w:rsidRPr="00A86806">
        <w:rPr>
          <w:rFonts w:ascii="Times New Roman" w:hAnsi="Times New Roman" w:cs="Times New Roman"/>
          <w:sz w:val="24"/>
          <w:szCs w:val="24"/>
          <w:lang w:val="en-US"/>
        </w:rPr>
        <w:t>It is hereby declared that the payment of the total sum of $77800 to the 1</w:t>
      </w:r>
      <w:r w:rsidRPr="00A86806">
        <w:rPr>
          <w:rFonts w:ascii="Times New Roman" w:hAnsi="Times New Roman" w:cs="Times New Roman"/>
          <w:sz w:val="24"/>
          <w:szCs w:val="24"/>
          <w:vertAlign w:val="superscript"/>
          <w:lang w:val="en-US"/>
        </w:rPr>
        <w:t>st</w:t>
      </w:r>
      <w:r w:rsidRPr="00A86806">
        <w:rPr>
          <w:rFonts w:ascii="Times New Roman" w:hAnsi="Times New Roman" w:cs="Times New Roman"/>
          <w:sz w:val="24"/>
          <w:szCs w:val="24"/>
          <w:lang w:val="en-US"/>
        </w:rPr>
        <w:t xml:space="preserve"> and 2</w:t>
      </w:r>
      <w:r w:rsidRPr="00A86806">
        <w:rPr>
          <w:rFonts w:ascii="Times New Roman" w:hAnsi="Times New Roman" w:cs="Times New Roman"/>
          <w:sz w:val="24"/>
          <w:szCs w:val="24"/>
          <w:vertAlign w:val="superscript"/>
          <w:lang w:val="en-US"/>
        </w:rPr>
        <w:t>nd</w:t>
      </w:r>
      <w:r w:rsidRPr="00A86806">
        <w:rPr>
          <w:rFonts w:ascii="Times New Roman" w:hAnsi="Times New Roman" w:cs="Times New Roman"/>
          <w:sz w:val="24"/>
          <w:szCs w:val="24"/>
          <w:lang w:val="en-US"/>
        </w:rPr>
        <w:t xml:space="preserve"> respondents’ legal practitioners between the 11</w:t>
      </w:r>
      <w:r w:rsidRPr="00A86806">
        <w:rPr>
          <w:rFonts w:ascii="Times New Roman" w:hAnsi="Times New Roman" w:cs="Times New Roman"/>
          <w:sz w:val="24"/>
          <w:szCs w:val="24"/>
          <w:vertAlign w:val="superscript"/>
          <w:lang w:val="en-US"/>
        </w:rPr>
        <w:t>th</w:t>
      </w:r>
      <w:r w:rsidRPr="00A86806">
        <w:rPr>
          <w:rFonts w:ascii="Times New Roman" w:hAnsi="Times New Roman" w:cs="Times New Roman"/>
          <w:sz w:val="24"/>
          <w:szCs w:val="24"/>
          <w:lang w:val="en-US"/>
        </w:rPr>
        <w:t xml:space="preserve"> July 2020 and the 15</w:t>
      </w:r>
      <w:r w:rsidRPr="00A86806">
        <w:rPr>
          <w:rFonts w:ascii="Times New Roman" w:hAnsi="Times New Roman" w:cs="Times New Roman"/>
          <w:sz w:val="24"/>
          <w:szCs w:val="24"/>
          <w:vertAlign w:val="superscript"/>
          <w:lang w:val="en-US"/>
        </w:rPr>
        <w:t>th</w:t>
      </w:r>
      <w:r w:rsidRPr="00A86806">
        <w:rPr>
          <w:rFonts w:ascii="Times New Roman" w:hAnsi="Times New Roman" w:cs="Times New Roman"/>
          <w:sz w:val="24"/>
          <w:szCs w:val="24"/>
          <w:lang w:val="en-US"/>
        </w:rPr>
        <w:t xml:space="preserve"> December </w:t>
      </w:r>
      <w:r w:rsidRPr="00A86806">
        <w:rPr>
          <w:rFonts w:ascii="Times New Roman" w:hAnsi="Times New Roman" w:cs="Times New Roman"/>
          <w:sz w:val="24"/>
          <w:szCs w:val="24"/>
          <w:lang w:val="en-US"/>
        </w:rPr>
        <w:lastRenderedPageBreak/>
        <w:t>2020 constituted  full discharge</w:t>
      </w:r>
      <w:r w:rsidR="00D201A5" w:rsidRPr="00A86806">
        <w:rPr>
          <w:rFonts w:ascii="Times New Roman" w:hAnsi="Times New Roman" w:cs="Times New Roman"/>
          <w:sz w:val="24"/>
          <w:szCs w:val="24"/>
          <w:lang w:val="en-US"/>
        </w:rPr>
        <w:t xml:space="preserve"> of the applicant’s judgment debt in the sum of US$77 800 plus interest at 5% per annum calculated from the 8</w:t>
      </w:r>
      <w:r w:rsidR="00D201A5" w:rsidRPr="00A86806">
        <w:rPr>
          <w:rFonts w:ascii="Times New Roman" w:hAnsi="Times New Roman" w:cs="Times New Roman"/>
          <w:sz w:val="24"/>
          <w:szCs w:val="24"/>
          <w:vertAlign w:val="superscript"/>
          <w:lang w:val="en-US"/>
        </w:rPr>
        <w:t>th</w:t>
      </w:r>
      <w:r w:rsidR="00D201A5" w:rsidRPr="00A86806">
        <w:rPr>
          <w:rFonts w:ascii="Times New Roman" w:hAnsi="Times New Roman" w:cs="Times New Roman"/>
          <w:sz w:val="24"/>
          <w:szCs w:val="24"/>
          <w:lang w:val="en-US"/>
        </w:rPr>
        <w:t xml:space="preserve"> of December 2014 to the date of full payment at the rate of one to one with the United States dollar in terms of section 4 (1) (d) of SI 133 of 2019 as read with section 22 (1) (d) of the Finance Act (No. 2) of 2019.”</w:t>
      </w:r>
    </w:p>
    <w:p w:rsidR="00D201A5" w:rsidRPr="00A86806" w:rsidRDefault="00D201A5" w:rsidP="00A86806">
      <w:pPr>
        <w:ind w:firstLine="720"/>
        <w:jc w:val="both"/>
        <w:rPr>
          <w:sz w:val="24"/>
          <w:szCs w:val="24"/>
          <w:lang w:val="en-US"/>
        </w:rPr>
      </w:pPr>
      <w:r w:rsidRPr="00A86806">
        <w:rPr>
          <w:sz w:val="24"/>
          <w:szCs w:val="24"/>
          <w:lang w:val="en-US"/>
        </w:rPr>
        <w:t>The application for stay of execution is opposed by the</w:t>
      </w:r>
      <w:r w:rsidR="00383F03">
        <w:rPr>
          <w:sz w:val="24"/>
          <w:szCs w:val="24"/>
          <w:lang w:val="en-US"/>
        </w:rPr>
        <w:t xml:space="preserve"> 1</w:t>
      </w:r>
      <w:r w:rsidR="00383F03" w:rsidRPr="00383F03">
        <w:rPr>
          <w:sz w:val="24"/>
          <w:szCs w:val="24"/>
          <w:vertAlign w:val="superscript"/>
          <w:lang w:val="en-US"/>
        </w:rPr>
        <w:t>st</w:t>
      </w:r>
      <w:r w:rsidR="00383F03">
        <w:rPr>
          <w:sz w:val="24"/>
          <w:szCs w:val="24"/>
          <w:lang w:val="en-US"/>
        </w:rPr>
        <w:t xml:space="preserve"> and 2</w:t>
      </w:r>
      <w:r w:rsidR="00383F03" w:rsidRPr="00383F03">
        <w:rPr>
          <w:sz w:val="24"/>
          <w:szCs w:val="24"/>
          <w:vertAlign w:val="superscript"/>
          <w:lang w:val="en-US"/>
        </w:rPr>
        <w:t>nd</w:t>
      </w:r>
      <w:r w:rsidR="00383F03">
        <w:rPr>
          <w:sz w:val="24"/>
          <w:szCs w:val="24"/>
          <w:lang w:val="en-US"/>
        </w:rPr>
        <w:t xml:space="preserve"> </w:t>
      </w:r>
      <w:r w:rsidRPr="00A86806">
        <w:rPr>
          <w:sz w:val="24"/>
          <w:szCs w:val="24"/>
          <w:lang w:val="en-US"/>
        </w:rPr>
        <w:t>respondents.  I heard oral argument by both counsel for the applicant and respondent</w:t>
      </w:r>
      <w:r w:rsidR="004F4C29">
        <w:rPr>
          <w:sz w:val="24"/>
          <w:szCs w:val="24"/>
          <w:lang w:val="en-US"/>
        </w:rPr>
        <w:t>s</w:t>
      </w:r>
      <w:r w:rsidRPr="00A86806">
        <w:rPr>
          <w:sz w:val="24"/>
          <w:szCs w:val="24"/>
          <w:lang w:val="en-US"/>
        </w:rPr>
        <w:t xml:space="preserve"> on 3</w:t>
      </w:r>
      <w:r w:rsidRPr="00A86806">
        <w:rPr>
          <w:sz w:val="24"/>
          <w:szCs w:val="24"/>
          <w:vertAlign w:val="superscript"/>
          <w:lang w:val="en-US"/>
        </w:rPr>
        <w:t>rd</w:t>
      </w:r>
      <w:r w:rsidRPr="00A86806">
        <w:rPr>
          <w:sz w:val="24"/>
          <w:szCs w:val="24"/>
          <w:lang w:val="en-US"/>
        </w:rPr>
        <w:t xml:space="preserve"> November </w:t>
      </w:r>
      <w:r w:rsidR="004F4C29">
        <w:rPr>
          <w:sz w:val="24"/>
          <w:szCs w:val="24"/>
          <w:lang w:val="en-US"/>
        </w:rPr>
        <w:t xml:space="preserve">2021.  I </w:t>
      </w:r>
      <w:r w:rsidRPr="00A86806">
        <w:rPr>
          <w:sz w:val="24"/>
          <w:szCs w:val="24"/>
          <w:lang w:val="en-US"/>
        </w:rPr>
        <w:t>directed that the parties file detailed heads of arguments</w:t>
      </w:r>
      <w:r w:rsidR="00A370B6" w:rsidRPr="00A86806">
        <w:rPr>
          <w:sz w:val="24"/>
          <w:szCs w:val="24"/>
          <w:lang w:val="en-US"/>
        </w:rPr>
        <w:t xml:space="preserve"> </w:t>
      </w:r>
      <w:r w:rsidR="004F4C29">
        <w:rPr>
          <w:sz w:val="24"/>
          <w:szCs w:val="24"/>
          <w:lang w:val="en-US"/>
        </w:rPr>
        <w:t>ventilate</w:t>
      </w:r>
      <w:r w:rsidRPr="00A86806">
        <w:rPr>
          <w:sz w:val="24"/>
          <w:szCs w:val="24"/>
          <w:lang w:val="en-US"/>
        </w:rPr>
        <w:t xml:space="preserve"> the issues raised in argument.</w:t>
      </w:r>
    </w:p>
    <w:p w:rsidR="00D201A5" w:rsidRPr="00A86806" w:rsidRDefault="00D201A5" w:rsidP="00A86806">
      <w:pPr>
        <w:jc w:val="both"/>
        <w:rPr>
          <w:b/>
          <w:sz w:val="24"/>
          <w:szCs w:val="24"/>
          <w:lang w:val="en-US"/>
        </w:rPr>
      </w:pPr>
      <w:r w:rsidRPr="00A86806">
        <w:rPr>
          <w:b/>
          <w:sz w:val="24"/>
          <w:szCs w:val="24"/>
          <w:lang w:val="en-US"/>
        </w:rPr>
        <w:t>Factual background</w:t>
      </w:r>
    </w:p>
    <w:p w:rsidR="00D201A5" w:rsidRPr="00A86806" w:rsidRDefault="00D201A5" w:rsidP="00A86806">
      <w:pPr>
        <w:ind w:firstLine="720"/>
        <w:jc w:val="both"/>
        <w:rPr>
          <w:sz w:val="24"/>
          <w:szCs w:val="24"/>
          <w:lang w:val="en-US"/>
        </w:rPr>
      </w:pPr>
      <w:r w:rsidRPr="00A86806">
        <w:rPr>
          <w:sz w:val="24"/>
          <w:szCs w:val="24"/>
          <w:lang w:val="en-US"/>
        </w:rPr>
        <w:t>On the 16</w:t>
      </w:r>
      <w:r w:rsidRPr="00A86806">
        <w:rPr>
          <w:sz w:val="24"/>
          <w:szCs w:val="24"/>
          <w:vertAlign w:val="superscript"/>
          <w:lang w:val="en-US"/>
        </w:rPr>
        <w:t>th</w:t>
      </w:r>
      <w:r w:rsidR="00AB344F">
        <w:rPr>
          <w:sz w:val="24"/>
          <w:szCs w:val="24"/>
          <w:lang w:val="en-US"/>
        </w:rPr>
        <w:t xml:space="preserve"> M</w:t>
      </w:r>
      <w:r w:rsidRPr="00A86806">
        <w:rPr>
          <w:sz w:val="24"/>
          <w:szCs w:val="24"/>
          <w:lang w:val="en-US"/>
        </w:rPr>
        <w:t xml:space="preserve">arch </w:t>
      </w:r>
      <w:r w:rsidR="00AB344F">
        <w:rPr>
          <w:sz w:val="24"/>
          <w:szCs w:val="24"/>
          <w:lang w:val="en-US"/>
        </w:rPr>
        <w:t xml:space="preserve">2017 </w:t>
      </w:r>
      <w:r w:rsidRPr="00A86806">
        <w:rPr>
          <w:sz w:val="24"/>
          <w:szCs w:val="24"/>
          <w:lang w:val="en-US"/>
        </w:rPr>
        <w:t xml:space="preserve"> 1</w:t>
      </w:r>
      <w:r w:rsidRPr="00A86806">
        <w:rPr>
          <w:sz w:val="24"/>
          <w:szCs w:val="24"/>
          <w:vertAlign w:val="superscript"/>
          <w:lang w:val="en-US"/>
        </w:rPr>
        <w:t>st</w:t>
      </w:r>
      <w:r w:rsidRPr="00A86806">
        <w:rPr>
          <w:sz w:val="24"/>
          <w:szCs w:val="24"/>
          <w:lang w:val="en-US"/>
        </w:rPr>
        <w:t xml:space="preserve"> and 2</w:t>
      </w:r>
      <w:r w:rsidRPr="00A86806">
        <w:rPr>
          <w:sz w:val="24"/>
          <w:szCs w:val="24"/>
          <w:vertAlign w:val="superscript"/>
          <w:lang w:val="en-US"/>
        </w:rPr>
        <w:t>nd</w:t>
      </w:r>
      <w:r w:rsidRPr="00A86806">
        <w:rPr>
          <w:sz w:val="24"/>
          <w:szCs w:val="24"/>
          <w:lang w:val="en-US"/>
        </w:rPr>
        <w:t xml:space="preserve"> respondents obtained summary judgment against the applicant in the sum of US$77 800 together with interest thereon calculated at the prescribed rate from 8</w:t>
      </w:r>
      <w:r w:rsidRPr="00A86806">
        <w:rPr>
          <w:sz w:val="24"/>
          <w:szCs w:val="24"/>
          <w:vertAlign w:val="superscript"/>
          <w:lang w:val="en-US"/>
        </w:rPr>
        <w:t>th</w:t>
      </w:r>
      <w:r w:rsidRPr="00A86806">
        <w:rPr>
          <w:sz w:val="24"/>
          <w:szCs w:val="24"/>
          <w:lang w:val="en-US"/>
        </w:rPr>
        <w:t xml:space="preserve"> December 2014 being the date of issue of summons to date of full payment.  Applicant was ordered to pay the costs of suit.</w:t>
      </w:r>
    </w:p>
    <w:p w:rsidR="00D201A5" w:rsidRPr="00A86806" w:rsidRDefault="007B4CBE" w:rsidP="00A86806">
      <w:pPr>
        <w:ind w:firstLine="720"/>
        <w:jc w:val="both"/>
        <w:rPr>
          <w:sz w:val="24"/>
          <w:szCs w:val="24"/>
          <w:lang w:val="en-US"/>
        </w:rPr>
      </w:pPr>
      <w:r>
        <w:rPr>
          <w:sz w:val="24"/>
          <w:szCs w:val="24"/>
          <w:lang w:val="en-US"/>
        </w:rPr>
        <w:t>On 5</w:t>
      </w:r>
      <w:r>
        <w:rPr>
          <w:sz w:val="24"/>
          <w:szCs w:val="24"/>
          <w:vertAlign w:val="superscript"/>
          <w:lang w:val="en-US"/>
        </w:rPr>
        <w:t>th</w:t>
      </w:r>
      <w:r w:rsidR="00D201A5" w:rsidRPr="00A86806">
        <w:rPr>
          <w:sz w:val="24"/>
          <w:szCs w:val="24"/>
          <w:lang w:val="en-US"/>
        </w:rPr>
        <w:t xml:space="preserve"> August 2020, applicant’s legal practitioner</w:t>
      </w:r>
      <w:r w:rsidR="005C1A7F" w:rsidRPr="00A86806">
        <w:rPr>
          <w:sz w:val="24"/>
          <w:szCs w:val="24"/>
          <w:lang w:val="en-US"/>
        </w:rPr>
        <w:t>s Joel, Pincu</w:t>
      </w:r>
      <w:r w:rsidR="00A370B6" w:rsidRPr="00A86806">
        <w:rPr>
          <w:sz w:val="24"/>
          <w:szCs w:val="24"/>
          <w:lang w:val="en-US"/>
        </w:rPr>
        <w:t>s</w:t>
      </w:r>
      <w:r w:rsidR="005C1A7F" w:rsidRPr="00A86806">
        <w:rPr>
          <w:sz w:val="24"/>
          <w:szCs w:val="24"/>
          <w:lang w:val="en-US"/>
        </w:rPr>
        <w:t>, Konson &amp; Wolhuter addressed a letter to respondents’ legal practitioners in the following terms:</w:t>
      </w:r>
    </w:p>
    <w:p w:rsidR="005C1A7F" w:rsidRPr="00B77A7E" w:rsidRDefault="005C1A7F" w:rsidP="00A86806">
      <w:pPr>
        <w:pStyle w:val="NoSpacing"/>
        <w:spacing w:line="480" w:lineRule="auto"/>
        <w:jc w:val="both"/>
        <w:rPr>
          <w:rFonts w:ascii="Times New Roman" w:hAnsi="Times New Roman" w:cs="Times New Roman"/>
          <w:i/>
          <w:sz w:val="24"/>
          <w:szCs w:val="24"/>
          <w:lang w:val="en-US"/>
        </w:rPr>
      </w:pPr>
      <w:r w:rsidRPr="00A86806">
        <w:rPr>
          <w:rFonts w:ascii="Times New Roman" w:hAnsi="Times New Roman" w:cs="Times New Roman"/>
          <w:sz w:val="24"/>
          <w:szCs w:val="24"/>
          <w:lang w:val="en-US"/>
        </w:rPr>
        <w:tab/>
        <w:t>“</w:t>
      </w:r>
      <w:r w:rsidRPr="00B77A7E">
        <w:rPr>
          <w:rFonts w:ascii="Times New Roman" w:hAnsi="Times New Roman" w:cs="Times New Roman"/>
          <w:i/>
          <w:sz w:val="24"/>
          <w:szCs w:val="24"/>
          <w:lang w:val="en-US"/>
        </w:rPr>
        <w:t>Reference is made to the above.</w:t>
      </w:r>
    </w:p>
    <w:p w:rsidR="005C1A7F" w:rsidRPr="00B77A7E" w:rsidRDefault="005C1A7F" w:rsidP="00A86806">
      <w:pPr>
        <w:pStyle w:val="NoSpacing"/>
        <w:spacing w:line="480" w:lineRule="auto"/>
        <w:ind w:left="720"/>
        <w:jc w:val="both"/>
        <w:rPr>
          <w:rFonts w:ascii="Times New Roman" w:hAnsi="Times New Roman" w:cs="Times New Roman"/>
          <w:i/>
          <w:sz w:val="24"/>
          <w:szCs w:val="24"/>
          <w:lang w:val="en-US"/>
        </w:rPr>
      </w:pPr>
      <w:r w:rsidRPr="00B77A7E">
        <w:rPr>
          <w:rFonts w:ascii="Times New Roman" w:hAnsi="Times New Roman" w:cs="Times New Roman"/>
          <w:i/>
          <w:sz w:val="24"/>
          <w:szCs w:val="24"/>
          <w:lang w:val="en-US"/>
        </w:rPr>
        <w:t>Pursuant to your claim of $77 800 under case number HC 1774/15, our client has made good of the debt.</w:t>
      </w:r>
    </w:p>
    <w:p w:rsidR="005C1A7F" w:rsidRPr="00B77A7E" w:rsidRDefault="005C1A7F" w:rsidP="00A86806">
      <w:pPr>
        <w:pStyle w:val="NoSpacing"/>
        <w:spacing w:line="480" w:lineRule="auto"/>
        <w:ind w:left="720"/>
        <w:jc w:val="both"/>
        <w:rPr>
          <w:rFonts w:ascii="Times New Roman" w:hAnsi="Times New Roman" w:cs="Times New Roman"/>
          <w:i/>
          <w:sz w:val="24"/>
          <w:szCs w:val="24"/>
          <w:lang w:val="en-US"/>
        </w:rPr>
      </w:pPr>
      <w:r w:rsidRPr="00B77A7E">
        <w:rPr>
          <w:rFonts w:ascii="Times New Roman" w:hAnsi="Times New Roman" w:cs="Times New Roman"/>
          <w:i/>
          <w:sz w:val="24"/>
          <w:szCs w:val="24"/>
          <w:lang w:val="en-US"/>
        </w:rPr>
        <w:t>Kindly find attached herewith proof of transfer into your Trust Account in the tune of $75 000, unfortunately our client seems to have misplaced one of the proof of transfer copy which he has undertaken to furnish us with when he locates it.</w:t>
      </w:r>
    </w:p>
    <w:p w:rsidR="005C1A7F" w:rsidRPr="00B77A7E" w:rsidRDefault="005C1A7F" w:rsidP="00A86806">
      <w:pPr>
        <w:pStyle w:val="NoSpacing"/>
        <w:spacing w:line="480" w:lineRule="auto"/>
        <w:jc w:val="both"/>
        <w:rPr>
          <w:rFonts w:ascii="Times New Roman" w:hAnsi="Times New Roman" w:cs="Times New Roman"/>
          <w:i/>
          <w:sz w:val="24"/>
          <w:szCs w:val="24"/>
          <w:lang w:val="en-US"/>
        </w:rPr>
      </w:pPr>
    </w:p>
    <w:p w:rsidR="005C1A7F" w:rsidRPr="00B77A7E" w:rsidRDefault="005C1A7F" w:rsidP="00A86806">
      <w:pPr>
        <w:pStyle w:val="NoSpacing"/>
        <w:spacing w:line="480" w:lineRule="auto"/>
        <w:jc w:val="both"/>
        <w:rPr>
          <w:rFonts w:ascii="Times New Roman" w:hAnsi="Times New Roman" w:cs="Times New Roman"/>
          <w:i/>
          <w:sz w:val="24"/>
          <w:szCs w:val="24"/>
          <w:lang w:val="en-US"/>
        </w:rPr>
      </w:pPr>
      <w:r w:rsidRPr="00B77A7E">
        <w:rPr>
          <w:rFonts w:ascii="Times New Roman" w:hAnsi="Times New Roman" w:cs="Times New Roman"/>
          <w:i/>
          <w:sz w:val="24"/>
          <w:szCs w:val="24"/>
          <w:lang w:val="en-US"/>
        </w:rPr>
        <w:lastRenderedPageBreak/>
        <w:tab/>
        <w:t>We hope this will be of assistance …”</w:t>
      </w:r>
    </w:p>
    <w:p w:rsidR="005C1A7F" w:rsidRPr="00A86806" w:rsidRDefault="005C1A7F" w:rsidP="00A86806">
      <w:pPr>
        <w:jc w:val="both"/>
        <w:rPr>
          <w:sz w:val="24"/>
          <w:szCs w:val="24"/>
          <w:lang w:val="en-US"/>
        </w:rPr>
      </w:pPr>
      <w:r w:rsidRPr="00A86806">
        <w:rPr>
          <w:sz w:val="24"/>
          <w:szCs w:val="24"/>
          <w:lang w:val="en-US"/>
        </w:rPr>
        <w:tab/>
        <w:t>On 24</w:t>
      </w:r>
      <w:r w:rsidRPr="00A86806">
        <w:rPr>
          <w:sz w:val="24"/>
          <w:szCs w:val="24"/>
          <w:vertAlign w:val="superscript"/>
          <w:lang w:val="en-US"/>
        </w:rPr>
        <w:t>th</w:t>
      </w:r>
      <w:r w:rsidRPr="00A86806">
        <w:rPr>
          <w:sz w:val="24"/>
          <w:szCs w:val="24"/>
          <w:lang w:val="en-US"/>
        </w:rPr>
        <w:t xml:space="preserve"> August 2020 Messrs Calderwood, Bryce Hendrie &amp; Partners, lawyers for the respondents responded to applicant’s letter as follows:</w:t>
      </w:r>
    </w:p>
    <w:p w:rsidR="005C1A7F" w:rsidRPr="00F001DB" w:rsidRDefault="005C1A7F" w:rsidP="00F001DB">
      <w:pPr>
        <w:pStyle w:val="NoSpacing"/>
        <w:rPr>
          <w:rFonts w:ascii="Times New Roman" w:hAnsi="Times New Roman" w:cs="Times New Roman"/>
          <w:i/>
          <w:sz w:val="24"/>
          <w:szCs w:val="24"/>
        </w:rPr>
      </w:pPr>
      <w:r w:rsidRPr="00A86806">
        <w:rPr>
          <w:lang w:val="en-US"/>
        </w:rPr>
        <w:tab/>
      </w:r>
      <w:r w:rsidR="00A55ACC" w:rsidRPr="00F001DB">
        <w:rPr>
          <w:rFonts w:ascii="Times New Roman" w:hAnsi="Times New Roman" w:cs="Times New Roman"/>
          <w:i/>
          <w:sz w:val="24"/>
          <w:szCs w:val="24"/>
        </w:rPr>
        <w:t>”</w:t>
      </w:r>
      <w:r w:rsidRPr="00F001DB">
        <w:rPr>
          <w:rFonts w:ascii="Times New Roman" w:hAnsi="Times New Roman" w:cs="Times New Roman"/>
          <w:i/>
          <w:sz w:val="24"/>
          <w:szCs w:val="24"/>
        </w:rPr>
        <w:t>We refer to your letter dated 5th August 2020.</w:t>
      </w:r>
    </w:p>
    <w:p w:rsidR="00F001DB" w:rsidRDefault="00F001DB" w:rsidP="00F001DB">
      <w:pPr>
        <w:pStyle w:val="NoSpacing"/>
        <w:rPr>
          <w:rFonts w:ascii="Times New Roman" w:hAnsi="Times New Roman" w:cs="Times New Roman"/>
          <w:i/>
          <w:sz w:val="24"/>
          <w:szCs w:val="24"/>
        </w:rPr>
      </w:pPr>
    </w:p>
    <w:p w:rsidR="005C1A7F" w:rsidRPr="00F001DB" w:rsidRDefault="005C1A7F" w:rsidP="00F001DB">
      <w:pPr>
        <w:pStyle w:val="NoSpacing"/>
        <w:ind w:firstLine="720"/>
        <w:rPr>
          <w:rFonts w:ascii="Times New Roman" w:hAnsi="Times New Roman" w:cs="Times New Roman"/>
          <w:i/>
          <w:sz w:val="24"/>
          <w:szCs w:val="24"/>
        </w:rPr>
      </w:pPr>
      <w:r w:rsidRPr="00F001DB">
        <w:rPr>
          <w:rFonts w:ascii="Times New Roman" w:hAnsi="Times New Roman" w:cs="Times New Roman"/>
          <w:i/>
          <w:sz w:val="24"/>
          <w:szCs w:val="24"/>
        </w:rPr>
        <w:t>Our</w:t>
      </w:r>
      <w:r w:rsidR="00FF4856" w:rsidRPr="00F001DB">
        <w:rPr>
          <w:rFonts w:ascii="Times New Roman" w:hAnsi="Times New Roman" w:cs="Times New Roman"/>
          <w:i/>
          <w:sz w:val="24"/>
          <w:szCs w:val="24"/>
        </w:rPr>
        <w:t xml:space="preserve"> clients do not accept that yours has effected full payment of the judgment debt.</w:t>
      </w:r>
    </w:p>
    <w:p w:rsidR="00F001DB" w:rsidRDefault="00F001DB" w:rsidP="00F001DB">
      <w:pPr>
        <w:pStyle w:val="NoSpacing"/>
        <w:rPr>
          <w:rFonts w:ascii="Times New Roman" w:hAnsi="Times New Roman" w:cs="Times New Roman"/>
          <w:i/>
          <w:sz w:val="24"/>
          <w:szCs w:val="24"/>
        </w:rPr>
      </w:pPr>
    </w:p>
    <w:p w:rsidR="00FF4856" w:rsidRPr="00F001DB" w:rsidRDefault="00FF4856" w:rsidP="00F001DB">
      <w:pPr>
        <w:pStyle w:val="NoSpacing"/>
        <w:ind w:left="720"/>
        <w:rPr>
          <w:rFonts w:ascii="Times New Roman" w:hAnsi="Times New Roman" w:cs="Times New Roman"/>
          <w:i/>
          <w:sz w:val="24"/>
          <w:szCs w:val="24"/>
        </w:rPr>
      </w:pPr>
      <w:r w:rsidRPr="00F001DB">
        <w:rPr>
          <w:rFonts w:ascii="Times New Roman" w:hAnsi="Times New Roman" w:cs="Times New Roman"/>
          <w:i/>
          <w:sz w:val="24"/>
          <w:szCs w:val="24"/>
        </w:rPr>
        <w:t>Our client’s claim is one that in terms of SI 33/2019 as read with the Finance Act, falls under obligations that are in the nature of foreign obligations.</w:t>
      </w:r>
    </w:p>
    <w:p w:rsidR="00F001DB" w:rsidRDefault="00F001DB" w:rsidP="00F001DB">
      <w:pPr>
        <w:pStyle w:val="NoSpacing"/>
        <w:rPr>
          <w:rFonts w:ascii="Times New Roman" w:hAnsi="Times New Roman" w:cs="Times New Roman"/>
          <w:i/>
          <w:sz w:val="24"/>
          <w:szCs w:val="24"/>
        </w:rPr>
      </w:pPr>
    </w:p>
    <w:p w:rsidR="00FF4856" w:rsidRPr="00F001DB" w:rsidRDefault="00FF4856" w:rsidP="00F001DB">
      <w:pPr>
        <w:pStyle w:val="NoSpacing"/>
        <w:ind w:left="720"/>
        <w:rPr>
          <w:rFonts w:ascii="Times New Roman" w:hAnsi="Times New Roman" w:cs="Times New Roman"/>
          <w:i/>
          <w:sz w:val="24"/>
          <w:szCs w:val="24"/>
        </w:rPr>
      </w:pPr>
      <w:r w:rsidRPr="00F001DB">
        <w:rPr>
          <w:rFonts w:ascii="Times New Roman" w:hAnsi="Times New Roman" w:cs="Times New Roman"/>
          <w:i/>
          <w:sz w:val="24"/>
          <w:szCs w:val="24"/>
        </w:rPr>
        <w:t>Further, it appears that your client has completely misunderstood the law.  Judgment in</w:t>
      </w:r>
      <w:r w:rsidR="0056782C" w:rsidRPr="00F001DB">
        <w:rPr>
          <w:rFonts w:ascii="Times New Roman" w:hAnsi="Times New Roman" w:cs="Times New Roman"/>
          <w:i/>
          <w:sz w:val="24"/>
          <w:szCs w:val="24"/>
        </w:rPr>
        <w:t xml:space="preserve"> this matter was granted on 16 M</w:t>
      </w:r>
      <w:r w:rsidRPr="00F001DB">
        <w:rPr>
          <w:rFonts w:ascii="Times New Roman" w:hAnsi="Times New Roman" w:cs="Times New Roman"/>
          <w:i/>
          <w:sz w:val="24"/>
          <w:szCs w:val="24"/>
        </w:rPr>
        <w:t>arch 2017.  Execution w</w:t>
      </w:r>
      <w:r w:rsidR="00A370B6" w:rsidRPr="00F001DB">
        <w:rPr>
          <w:rFonts w:ascii="Times New Roman" w:hAnsi="Times New Roman" w:cs="Times New Roman"/>
          <w:i/>
          <w:sz w:val="24"/>
          <w:szCs w:val="24"/>
        </w:rPr>
        <w:t>a</w:t>
      </w:r>
      <w:r w:rsidRPr="00F001DB">
        <w:rPr>
          <w:rFonts w:ascii="Times New Roman" w:hAnsi="Times New Roman" w:cs="Times New Roman"/>
          <w:i/>
          <w:sz w:val="24"/>
          <w:szCs w:val="24"/>
        </w:rPr>
        <w:t>s stopped by operation of the law on 18 December 2018 when your client applied for a postponement or suspension of the sale in execution and proposed a payment of US$25 000 on or before 27th February 2019, US$25 000 on or before 29 March 2019 and US$27 800 on 20th April 2019.  The suspension of the judgment of the High Court means that there was no debt due for payment as at 22 February 2019 when SI 33/2019 came into force.</w:t>
      </w:r>
    </w:p>
    <w:p w:rsidR="00F001DB" w:rsidRDefault="00F001DB" w:rsidP="00F001DB">
      <w:pPr>
        <w:pStyle w:val="NoSpacing"/>
        <w:rPr>
          <w:rFonts w:ascii="Times New Roman" w:hAnsi="Times New Roman" w:cs="Times New Roman"/>
          <w:i/>
          <w:sz w:val="24"/>
          <w:szCs w:val="24"/>
        </w:rPr>
      </w:pPr>
      <w:r>
        <w:rPr>
          <w:rFonts w:ascii="Times New Roman" w:hAnsi="Times New Roman" w:cs="Times New Roman"/>
          <w:i/>
          <w:sz w:val="24"/>
          <w:szCs w:val="24"/>
        </w:rPr>
        <w:t>\</w:t>
      </w:r>
    </w:p>
    <w:p w:rsidR="00FF4856" w:rsidRPr="00F001DB" w:rsidRDefault="00FF4856" w:rsidP="00F001DB">
      <w:pPr>
        <w:pStyle w:val="NoSpacing"/>
        <w:ind w:left="720"/>
        <w:rPr>
          <w:rFonts w:ascii="Times New Roman" w:hAnsi="Times New Roman" w:cs="Times New Roman"/>
          <w:i/>
          <w:sz w:val="24"/>
          <w:szCs w:val="24"/>
        </w:rPr>
      </w:pPr>
      <w:r w:rsidRPr="00F001DB">
        <w:rPr>
          <w:rFonts w:ascii="Times New Roman" w:hAnsi="Times New Roman" w:cs="Times New Roman"/>
          <w:i/>
          <w:sz w:val="24"/>
          <w:szCs w:val="24"/>
        </w:rPr>
        <w:t>Further, and in any event in your client’s application under case number</w:t>
      </w:r>
      <w:r w:rsidR="00F05E02" w:rsidRPr="00F001DB">
        <w:rPr>
          <w:rFonts w:ascii="Times New Roman" w:hAnsi="Times New Roman" w:cs="Times New Roman"/>
          <w:i/>
          <w:sz w:val="24"/>
          <w:szCs w:val="24"/>
        </w:rPr>
        <w:t xml:space="preserve"> HC 3340/18, he undertook to settle his indebtedness in USD with the effect that payment of the total sum of US$77 800 was payable after 22 February 2019.</w:t>
      </w:r>
    </w:p>
    <w:p w:rsidR="00F001DB" w:rsidRDefault="00F001DB" w:rsidP="00F001DB">
      <w:pPr>
        <w:pStyle w:val="NoSpacing"/>
        <w:rPr>
          <w:rFonts w:ascii="Times New Roman" w:hAnsi="Times New Roman" w:cs="Times New Roman"/>
          <w:i/>
          <w:sz w:val="24"/>
          <w:szCs w:val="24"/>
        </w:rPr>
      </w:pPr>
      <w:r>
        <w:rPr>
          <w:rFonts w:ascii="Times New Roman" w:hAnsi="Times New Roman" w:cs="Times New Roman"/>
          <w:i/>
          <w:sz w:val="24"/>
          <w:szCs w:val="24"/>
        </w:rPr>
        <w:tab/>
      </w:r>
    </w:p>
    <w:p w:rsidR="00F05E02" w:rsidRPr="00F001DB" w:rsidRDefault="00F05E02" w:rsidP="00F001DB">
      <w:pPr>
        <w:pStyle w:val="NoSpacing"/>
        <w:ind w:left="720"/>
        <w:rPr>
          <w:rFonts w:ascii="Times New Roman" w:hAnsi="Times New Roman" w:cs="Times New Roman"/>
          <w:i/>
          <w:sz w:val="24"/>
          <w:szCs w:val="24"/>
        </w:rPr>
      </w:pPr>
      <w:r w:rsidRPr="00F001DB">
        <w:rPr>
          <w:rFonts w:ascii="Times New Roman" w:hAnsi="Times New Roman" w:cs="Times New Roman"/>
          <w:i/>
          <w:sz w:val="24"/>
          <w:szCs w:val="24"/>
        </w:rPr>
        <w:t>In the circumstances we confirm that we have received the total sum of $75 000 and confirm that this payment will be held towards the legal costs in respect of case number HC 1774/15 which we yet to be taxed with the balance being deployed towards part of the judgment debt and applied at the rate which was in force at the time of payment.”</w:t>
      </w:r>
    </w:p>
    <w:p w:rsidR="00F05E02" w:rsidRPr="00A86806" w:rsidRDefault="00F05E02" w:rsidP="00A86806">
      <w:pPr>
        <w:pStyle w:val="NoSpacing"/>
        <w:spacing w:line="480" w:lineRule="auto"/>
        <w:jc w:val="both"/>
        <w:rPr>
          <w:rFonts w:ascii="Times New Roman" w:hAnsi="Times New Roman" w:cs="Times New Roman"/>
          <w:sz w:val="24"/>
          <w:szCs w:val="24"/>
          <w:lang w:val="en-US"/>
        </w:rPr>
      </w:pPr>
    </w:p>
    <w:p w:rsidR="00F05E02" w:rsidRPr="00A86806" w:rsidRDefault="00F05E02" w:rsidP="00A86806">
      <w:pPr>
        <w:jc w:val="both"/>
        <w:rPr>
          <w:sz w:val="24"/>
          <w:szCs w:val="24"/>
          <w:lang w:val="en-US"/>
        </w:rPr>
      </w:pPr>
      <w:r w:rsidRPr="00A86806">
        <w:rPr>
          <w:sz w:val="24"/>
          <w:szCs w:val="24"/>
          <w:lang w:val="en-US"/>
        </w:rPr>
        <w:tab/>
        <w:t>With this letter of the 24</w:t>
      </w:r>
      <w:r w:rsidRPr="00A86806">
        <w:rPr>
          <w:sz w:val="24"/>
          <w:szCs w:val="24"/>
          <w:vertAlign w:val="superscript"/>
          <w:lang w:val="en-US"/>
        </w:rPr>
        <w:t>th</w:t>
      </w:r>
      <w:r w:rsidRPr="00A86806">
        <w:rPr>
          <w:sz w:val="24"/>
          <w:szCs w:val="24"/>
          <w:lang w:val="en-US"/>
        </w:rPr>
        <w:t xml:space="preserve"> of August 2020, the parties were clearly at loggerheads.  This dispute has been in existence now for a period of</w:t>
      </w:r>
      <w:r w:rsidR="00CE6480">
        <w:rPr>
          <w:sz w:val="24"/>
          <w:szCs w:val="24"/>
          <w:lang w:val="en-US"/>
        </w:rPr>
        <w:t xml:space="preserve"> more than 1 year 2 months.  A Notice of A</w:t>
      </w:r>
      <w:r w:rsidRPr="00A86806">
        <w:rPr>
          <w:sz w:val="24"/>
          <w:szCs w:val="24"/>
          <w:lang w:val="en-US"/>
        </w:rPr>
        <w:t>ttachment was issued on 22</w:t>
      </w:r>
      <w:r w:rsidRPr="00A86806">
        <w:rPr>
          <w:sz w:val="24"/>
          <w:szCs w:val="24"/>
          <w:vertAlign w:val="superscript"/>
          <w:lang w:val="en-US"/>
        </w:rPr>
        <w:t>nd</w:t>
      </w:r>
      <w:r w:rsidR="00CE6480">
        <w:rPr>
          <w:sz w:val="24"/>
          <w:szCs w:val="24"/>
          <w:lang w:val="en-US"/>
        </w:rPr>
        <w:t xml:space="preserve"> November 20</w:t>
      </w:r>
      <w:r w:rsidRPr="00A86806">
        <w:rPr>
          <w:sz w:val="24"/>
          <w:szCs w:val="24"/>
          <w:lang w:val="en-US"/>
        </w:rPr>
        <w:t>18.</w:t>
      </w:r>
      <w:r w:rsidR="0038540E" w:rsidRPr="00A86806">
        <w:rPr>
          <w:sz w:val="24"/>
          <w:szCs w:val="24"/>
          <w:lang w:val="en-US"/>
        </w:rPr>
        <w:t xml:space="preserve">  Applicant filed an application to stop the sale in execution by filing an application under case number HC 3340/18.  Applicant</w:t>
      </w:r>
      <w:r w:rsidR="00CE6480">
        <w:rPr>
          <w:sz w:val="24"/>
          <w:szCs w:val="24"/>
          <w:lang w:val="en-US"/>
        </w:rPr>
        <w:t xml:space="preserve"> subsequently</w:t>
      </w:r>
      <w:r w:rsidR="0038540E" w:rsidRPr="00A86806">
        <w:rPr>
          <w:sz w:val="24"/>
          <w:szCs w:val="24"/>
          <w:lang w:val="en-US"/>
        </w:rPr>
        <w:t xml:space="preserve"> w</w:t>
      </w:r>
      <w:r w:rsidR="00CE6480">
        <w:rPr>
          <w:sz w:val="24"/>
          <w:szCs w:val="24"/>
          <w:lang w:val="en-US"/>
        </w:rPr>
        <w:t>ithdrew that</w:t>
      </w:r>
      <w:r w:rsidR="0038540E" w:rsidRPr="00A86806">
        <w:rPr>
          <w:sz w:val="24"/>
          <w:szCs w:val="24"/>
          <w:lang w:val="en-US"/>
        </w:rPr>
        <w:t xml:space="preserve"> application on 2</w:t>
      </w:r>
      <w:r w:rsidR="0038540E" w:rsidRPr="00A86806">
        <w:rPr>
          <w:sz w:val="24"/>
          <w:szCs w:val="24"/>
          <w:vertAlign w:val="superscript"/>
          <w:lang w:val="en-US"/>
        </w:rPr>
        <w:t>nd</w:t>
      </w:r>
      <w:r w:rsidR="0038540E" w:rsidRPr="00A86806">
        <w:rPr>
          <w:sz w:val="24"/>
          <w:szCs w:val="24"/>
          <w:lang w:val="en-US"/>
        </w:rPr>
        <w:t xml:space="preserve"> September 2020.</w:t>
      </w:r>
    </w:p>
    <w:p w:rsidR="00F001DB" w:rsidRDefault="00F001DB" w:rsidP="00A86806">
      <w:pPr>
        <w:jc w:val="both"/>
        <w:rPr>
          <w:b/>
          <w:sz w:val="24"/>
          <w:szCs w:val="24"/>
          <w:lang w:val="en-US"/>
        </w:rPr>
      </w:pPr>
    </w:p>
    <w:p w:rsidR="00F001DB" w:rsidRDefault="00F001DB" w:rsidP="00A86806">
      <w:pPr>
        <w:jc w:val="both"/>
        <w:rPr>
          <w:b/>
          <w:sz w:val="24"/>
          <w:szCs w:val="24"/>
          <w:lang w:val="en-US"/>
        </w:rPr>
      </w:pPr>
    </w:p>
    <w:p w:rsidR="0038540E" w:rsidRPr="00A86806" w:rsidRDefault="0038540E" w:rsidP="00A86806">
      <w:pPr>
        <w:jc w:val="both"/>
        <w:rPr>
          <w:b/>
          <w:sz w:val="24"/>
          <w:szCs w:val="24"/>
          <w:lang w:val="en-US"/>
        </w:rPr>
      </w:pPr>
      <w:r w:rsidRPr="00A86806">
        <w:rPr>
          <w:b/>
          <w:sz w:val="24"/>
          <w:szCs w:val="24"/>
          <w:lang w:val="en-US"/>
        </w:rPr>
        <w:lastRenderedPageBreak/>
        <w:t xml:space="preserve">Respondents’ points </w:t>
      </w:r>
      <w:r w:rsidRPr="00A86806">
        <w:rPr>
          <w:b/>
          <w:i/>
          <w:sz w:val="24"/>
          <w:szCs w:val="24"/>
          <w:lang w:val="en-US"/>
        </w:rPr>
        <w:t xml:space="preserve">in </w:t>
      </w:r>
      <w:proofErr w:type="spellStart"/>
      <w:r w:rsidRPr="00A86806">
        <w:rPr>
          <w:b/>
          <w:i/>
          <w:sz w:val="24"/>
          <w:szCs w:val="24"/>
          <w:lang w:val="en-US"/>
        </w:rPr>
        <w:t>limine</w:t>
      </w:r>
      <w:proofErr w:type="spellEnd"/>
    </w:p>
    <w:p w:rsidR="0038540E" w:rsidRPr="00A86806" w:rsidRDefault="0038540E" w:rsidP="00A86806">
      <w:pPr>
        <w:jc w:val="both"/>
        <w:rPr>
          <w:sz w:val="24"/>
          <w:szCs w:val="24"/>
          <w:lang w:val="en-US"/>
        </w:rPr>
      </w:pPr>
      <w:r w:rsidRPr="00A86806">
        <w:rPr>
          <w:sz w:val="24"/>
          <w:szCs w:val="24"/>
          <w:lang w:val="en-US"/>
        </w:rPr>
        <w:tab/>
        <w:t>1</w:t>
      </w:r>
      <w:r w:rsidRPr="00A86806">
        <w:rPr>
          <w:sz w:val="24"/>
          <w:szCs w:val="24"/>
          <w:vertAlign w:val="superscript"/>
          <w:lang w:val="en-US"/>
        </w:rPr>
        <w:t>st</w:t>
      </w:r>
      <w:r w:rsidRPr="00A86806">
        <w:rPr>
          <w:sz w:val="24"/>
          <w:szCs w:val="24"/>
          <w:lang w:val="en-US"/>
        </w:rPr>
        <w:t xml:space="preserve"> and 2</w:t>
      </w:r>
      <w:r w:rsidRPr="00A86806">
        <w:rPr>
          <w:sz w:val="24"/>
          <w:szCs w:val="24"/>
          <w:vertAlign w:val="superscript"/>
          <w:lang w:val="en-US"/>
        </w:rPr>
        <w:t>nd</w:t>
      </w:r>
      <w:r w:rsidRPr="00A86806">
        <w:rPr>
          <w:sz w:val="24"/>
          <w:szCs w:val="24"/>
          <w:lang w:val="en-US"/>
        </w:rPr>
        <w:t xml:space="preserve"> respondents have raised various prelimin</w:t>
      </w:r>
      <w:r w:rsidR="003E04DD">
        <w:rPr>
          <w:sz w:val="24"/>
          <w:szCs w:val="24"/>
          <w:lang w:val="en-US"/>
        </w:rPr>
        <w:t>ary objections which if upheld w</w:t>
      </w:r>
      <w:r w:rsidRPr="00A86806">
        <w:rPr>
          <w:sz w:val="24"/>
          <w:szCs w:val="24"/>
          <w:lang w:val="en-US"/>
        </w:rPr>
        <w:t>ould be dispo</w:t>
      </w:r>
      <w:r w:rsidR="003C0225" w:rsidRPr="00A86806">
        <w:rPr>
          <w:sz w:val="24"/>
          <w:szCs w:val="24"/>
          <w:lang w:val="en-US"/>
        </w:rPr>
        <w:t>sitive of the matter.  I shall deal with these in turn.</w:t>
      </w:r>
    </w:p>
    <w:p w:rsidR="003C0225" w:rsidRPr="00A86806" w:rsidRDefault="003C0225" w:rsidP="00A86806">
      <w:pPr>
        <w:jc w:val="both"/>
        <w:rPr>
          <w:b/>
          <w:sz w:val="24"/>
          <w:szCs w:val="24"/>
          <w:lang w:val="en-US"/>
        </w:rPr>
      </w:pPr>
      <w:r w:rsidRPr="00A86806">
        <w:rPr>
          <w:b/>
          <w:sz w:val="24"/>
          <w:szCs w:val="24"/>
          <w:lang w:val="en-US"/>
        </w:rPr>
        <w:t>Urgency</w:t>
      </w:r>
    </w:p>
    <w:p w:rsidR="003C0225" w:rsidRPr="00A86806" w:rsidRDefault="003C0225" w:rsidP="00A86806">
      <w:pPr>
        <w:jc w:val="both"/>
        <w:rPr>
          <w:sz w:val="24"/>
          <w:szCs w:val="24"/>
          <w:lang w:val="en-US"/>
        </w:rPr>
      </w:pPr>
      <w:r w:rsidRPr="00A86806">
        <w:rPr>
          <w:sz w:val="24"/>
          <w:szCs w:val="24"/>
          <w:lang w:val="en-US"/>
        </w:rPr>
        <w:tab/>
        <w:t>It is contended by 1</w:t>
      </w:r>
      <w:r w:rsidRPr="00A86806">
        <w:rPr>
          <w:sz w:val="24"/>
          <w:szCs w:val="24"/>
          <w:vertAlign w:val="superscript"/>
          <w:lang w:val="en-US"/>
        </w:rPr>
        <w:t>st</w:t>
      </w:r>
      <w:r w:rsidRPr="00A86806">
        <w:rPr>
          <w:sz w:val="24"/>
          <w:szCs w:val="24"/>
          <w:lang w:val="en-US"/>
        </w:rPr>
        <w:t xml:space="preserve"> and 2</w:t>
      </w:r>
      <w:r w:rsidRPr="00A86806">
        <w:rPr>
          <w:sz w:val="24"/>
          <w:szCs w:val="24"/>
          <w:vertAlign w:val="superscript"/>
          <w:lang w:val="en-US"/>
        </w:rPr>
        <w:t>nd</w:t>
      </w:r>
      <w:r w:rsidRPr="00A86806">
        <w:rPr>
          <w:sz w:val="24"/>
          <w:szCs w:val="24"/>
          <w:lang w:val="en-US"/>
        </w:rPr>
        <w:t xml:space="preserve"> respondents that the matter is not urgent at all.  It is </w:t>
      </w:r>
      <w:r w:rsidR="002622E5">
        <w:rPr>
          <w:sz w:val="24"/>
          <w:szCs w:val="24"/>
          <w:lang w:val="en-US"/>
        </w:rPr>
        <w:t>argued that a matter is urgent i</w:t>
      </w:r>
      <w:r w:rsidRPr="00A86806">
        <w:rPr>
          <w:sz w:val="24"/>
          <w:szCs w:val="24"/>
          <w:lang w:val="en-US"/>
        </w:rPr>
        <w:t>f the applicant hereby has treated it as urgent.  The applicant must at when the need to act arises.  In this matter the need to act arose on the 26</w:t>
      </w:r>
      <w:r w:rsidRPr="00A86806">
        <w:rPr>
          <w:sz w:val="24"/>
          <w:szCs w:val="24"/>
          <w:vertAlign w:val="superscript"/>
          <w:lang w:val="en-US"/>
        </w:rPr>
        <w:t>th</w:t>
      </w:r>
      <w:r w:rsidRPr="00A86806">
        <w:rPr>
          <w:sz w:val="24"/>
          <w:szCs w:val="24"/>
          <w:lang w:val="en-US"/>
        </w:rPr>
        <w:t xml:space="preserve"> August 2020 when the applicant was advised that payment in local currency was not being accepted as a discharge of the debt due to the respondents.  Applicant ought to have acted more than a year ago to prote</w:t>
      </w:r>
      <w:r w:rsidR="002622E5">
        <w:rPr>
          <w:sz w:val="24"/>
          <w:szCs w:val="24"/>
          <w:lang w:val="en-US"/>
        </w:rPr>
        <w:t>ct his interests.  The dispute on the payment in local currency</w:t>
      </w:r>
      <w:r w:rsidRPr="00A86806">
        <w:rPr>
          <w:sz w:val="24"/>
          <w:szCs w:val="24"/>
          <w:lang w:val="en-US"/>
        </w:rPr>
        <w:t xml:space="preserve"> has existed for a long period of time and the iss</w:t>
      </w:r>
      <w:r w:rsidR="002622E5">
        <w:rPr>
          <w:sz w:val="24"/>
          <w:szCs w:val="24"/>
          <w:lang w:val="en-US"/>
        </w:rPr>
        <w:t>ue of urgency has been contrived</w:t>
      </w:r>
      <w:r w:rsidRPr="00A86806">
        <w:rPr>
          <w:sz w:val="24"/>
          <w:szCs w:val="24"/>
          <w:lang w:val="en-US"/>
        </w:rPr>
        <w:t xml:space="preserve"> by the applicant.  A long line of cases has established what constitutes urgency.  The leading</w:t>
      </w:r>
      <w:r w:rsidR="00734549">
        <w:rPr>
          <w:sz w:val="24"/>
          <w:szCs w:val="24"/>
          <w:lang w:val="en-US"/>
        </w:rPr>
        <w:t xml:space="preserve"> case</w:t>
      </w:r>
      <w:r w:rsidRPr="00A86806">
        <w:rPr>
          <w:sz w:val="24"/>
          <w:szCs w:val="24"/>
          <w:lang w:val="en-US"/>
        </w:rPr>
        <w:t xml:space="preserve"> authority being </w:t>
      </w:r>
      <w:proofErr w:type="spellStart"/>
      <w:r w:rsidRPr="00A86806">
        <w:rPr>
          <w:i/>
          <w:sz w:val="24"/>
          <w:szCs w:val="24"/>
          <w:lang w:val="en-US"/>
        </w:rPr>
        <w:t>Kuvarega</w:t>
      </w:r>
      <w:proofErr w:type="spellEnd"/>
      <w:r w:rsidRPr="00A86806">
        <w:rPr>
          <w:sz w:val="24"/>
          <w:szCs w:val="24"/>
          <w:lang w:val="en-US"/>
        </w:rPr>
        <w:t xml:space="preserve"> v </w:t>
      </w:r>
      <w:r w:rsidRPr="00A86806">
        <w:rPr>
          <w:i/>
          <w:sz w:val="24"/>
          <w:szCs w:val="24"/>
          <w:lang w:val="en-US"/>
        </w:rPr>
        <w:t>Registrar General &amp; Anor</w:t>
      </w:r>
      <w:r w:rsidRPr="00A86806">
        <w:rPr>
          <w:sz w:val="24"/>
          <w:szCs w:val="24"/>
          <w:lang w:val="en-US"/>
        </w:rPr>
        <w:t xml:space="preserve"> 1998 (1) ZLR 188. At page 193 the learned judge held that:</w:t>
      </w:r>
    </w:p>
    <w:p w:rsidR="003C0225" w:rsidRPr="00A86806" w:rsidRDefault="003C0225" w:rsidP="00A86806">
      <w:pPr>
        <w:pStyle w:val="NoSpacing"/>
        <w:spacing w:line="480" w:lineRule="auto"/>
        <w:ind w:left="720"/>
        <w:jc w:val="both"/>
        <w:rPr>
          <w:rFonts w:ascii="Times New Roman" w:hAnsi="Times New Roman" w:cs="Times New Roman"/>
          <w:sz w:val="24"/>
          <w:szCs w:val="24"/>
          <w:lang w:val="en-US"/>
        </w:rPr>
      </w:pPr>
      <w:r w:rsidRPr="00B9708E">
        <w:rPr>
          <w:rFonts w:ascii="Times New Roman" w:hAnsi="Times New Roman" w:cs="Times New Roman"/>
          <w:i/>
          <w:sz w:val="24"/>
          <w:szCs w:val="24"/>
          <w:lang w:val="en-US"/>
        </w:rPr>
        <w:t>“What constitutes urgency is not on</w:t>
      </w:r>
      <w:r w:rsidR="00A370B6" w:rsidRPr="00B9708E">
        <w:rPr>
          <w:rFonts w:ascii="Times New Roman" w:hAnsi="Times New Roman" w:cs="Times New Roman"/>
          <w:i/>
          <w:sz w:val="24"/>
          <w:szCs w:val="24"/>
          <w:lang w:val="en-US"/>
        </w:rPr>
        <w:t>l</w:t>
      </w:r>
      <w:r w:rsidRPr="00B9708E">
        <w:rPr>
          <w:rFonts w:ascii="Times New Roman" w:hAnsi="Times New Roman" w:cs="Times New Roman"/>
          <w:i/>
          <w:sz w:val="24"/>
          <w:szCs w:val="24"/>
          <w:lang w:val="en-US"/>
        </w:rPr>
        <w:t xml:space="preserve">y the imminent arrival of the day of reckoning, a matter is urgent if, at the time the need to act arises, the matter </w:t>
      </w:r>
      <w:r w:rsidR="00015D6A" w:rsidRPr="00B9708E">
        <w:rPr>
          <w:rFonts w:ascii="Times New Roman" w:hAnsi="Times New Roman" w:cs="Times New Roman"/>
          <w:i/>
          <w:sz w:val="24"/>
          <w:szCs w:val="24"/>
          <w:lang w:val="en-US"/>
        </w:rPr>
        <w:t>ca</w:t>
      </w:r>
      <w:r w:rsidR="00A370B6" w:rsidRPr="00B9708E">
        <w:rPr>
          <w:rFonts w:ascii="Times New Roman" w:hAnsi="Times New Roman" w:cs="Times New Roman"/>
          <w:i/>
          <w:sz w:val="24"/>
          <w:szCs w:val="24"/>
          <w:lang w:val="en-US"/>
        </w:rPr>
        <w:t>n</w:t>
      </w:r>
      <w:r w:rsidR="00015D6A" w:rsidRPr="00B9708E">
        <w:rPr>
          <w:rFonts w:ascii="Times New Roman" w:hAnsi="Times New Roman" w:cs="Times New Roman"/>
          <w:i/>
          <w:sz w:val="24"/>
          <w:szCs w:val="24"/>
          <w:lang w:val="en-US"/>
        </w:rPr>
        <w:t>not wait.  Urgency which stems from a deliberate or careless abstention from action until the deadline</w:t>
      </w:r>
      <w:r w:rsidR="00015D6A" w:rsidRPr="00A86806">
        <w:rPr>
          <w:rFonts w:ascii="Times New Roman" w:hAnsi="Times New Roman" w:cs="Times New Roman"/>
          <w:sz w:val="24"/>
          <w:szCs w:val="24"/>
          <w:lang w:val="en-US"/>
        </w:rPr>
        <w:t xml:space="preserve"> </w:t>
      </w:r>
      <w:r w:rsidR="00015D6A" w:rsidRPr="00B9708E">
        <w:rPr>
          <w:rFonts w:ascii="Times New Roman" w:hAnsi="Times New Roman" w:cs="Times New Roman"/>
          <w:i/>
          <w:sz w:val="24"/>
          <w:szCs w:val="24"/>
          <w:lang w:val="en-US"/>
        </w:rPr>
        <w:t>draws near is not the type of urgency contemplated by the rules.  It necessarily follows that the certificate of urgency or supporting affidavits always contain and explanation of the non-business action if there has been any delay.”</w:t>
      </w:r>
    </w:p>
    <w:p w:rsidR="00015D6A" w:rsidRPr="00A86806" w:rsidRDefault="00015D6A" w:rsidP="00A86806">
      <w:pPr>
        <w:pStyle w:val="NoSpacing"/>
        <w:spacing w:line="480" w:lineRule="auto"/>
        <w:jc w:val="both"/>
        <w:rPr>
          <w:rFonts w:ascii="Times New Roman" w:hAnsi="Times New Roman" w:cs="Times New Roman"/>
          <w:sz w:val="24"/>
          <w:szCs w:val="24"/>
          <w:lang w:val="en-US"/>
        </w:rPr>
      </w:pPr>
    </w:p>
    <w:p w:rsidR="00015D6A" w:rsidRPr="00A86806" w:rsidRDefault="00015D6A" w:rsidP="00A86806">
      <w:pPr>
        <w:ind w:firstLine="720"/>
        <w:jc w:val="both"/>
        <w:rPr>
          <w:sz w:val="24"/>
          <w:szCs w:val="24"/>
          <w:lang w:val="en-US"/>
        </w:rPr>
      </w:pPr>
      <w:r w:rsidRPr="00A86806">
        <w:rPr>
          <w:sz w:val="24"/>
          <w:szCs w:val="24"/>
          <w:lang w:val="en-US"/>
        </w:rPr>
        <w:t>On the facts of this case</w:t>
      </w:r>
      <w:r w:rsidR="00DB2800">
        <w:rPr>
          <w:sz w:val="24"/>
          <w:szCs w:val="24"/>
          <w:lang w:val="en-US"/>
        </w:rPr>
        <w:t>, this principle which has</w:t>
      </w:r>
      <w:r w:rsidRPr="00A86806">
        <w:rPr>
          <w:sz w:val="24"/>
          <w:szCs w:val="24"/>
          <w:lang w:val="en-US"/>
        </w:rPr>
        <w:t xml:space="preserve"> been consistently appl</w:t>
      </w:r>
      <w:r w:rsidR="00DB2800">
        <w:rPr>
          <w:sz w:val="24"/>
          <w:szCs w:val="24"/>
          <w:lang w:val="en-US"/>
        </w:rPr>
        <w:t>ied in determining urgency applies</w:t>
      </w:r>
      <w:r w:rsidRPr="00A86806">
        <w:rPr>
          <w:sz w:val="24"/>
          <w:szCs w:val="24"/>
          <w:lang w:val="en-US"/>
        </w:rPr>
        <w:t xml:space="preserve"> with equal force.</w:t>
      </w:r>
    </w:p>
    <w:p w:rsidR="00015D6A" w:rsidRPr="00A86806" w:rsidRDefault="00015D6A" w:rsidP="00A86806">
      <w:pPr>
        <w:ind w:firstLine="720"/>
        <w:jc w:val="both"/>
        <w:rPr>
          <w:sz w:val="24"/>
          <w:szCs w:val="24"/>
          <w:lang w:val="en-US"/>
        </w:rPr>
      </w:pPr>
      <w:r w:rsidRPr="00A86806">
        <w:rPr>
          <w:sz w:val="24"/>
          <w:szCs w:val="24"/>
          <w:lang w:val="en-US"/>
        </w:rPr>
        <w:lastRenderedPageBreak/>
        <w:t xml:space="preserve">In </w:t>
      </w:r>
      <w:r w:rsidR="00947611">
        <w:rPr>
          <w:i/>
          <w:sz w:val="24"/>
          <w:szCs w:val="24"/>
          <w:lang w:val="en-US"/>
        </w:rPr>
        <w:t>Chidawu</w:t>
      </w:r>
      <w:r w:rsidRPr="00A86806">
        <w:rPr>
          <w:i/>
          <w:sz w:val="24"/>
          <w:szCs w:val="24"/>
          <w:lang w:val="en-US"/>
        </w:rPr>
        <w:t xml:space="preserve"> and Ors</w:t>
      </w:r>
      <w:r w:rsidRPr="00A86806">
        <w:rPr>
          <w:sz w:val="24"/>
          <w:szCs w:val="24"/>
          <w:lang w:val="en-US"/>
        </w:rPr>
        <w:t xml:space="preserve"> v </w:t>
      </w:r>
      <w:r w:rsidRPr="00A86806">
        <w:rPr>
          <w:i/>
          <w:sz w:val="24"/>
          <w:szCs w:val="24"/>
          <w:lang w:val="en-US"/>
        </w:rPr>
        <w:t>Sha &amp; Ors</w:t>
      </w:r>
      <w:r w:rsidR="00947611">
        <w:rPr>
          <w:sz w:val="24"/>
          <w:szCs w:val="24"/>
          <w:lang w:val="en-US"/>
        </w:rPr>
        <w:t xml:space="preserve"> 2013 (1) ZLR 260 (S</w:t>
      </w:r>
      <w:r w:rsidRPr="00A86806">
        <w:rPr>
          <w:sz w:val="24"/>
          <w:szCs w:val="24"/>
          <w:lang w:val="en-US"/>
        </w:rPr>
        <w:t xml:space="preserve">) at page 204D it was held that a certificate of urgency is the </w:t>
      </w:r>
      <w:r w:rsidRPr="00A86806">
        <w:rPr>
          <w:i/>
          <w:sz w:val="24"/>
          <w:szCs w:val="24"/>
          <w:lang w:val="en-US"/>
        </w:rPr>
        <w:t>sine qua non</w:t>
      </w:r>
      <w:r w:rsidRPr="00A86806">
        <w:rPr>
          <w:sz w:val="24"/>
          <w:szCs w:val="24"/>
          <w:lang w:val="en-US"/>
        </w:rPr>
        <w:t xml:space="preserve"> for the placement of an urgent chamber application before a judge.</w:t>
      </w:r>
    </w:p>
    <w:p w:rsidR="00015D6A" w:rsidRPr="00A86806" w:rsidRDefault="00015D6A" w:rsidP="00A86806">
      <w:pPr>
        <w:ind w:firstLine="720"/>
        <w:jc w:val="both"/>
        <w:rPr>
          <w:sz w:val="24"/>
          <w:szCs w:val="24"/>
          <w:lang w:val="en-US"/>
        </w:rPr>
      </w:pPr>
      <w:r w:rsidRPr="00A86806">
        <w:rPr>
          <w:sz w:val="24"/>
          <w:szCs w:val="24"/>
          <w:lang w:val="en-US"/>
        </w:rPr>
        <w:t xml:space="preserve">Nothing in the certificate of urgency placed before this court motivates this court to find that urgency exists.  A perusal of the certificate of urgency does not ultimately bring out the basis upon which the </w:t>
      </w:r>
      <w:r w:rsidR="002F73DC">
        <w:rPr>
          <w:sz w:val="24"/>
          <w:szCs w:val="24"/>
          <w:lang w:val="en-US"/>
        </w:rPr>
        <w:t>certifying legal practitioner held</w:t>
      </w:r>
      <w:r w:rsidRPr="00A86806">
        <w:rPr>
          <w:sz w:val="24"/>
          <w:szCs w:val="24"/>
          <w:lang w:val="en-US"/>
        </w:rPr>
        <w:t xml:space="preserve"> the opi</w:t>
      </w:r>
      <w:r w:rsidR="00DB14A0" w:rsidRPr="00A86806">
        <w:rPr>
          <w:sz w:val="24"/>
          <w:szCs w:val="24"/>
          <w:lang w:val="en-US"/>
        </w:rPr>
        <w:t>n</w:t>
      </w:r>
      <w:r w:rsidRPr="00A86806">
        <w:rPr>
          <w:sz w:val="24"/>
          <w:szCs w:val="24"/>
          <w:lang w:val="en-US"/>
        </w:rPr>
        <w:t>ion that the matter is urgent.  In paragraph 4 of the certificate of urgency the legal practitioner confirms that the applicant was advised on 24</w:t>
      </w:r>
      <w:r w:rsidRPr="00A86806">
        <w:rPr>
          <w:sz w:val="24"/>
          <w:szCs w:val="24"/>
          <w:vertAlign w:val="superscript"/>
          <w:lang w:val="en-US"/>
        </w:rPr>
        <w:t>th</w:t>
      </w:r>
      <w:r w:rsidRPr="00A86806">
        <w:rPr>
          <w:sz w:val="24"/>
          <w:szCs w:val="24"/>
          <w:lang w:val="en-US"/>
        </w:rPr>
        <w:t xml:space="preserve"> Augus</w:t>
      </w:r>
      <w:r w:rsidR="00DB14A0" w:rsidRPr="00A86806">
        <w:rPr>
          <w:sz w:val="24"/>
          <w:szCs w:val="24"/>
          <w:lang w:val="en-US"/>
        </w:rPr>
        <w:t>t</w:t>
      </w:r>
      <w:r w:rsidRPr="00A86806">
        <w:rPr>
          <w:sz w:val="24"/>
          <w:szCs w:val="24"/>
          <w:lang w:val="en-US"/>
        </w:rPr>
        <w:t xml:space="preserve"> 2020 of the respondent’s position but does not sta</w:t>
      </w:r>
      <w:r w:rsidR="00DB14A0" w:rsidRPr="00A86806">
        <w:rPr>
          <w:sz w:val="24"/>
          <w:szCs w:val="24"/>
          <w:lang w:val="en-US"/>
        </w:rPr>
        <w:t>t</w:t>
      </w:r>
      <w:r w:rsidRPr="00A86806">
        <w:rPr>
          <w:sz w:val="24"/>
          <w:szCs w:val="24"/>
          <w:lang w:val="en-US"/>
        </w:rPr>
        <w:t>e notwithstanding such a</w:t>
      </w:r>
      <w:r w:rsidR="00F74A49">
        <w:rPr>
          <w:sz w:val="24"/>
          <w:szCs w:val="24"/>
          <w:lang w:val="en-US"/>
        </w:rPr>
        <w:t xml:space="preserve"> long time why the matter should be treated as</w:t>
      </w:r>
      <w:r w:rsidRPr="00A86806">
        <w:rPr>
          <w:sz w:val="24"/>
          <w:szCs w:val="24"/>
          <w:lang w:val="en-US"/>
        </w:rPr>
        <w:t xml:space="preserve"> urgent.  On this basis alone,</w:t>
      </w:r>
      <w:r w:rsidR="00DB14A0" w:rsidRPr="00A86806">
        <w:rPr>
          <w:sz w:val="24"/>
          <w:szCs w:val="24"/>
          <w:lang w:val="en-US"/>
        </w:rPr>
        <w:t xml:space="preserve"> the matter not being urgent ought to be struck off the roll of urgent matters with an appropriate order for costs.</w:t>
      </w:r>
    </w:p>
    <w:p w:rsidR="00DB14A0" w:rsidRPr="00A10761" w:rsidRDefault="00DB14A0" w:rsidP="00A86806">
      <w:pPr>
        <w:jc w:val="both"/>
        <w:rPr>
          <w:b/>
          <w:sz w:val="24"/>
          <w:szCs w:val="24"/>
          <w:lang w:val="en-US"/>
        </w:rPr>
      </w:pPr>
      <w:r w:rsidRPr="00A10761">
        <w:rPr>
          <w:b/>
          <w:sz w:val="24"/>
          <w:szCs w:val="24"/>
          <w:lang w:val="en-US"/>
        </w:rPr>
        <w:t>Non-compliance with proviso to Rule 60 (1) of the High Court Rules</w:t>
      </w:r>
    </w:p>
    <w:p w:rsidR="00DB14A0" w:rsidRPr="00A86806" w:rsidRDefault="00DB14A0" w:rsidP="00A86806">
      <w:pPr>
        <w:jc w:val="both"/>
        <w:rPr>
          <w:sz w:val="24"/>
          <w:szCs w:val="24"/>
          <w:lang w:val="en-US"/>
        </w:rPr>
      </w:pPr>
      <w:r w:rsidRPr="00A86806">
        <w:rPr>
          <w:sz w:val="24"/>
          <w:szCs w:val="24"/>
          <w:lang w:val="en-US"/>
        </w:rPr>
        <w:tab/>
        <w:t>The 1</w:t>
      </w:r>
      <w:r w:rsidRPr="00A86806">
        <w:rPr>
          <w:sz w:val="24"/>
          <w:szCs w:val="24"/>
          <w:vertAlign w:val="superscript"/>
          <w:lang w:val="en-US"/>
        </w:rPr>
        <w:t>st</w:t>
      </w:r>
      <w:r w:rsidRPr="00A86806">
        <w:rPr>
          <w:sz w:val="24"/>
          <w:szCs w:val="24"/>
          <w:lang w:val="en-US"/>
        </w:rPr>
        <w:t xml:space="preserve"> and 2</w:t>
      </w:r>
      <w:r w:rsidRPr="00A86806">
        <w:rPr>
          <w:sz w:val="24"/>
          <w:szCs w:val="24"/>
          <w:vertAlign w:val="superscript"/>
          <w:lang w:val="en-US"/>
        </w:rPr>
        <w:t>nd</w:t>
      </w:r>
      <w:r w:rsidRPr="00A86806">
        <w:rPr>
          <w:sz w:val="24"/>
          <w:szCs w:val="24"/>
          <w:lang w:val="en-US"/>
        </w:rPr>
        <w:t xml:space="preserve"> respondent</w:t>
      </w:r>
      <w:r w:rsidR="00CB5189">
        <w:rPr>
          <w:sz w:val="24"/>
          <w:szCs w:val="24"/>
          <w:lang w:val="en-US"/>
        </w:rPr>
        <w:t>s</w:t>
      </w:r>
      <w:r w:rsidRPr="00A86806">
        <w:rPr>
          <w:sz w:val="24"/>
          <w:szCs w:val="24"/>
          <w:lang w:val="en-US"/>
        </w:rPr>
        <w:t xml:space="preserve"> contend that the application is fatally defective for non-compliance with the proviso to Rule 60 (1) of the High Court Rules, 2021 which provides that:</w:t>
      </w:r>
    </w:p>
    <w:p w:rsidR="00DB14A0" w:rsidRPr="00A86806" w:rsidRDefault="00DB14A0" w:rsidP="00A86806">
      <w:pPr>
        <w:pStyle w:val="NoSpacing"/>
        <w:spacing w:line="480" w:lineRule="auto"/>
        <w:ind w:left="720"/>
        <w:jc w:val="both"/>
        <w:rPr>
          <w:rFonts w:ascii="Times New Roman" w:hAnsi="Times New Roman" w:cs="Times New Roman"/>
          <w:sz w:val="24"/>
          <w:szCs w:val="24"/>
          <w:lang w:val="en-US"/>
        </w:rPr>
      </w:pPr>
      <w:r w:rsidRPr="00A86806">
        <w:rPr>
          <w:rFonts w:ascii="Times New Roman" w:hAnsi="Times New Roman" w:cs="Times New Roman"/>
          <w:sz w:val="24"/>
          <w:szCs w:val="24"/>
          <w:lang w:val="en-US"/>
        </w:rPr>
        <w:t>“Provided that, where a chamber application is to be served on an interested party, it shall be in Form No. 23 with appropriate modifications.”</w:t>
      </w:r>
    </w:p>
    <w:p w:rsidR="00DB14A0" w:rsidRPr="00A86806" w:rsidRDefault="00DB14A0" w:rsidP="00A86806">
      <w:pPr>
        <w:pStyle w:val="NoSpacing"/>
        <w:spacing w:line="480" w:lineRule="auto"/>
        <w:jc w:val="both"/>
        <w:rPr>
          <w:rFonts w:ascii="Times New Roman" w:hAnsi="Times New Roman" w:cs="Times New Roman"/>
          <w:sz w:val="24"/>
          <w:szCs w:val="24"/>
          <w:lang w:val="en-US"/>
        </w:rPr>
      </w:pPr>
    </w:p>
    <w:p w:rsidR="00DB14A0" w:rsidRPr="00A86806" w:rsidRDefault="00DB14A0" w:rsidP="00A86806">
      <w:pPr>
        <w:jc w:val="both"/>
        <w:rPr>
          <w:sz w:val="24"/>
          <w:szCs w:val="24"/>
          <w:lang w:val="en-US"/>
        </w:rPr>
      </w:pPr>
      <w:r w:rsidRPr="00A86806">
        <w:rPr>
          <w:sz w:val="24"/>
          <w:szCs w:val="24"/>
          <w:lang w:val="en-US"/>
        </w:rPr>
        <w:tab/>
        <w:t xml:space="preserve">The urgent chamber application was intended to be served on interested parties as it was on notice to them.  This appears from the face of the application and also from paragraphs 3 and 4 of the applicant’s founding affidavit.  Clearly therefore, the urgent chamber application ought to have been in “Form number 23 with appropriate identifications”.  The application before the court is not in that form.  Applicant accepts in his </w:t>
      </w:r>
      <w:r w:rsidRPr="00A86806">
        <w:rPr>
          <w:sz w:val="24"/>
          <w:szCs w:val="24"/>
          <w:lang w:val="en-US"/>
        </w:rPr>
        <w:lastRenderedPageBreak/>
        <w:t>heads of argument that there is no compliance with this</w:t>
      </w:r>
      <w:r w:rsidR="00EC70AC" w:rsidRPr="00A86806">
        <w:rPr>
          <w:sz w:val="24"/>
          <w:szCs w:val="24"/>
          <w:lang w:val="en-US"/>
        </w:rPr>
        <w:t xml:space="preserve"> Rule.  (See paragraph 4.4 of applicant’s heads of argument).  While accepting the defect applicant has pointed the court to Rule 7 which provides for a judge to authorize a departure from any provision of the rules if he is satisfied that the departure is required in the interests of justice.  Regrettably, no proper application has been made to this court for the court to exercise its discretion.  It is trite that a party seeking the court’s indulgence ought to make a formal request for the exercise of the court’s discretion.  This much is a basic and elementary procedure.  See </w:t>
      </w:r>
      <w:r w:rsidR="00EC70AC" w:rsidRPr="00A86806">
        <w:rPr>
          <w:i/>
          <w:sz w:val="24"/>
          <w:szCs w:val="24"/>
          <w:lang w:val="en-US"/>
        </w:rPr>
        <w:t>Nzara &amp; Ors</w:t>
      </w:r>
      <w:r w:rsidR="00EC70AC" w:rsidRPr="00A86806">
        <w:rPr>
          <w:sz w:val="24"/>
          <w:szCs w:val="24"/>
          <w:lang w:val="en-US"/>
        </w:rPr>
        <w:t xml:space="preserve"> v </w:t>
      </w:r>
      <w:r w:rsidR="00EC70AC" w:rsidRPr="00A86806">
        <w:rPr>
          <w:i/>
          <w:sz w:val="24"/>
          <w:szCs w:val="24"/>
          <w:lang w:val="en-US"/>
        </w:rPr>
        <w:t>Kashumba N.o. &amp; Ors</w:t>
      </w:r>
      <w:r w:rsidR="00EC70AC" w:rsidRPr="00A86806">
        <w:rPr>
          <w:sz w:val="24"/>
          <w:szCs w:val="24"/>
          <w:lang w:val="en-US"/>
        </w:rPr>
        <w:t xml:space="preserve"> SC-18-15.</w:t>
      </w:r>
    </w:p>
    <w:p w:rsidR="00EC70AC" w:rsidRPr="00A86806" w:rsidRDefault="00EC70AC" w:rsidP="00A86806">
      <w:pPr>
        <w:jc w:val="both"/>
        <w:rPr>
          <w:sz w:val="24"/>
          <w:szCs w:val="24"/>
          <w:lang w:val="en-US"/>
        </w:rPr>
      </w:pPr>
      <w:r w:rsidRPr="00A86806">
        <w:rPr>
          <w:sz w:val="24"/>
          <w:szCs w:val="24"/>
          <w:lang w:val="en-US"/>
        </w:rPr>
        <w:tab/>
        <w:t xml:space="preserve">In </w:t>
      </w:r>
      <w:r w:rsidRPr="00A86806">
        <w:rPr>
          <w:i/>
          <w:sz w:val="24"/>
          <w:szCs w:val="24"/>
          <w:lang w:val="en-US"/>
        </w:rPr>
        <w:t>Minis</w:t>
      </w:r>
      <w:r w:rsidR="00C45130" w:rsidRPr="00A86806">
        <w:rPr>
          <w:i/>
          <w:sz w:val="24"/>
          <w:szCs w:val="24"/>
          <w:lang w:val="en-US"/>
        </w:rPr>
        <w:t>t</w:t>
      </w:r>
      <w:r w:rsidRPr="00A86806">
        <w:rPr>
          <w:i/>
          <w:sz w:val="24"/>
          <w:szCs w:val="24"/>
          <w:lang w:val="en-US"/>
        </w:rPr>
        <w:t>er of Hig</w:t>
      </w:r>
      <w:r w:rsidR="00C45130" w:rsidRPr="00A86806">
        <w:rPr>
          <w:i/>
          <w:sz w:val="24"/>
          <w:szCs w:val="24"/>
          <w:lang w:val="en-US"/>
        </w:rPr>
        <w:t>h</w:t>
      </w:r>
      <w:r w:rsidRPr="00A86806">
        <w:rPr>
          <w:i/>
          <w:sz w:val="24"/>
          <w:szCs w:val="24"/>
          <w:lang w:val="en-US"/>
        </w:rPr>
        <w:t>er Tertiary Education</w:t>
      </w:r>
      <w:r w:rsidRPr="00A86806">
        <w:rPr>
          <w:sz w:val="24"/>
          <w:szCs w:val="24"/>
          <w:lang w:val="en-US"/>
        </w:rPr>
        <w:t xml:space="preserve"> v </w:t>
      </w:r>
      <w:r w:rsidRPr="00A86806">
        <w:rPr>
          <w:i/>
          <w:sz w:val="24"/>
          <w:szCs w:val="24"/>
          <w:lang w:val="en-US"/>
        </w:rPr>
        <w:t>BM</w:t>
      </w:r>
      <w:r w:rsidR="00A370B6" w:rsidRPr="00A86806">
        <w:rPr>
          <w:i/>
          <w:sz w:val="24"/>
          <w:szCs w:val="24"/>
          <w:lang w:val="en-US"/>
        </w:rPr>
        <w:t>S</w:t>
      </w:r>
      <w:r w:rsidRPr="00A86806">
        <w:rPr>
          <w:i/>
          <w:sz w:val="24"/>
          <w:szCs w:val="24"/>
          <w:lang w:val="en-US"/>
        </w:rPr>
        <w:t xml:space="preserve"> Fastner P/L &amp; Ors</w:t>
      </w:r>
      <w:r w:rsidRPr="00A86806">
        <w:rPr>
          <w:sz w:val="24"/>
          <w:szCs w:val="24"/>
          <w:lang w:val="en-US"/>
        </w:rPr>
        <w:t xml:space="preserve"> HB-42-14</w:t>
      </w:r>
    </w:p>
    <w:p w:rsidR="00EC70AC" w:rsidRPr="00A86806" w:rsidRDefault="00CB5189" w:rsidP="00A86806">
      <w:pPr>
        <w:jc w:val="both"/>
        <w:rPr>
          <w:sz w:val="24"/>
          <w:szCs w:val="24"/>
          <w:lang w:val="en-US"/>
        </w:rPr>
      </w:pPr>
      <w:r>
        <w:rPr>
          <w:sz w:val="24"/>
          <w:szCs w:val="24"/>
          <w:lang w:val="en-US"/>
        </w:rPr>
        <w:tab/>
        <w:t>It was held</w:t>
      </w:r>
      <w:r w:rsidR="00EC70AC" w:rsidRPr="00A86806">
        <w:rPr>
          <w:sz w:val="24"/>
          <w:szCs w:val="24"/>
          <w:lang w:val="en-US"/>
        </w:rPr>
        <w:t xml:space="preserve"> that:</w:t>
      </w:r>
    </w:p>
    <w:p w:rsidR="00C45130" w:rsidRPr="00034116" w:rsidRDefault="00034116" w:rsidP="00A86806">
      <w:pPr>
        <w:pStyle w:val="NoSpacing"/>
        <w:spacing w:line="480" w:lineRule="auto"/>
        <w:ind w:left="720"/>
        <w:jc w:val="both"/>
        <w:rPr>
          <w:rFonts w:ascii="Times New Roman" w:hAnsi="Times New Roman" w:cs="Times New Roman"/>
          <w:i/>
          <w:sz w:val="24"/>
          <w:szCs w:val="24"/>
          <w:lang w:val="en-US"/>
        </w:rPr>
      </w:pPr>
      <w:r w:rsidRPr="00034116">
        <w:rPr>
          <w:rFonts w:ascii="Times New Roman" w:hAnsi="Times New Roman" w:cs="Times New Roman"/>
          <w:i/>
          <w:sz w:val="24"/>
          <w:szCs w:val="24"/>
          <w:lang w:val="en-US"/>
        </w:rPr>
        <w:t>“</w:t>
      </w:r>
      <w:r w:rsidR="00EC70AC" w:rsidRPr="00034116">
        <w:rPr>
          <w:rFonts w:ascii="Times New Roman" w:hAnsi="Times New Roman" w:cs="Times New Roman"/>
          <w:i/>
          <w:sz w:val="24"/>
          <w:szCs w:val="24"/>
          <w:lang w:val="en-US"/>
        </w:rPr>
        <w:t>It is trite law that a chamber application must comply with the rules governing chamber applications.  Chamber applications are provided for by Order 32 Rule 241.   Rule 241 (2) states that</w:t>
      </w:r>
      <w:r w:rsidRPr="00034116">
        <w:rPr>
          <w:rFonts w:ascii="Times New Roman" w:hAnsi="Times New Roman" w:cs="Times New Roman"/>
          <w:i/>
          <w:sz w:val="24"/>
          <w:szCs w:val="24"/>
          <w:lang w:val="en-US"/>
        </w:rPr>
        <w:t xml:space="preserve"> </w:t>
      </w:r>
      <w:r w:rsidR="00EC70AC" w:rsidRPr="00034116">
        <w:rPr>
          <w:rFonts w:ascii="Times New Roman" w:hAnsi="Times New Roman" w:cs="Times New Roman"/>
          <w:i/>
          <w:sz w:val="24"/>
          <w:szCs w:val="24"/>
          <w:lang w:val="en-US"/>
        </w:rPr>
        <w:t>where a chamber application is to be served on an in</w:t>
      </w:r>
      <w:r w:rsidRPr="00034116">
        <w:rPr>
          <w:rFonts w:ascii="Times New Roman" w:hAnsi="Times New Roman" w:cs="Times New Roman"/>
          <w:i/>
          <w:sz w:val="24"/>
          <w:szCs w:val="24"/>
          <w:lang w:val="en-US"/>
        </w:rPr>
        <w:t>terested party it should be in F</w:t>
      </w:r>
      <w:r w:rsidR="00EC70AC" w:rsidRPr="00034116">
        <w:rPr>
          <w:rFonts w:ascii="Times New Roman" w:hAnsi="Times New Roman" w:cs="Times New Roman"/>
          <w:i/>
          <w:sz w:val="24"/>
          <w:szCs w:val="24"/>
          <w:lang w:val="en-US"/>
        </w:rPr>
        <w:t>orm number 29</w:t>
      </w:r>
      <w:r w:rsidR="00C45130" w:rsidRPr="00034116">
        <w:rPr>
          <w:rFonts w:ascii="Times New Roman" w:hAnsi="Times New Roman" w:cs="Times New Roman"/>
          <w:i/>
          <w:sz w:val="24"/>
          <w:szCs w:val="24"/>
          <w:lang w:val="en-US"/>
        </w:rPr>
        <w:t xml:space="preserve"> w</w:t>
      </w:r>
      <w:r w:rsidRPr="00034116">
        <w:rPr>
          <w:rFonts w:ascii="Times New Roman" w:hAnsi="Times New Roman" w:cs="Times New Roman"/>
          <w:i/>
          <w:sz w:val="24"/>
          <w:szCs w:val="24"/>
          <w:lang w:val="en-US"/>
        </w:rPr>
        <w:t xml:space="preserve">ith appropriate modifications.  </w:t>
      </w:r>
      <w:r w:rsidR="00C45130" w:rsidRPr="00034116">
        <w:rPr>
          <w:rFonts w:ascii="Times New Roman" w:hAnsi="Times New Roman" w:cs="Times New Roman"/>
          <w:i/>
          <w:sz w:val="24"/>
          <w:szCs w:val="24"/>
          <w:lang w:val="en-US"/>
        </w:rPr>
        <w:t>In terms of Rule 232 a respondent shall be entitled to not less than 10 days to file</w:t>
      </w:r>
      <w:r w:rsidRPr="00034116">
        <w:rPr>
          <w:rFonts w:ascii="Times New Roman" w:hAnsi="Times New Roman" w:cs="Times New Roman"/>
          <w:i/>
          <w:sz w:val="24"/>
          <w:szCs w:val="24"/>
          <w:lang w:val="en-US"/>
        </w:rPr>
        <w:t xml:space="preserve"> an</w:t>
      </w:r>
      <w:r w:rsidR="00C45130" w:rsidRPr="00034116">
        <w:rPr>
          <w:rFonts w:ascii="Times New Roman" w:hAnsi="Times New Roman" w:cs="Times New Roman"/>
          <w:i/>
          <w:sz w:val="24"/>
          <w:szCs w:val="24"/>
          <w:lang w:val="en-US"/>
        </w:rPr>
        <w:t xml:space="preserve"> opposing affidavit.  In urgent matters the court may specify a shorter period than 10 days.”</w:t>
      </w:r>
    </w:p>
    <w:p w:rsidR="00C45130" w:rsidRPr="00A86806" w:rsidRDefault="00C45130" w:rsidP="00A86806">
      <w:pPr>
        <w:pStyle w:val="NoSpacing"/>
        <w:spacing w:line="480" w:lineRule="auto"/>
        <w:jc w:val="both"/>
        <w:rPr>
          <w:rFonts w:ascii="Times New Roman" w:hAnsi="Times New Roman" w:cs="Times New Roman"/>
          <w:sz w:val="24"/>
          <w:szCs w:val="24"/>
          <w:lang w:val="en-US"/>
        </w:rPr>
      </w:pPr>
    </w:p>
    <w:p w:rsidR="00C45130" w:rsidRPr="00A86806" w:rsidRDefault="00C45130" w:rsidP="00A86806">
      <w:pPr>
        <w:jc w:val="both"/>
        <w:rPr>
          <w:sz w:val="24"/>
          <w:szCs w:val="24"/>
          <w:lang w:val="en-US"/>
        </w:rPr>
      </w:pPr>
      <w:r w:rsidRPr="00A86806">
        <w:rPr>
          <w:sz w:val="24"/>
          <w:szCs w:val="24"/>
          <w:lang w:val="en-US"/>
        </w:rPr>
        <w:tab/>
        <w:t>In this matter the application is clearly defective for failure to adopt the correct form.  Even assuming that the court could somehow authorize a departure from the rules, the applicant did not advance any facts explaining the</w:t>
      </w:r>
      <w:r w:rsidR="00DB5C6F">
        <w:rPr>
          <w:sz w:val="24"/>
          <w:szCs w:val="24"/>
          <w:lang w:val="en-US"/>
        </w:rPr>
        <w:t xml:space="preserve"> reason for the failure</w:t>
      </w:r>
      <w:r w:rsidRPr="00A86806">
        <w:rPr>
          <w:sz w:val="24"/>
          <w:szCs w:val="24"/>
          <w:lang w:val="en-US"/>
        </w:rPr>
        <w:t xml:space="preserve"> to comply wi</w:t>
      </w:r>
      <w:r w:rsidR="00DB5C6F">
        <w:rPr>
          <w:sz w:val="24"/>
          <w:szCs w:val="24"/>
          <w:lang w:val="en-US"/>
        </w:rPr>
        <w:t>th the rules and indicating why</w:t>
      </w:r>
      <w:r w:rsidRPr="00A86806">
        <w:rPr>
          <w:sz w:val="24"/>
          <w:szCs w:val="24"/>
          <w:lang w:val="en-US"/>
        </w:rPr>
        <w:t xml:space="preserve"> it is in the interests of justice to grant such indulgence.  This preliminary objection does have merit and must be upheld.</w:t>
      </w:r>
    </w:p>
    <w:p w:rsidR="00F001DB" w:rsidRDefault="00F001DB" w:rsidP="00A86806">
      <w:pPr>
        <w:jc w:val="both"/>
        <w:rPr>
          <w:b/>
          <w:sz w:val="24"/>
          <w:szCs w:val="24"/>
          <w:lang w:val="en-US"/>
        </w:rPr>
      </w:pPr>
    </w:p>
    <w:p w:rsidR="00C45130" w:rsidRPr="00A86806" w:rsidRDefault="00823512" w:rsidP="00A86806">
      <w:pPr>
        <w:jc w:val="both"/>
        <w:rPr>
          <w:b/>
          <w:sz w:val="24"/>
          <w:szCs w:val="24"/>
          <w:lang w:val="en-US"/>
        </w:rPr>
      </w:pPr>
      <w:r>
        <w:rPr>
          <w:b/>
          <w:sz w:val="24"/>
          <w:szCs w:val="24"/>
          <w:lang w:val="en-US"/>
        </w:rPr>
        <w:lastRenderedPageBreak/>
        <w:t>Defective Draft O</w:t>
      </w:r>
      <w:r w:rsidR="00C45130" w:rsidRPr="00A86806">
        <w:rPr>
          <w:b/>
          <w:sz w:val="24"/>
          <w:szCs w:val="24"/>
          <w:lang w:val="en-US"/>
        </w:rPr>
        <w:t>rder</w:t>
      </w:r>
    </w:p>
    <w:p w:rsidR="00C45130" w:rsidRPr="00A86806" w:rsidRDefault="00C45130" w:rsidP="00A86806">
      <w:pPr>
        <w:jc w:val="both"/>
        <w:rPr>
          <w:sz w:val="24"/>
          <w:szCs w:val="24"/>
          <w:lang w:val="en-US"/>
        </w:rPr>
      </w:pPr>
      <w:r w:rsidRPr="00A86806">
        <w:rPr>
          <w:sz w:val="24"/>
          <w:szCs w:val="24"/>
          <w:lang w:val="en-US"/>
        </w:rPr>
        <w:tab/>
      </w:r>
      <w:r w:rsidR="005F7622">
        <w:rPr>
          <w:sz w:val="24"/>
          <w:szCs w:val="24"/>
          <w:lang w:val="en-US"/>
        </w:rPr>
        <w:t xml:space="preserve"> R</w:t>
      </w:r>
      <w:r w:rsidRPr="00A86806">
        <w:rPr>
          <w:sz w:val="24"/>
          <w:szCs w:val="24"/>
          <w:lang w:val="en-US"/>
        </w:rPr>
        <w:t>espondents pointed out that the draft order is defective in that the final order sought was not supported by the facts.  At the hearing of this matter the applicant’s legal practitioner conceded the fact and undertook to rectify the amendment.  The applicant has amended the draft order to reflect that full payment was made on 26</w:t>
      </w:r>
      <w:r w:rsidRPr="00A86806">
        <w:rPr>
          <w:sz w:val="24"/>
          <w:szCs w:val="24"/>
          <w:vertAlign w:val="superscript"/>
          <w:lang w:val="en-US"/>
        </w:rPr>
        <w:t>th</w:t>
      </w:r>
      <w:r w:rsidRPr="00A86806">
        <w:rPr>
          <w:sz w:val="24"/>
          <w:szCs w:val="24"/>
          <w:lang w:val="en-US"/>
        </w:rPr>
        <w:t xml:space="preserve"> Octob</w:t>
      </w:r>
      <w:r w:rsidR="00895AE8" w:rsidRPr="00A86806">
        <w:rPr>
          <w:sz w:val="24"/>
          <w:szCs w:val="24"/>
          <w:lang w:val="en-US"/>
        </w:rPr>
        <w:t>e</w:t>
      </w:r>
      <w:r w:rsidRPr="00A86806">
        <w:rPr>
          <w:sz w:val="24"/>
          <w:szCs w:val="24"/>
          <w:lang w:val="en-US"/>
        </w:rPr>
        <w:t>r 2021.  The amendment to the draft order without the subsequent amendment of th</w:t>
      </w:r>
      <w:r w:rsidR="00895AE8" w:rsidRPr="00A86806">
        <w:rPr>
          <w:sz w:val="24"/>
          <w:szCs w:val="24"/>
          <w:lang w:val="en-US"/>
        </w:rPr>
        <w:t>e</w:t>
      </w:r>
      <w:r w:rsidRPr="00A86806">
        <w:rPr>
          <w:sz w:val="24"/>
          <w:szCs w:val="24"/>
          <w:lang w:val="en-US"/>
        </w:rPr>
        <w:t xml:space="preserve"> founding affidavit by way of an an</w:t>
      </w:r>
      <w:r w:rsidR="00AC28CD">
        <w:rPr>
          <w:sz w:val="24"/>
          <w:szCs w:val="24"/>
          <w:lang w:val="en-US"/>
        </w:rPr>
        <w:t>swering affidavit does not cure</w:t>
      </w:r>
      <w:r w:rsidRPr="00A86806">
        <w:rPr>
          <w:sz w:val="24"/>
          <w:szCs w:val="24"/>
          <w:lang w:val="en-US"/>
        </w:rPr>
        <w:t xml:space="preserve"> the defect in the application.  A draft order is read together with the interim relief. It has been the </w:t>
      </w:r>
      <w:r w:rsidR="00895AE8" w:rsidRPr="00A86806">
        <w:rPr>
          <w:sz w:val="24"/>
          <w:szCs w:val="24"/>
          <w:lang w:val="en-US"/>
        </w:rPr>
        <w:t xml:space="preserve">practice of </w:t>
      </w:r>
      <w:r w:rsidR="00912958">
        <w:rPr>
          <w:sz w:val="24"/>
          <w:szCs w:val="24"/>
          <w:lang w:val="en-US"/>
        </w:rPr>
        <w:t>some legal practitioners to seek final and defini</w:t>
      </w:r>
      <w:r w:rsidR="00895AE8" w:rsidRPr="00A86806">
        <w:rPr>
          <w:sz w:val="24"/>
          <w:szCs w:val="24"/>
          <w:lang w:val="en-US"/>
        </w:rPr>
        <w:t>tive relief which is not pleaded in the application.  This is undesirab</w:t>
      </w:r>
      <w:r w:rsidR="00A370B6" w:rsidRPr="00A86806">
        <w:rPr>
          <w:sz w:val="24"/>
          <w:szCs w:val="24"/>
          <w:lang w:val="en-US"/>
        </w:rPr>
        <w:t>l</w:t>
      </w:r>
      <w:r w:rsidR="00895AE8" w:rsidRPr="00A86806">
        <w:rPr>
          <w:sz w:val="24"/>
          <w:szCs w:val="24"/>
          <w:lang w:val="en-US"/>
        </w:rPr>
        <w:t xml:space="preserve">e.  This point </w:t>
      </w:r>
      <w:r w:rsidR="00895AE8" w:rsidRPr="00A86806">
        <w:rPr>
          <w:i/>
          <w:sz w:val="24"/>
          <w:szCs w:val="24"/>
          <w:lang w:val="en-US"/>
        </w:rPr>
        <w:t>in limine</w:t>
      </w:r>
      <w:r w:rsidR="00895AE8" w:rsidRPr="00A86806">
        <w:rPr>
          <w:sz w:val="24"/>
          <w:szCs w:val="24"/>
          <w:lang w:val="en-US"/>
        </w:rPr>
        <w:t xml:space="preserve"> ought to be upheld inspite of the amendment.</w:t>
      </w:r>
    </w:p>
    <w:p w:rsidR="00895AE8" w:rsidRPr="00A86806" w:rsidRDefault="00895AE8" w:rsidP="00A86806">
      <w:pPr>
        <w:jc w:val="both"/>
        <w:rPr>
          <w:b/>
          <w:sz w:val="24"/>
          <w:szCs w:val="24"/>
          <w:lang w:val="en-US"/>
        </w:rPr>
      </w:pPr>
      <w:r w:rsidRPr="00A86806">
        <w:rPr>
          <w:b/>
          <w:sz w:val="24"/>
          <w:szCs w:val="24"/>
          <w:lang w:val="en-US"/>
        </w:rPr>
        <w:t>False and misleading averments</w:t>
      </w:r>
    </w:p>
    <w:p w:rsidR="00895AE8" w:rsidRPr="00A86806" w:rsidRDefault="00895AE8" w:rsidP="00A86806">
      <w:pPr>
        <w:jc w:val="both"/>
        <w:rPr>
          <w:sz w:val="24"/>
          <w:szCs w:val="24"/>
          <w:lang w:val="en-US"/>
        </w:rPr>
      </w:pPr>
      <w:r w:rsidRPr="00A86806">
        <w:rPr>
          <w:sz w:val="24"/>
          <w:szCs w:val="24"/>
          <w:lang w:val="en-US"/>
        </w:rPr>
        <w:tab/>
        <w:t>1</w:t>
      </w:r>
      <w:r w:rsidRPr="00A86806">
        <w:rPr>
          <w:sz w:val="24"/>
          <w:szCs w:val="24"/>
          <w:vertAlign w:val="superscript"/>
          <w:lang w:val="en-US"/>
        </w:rPr>
        <w:t>st</w:t>
      </w:r>
      <w:r w:rsidRPr="00A86806">
        <w:rPr>
          <w:sz w:val="24"/>
          <w:szCs w:val="24"/>
          <w:lang w:val="en-US"/>
        </w:rPr>
        <w:t xml:space="preserve"> and 2</w:t>
      </w:r>
      <w:r w:rsidRPr="00A86806">
        <w:rPr>
          <w:sz w:val="24"/>
          <w:szCs w:val="24"/>
          <w:vertAlign w:val="superscript"/>
          <w:lang w:val="en-US"/>
        </w:rPr>
        <w:t>nd</w:t>
      </w:r>
      <w:r w:rsidRPr="00A86806">
        <w:rPr>
          <w:sz w:val="24"/>
          <w:szCs w:val="24"/>
          <w:lang w:val="en-US"/>
        </w:rPr>
        <w:t xml:space="preserve"> respondents</w:t>
      </w:r>
      <w:r w:rsidR="008904C0" w:rsidRPr="00A86806">
        <w:rPr>
          <w:sz w:val="24"/>
          <w:szCs w:val="24"/>
          <w:lang w:val="en-US"/>
        </w:rPr>
        <w:t xml:space="preserve"> contend that the entire application is based on averments that are decisively false.  Applicants aver in the founding affidavit that they had fully serviced his indebtedness when he received 3</w:t>
      </w:r>
      <w:r w:rsidR="008904C0" w:rsidRPr="00A86806">
        <w:rPr>
          <w:sz w:val="24"/>
          <w:szCs w:val="24"/>
          <w:vertAlign w:val="superscript"/>
          <w:lang w:val="en-US"/>
        </w:rPr>
        <w:t>rd</w:t>
      </w:r>
      <w:r w:rsidR="008904C0" w:rsidRPr="00A86806">
        <w:rPr>
          <w:sz w:val="24"/>
          <w:szCs w:val="24"/>
          <w:lang w:val="en-US"/>
        </w:rPr>
        <w:t xml:space="preserve"> respondent’s notice on 13</w:t>
      </w:r>
      <w:r w:rsidR="008904C0" w:rsidRPr="00A86806">
        <w:rPr>
          <w:sz w:val="24"/>
          <w:szCs w:val="24"/>
          <w:vertAlign w:val="superscript"/>
          <w:lang w:val="en-US"/>
        </w:rPr>
        <w:t>th</w:t>
      </w:r>
      <w:r w:rsidR="008904C0" w:rsidRPr="00A86806">
        <w:rPr>
          <w:sz w:val="24"/>
          <w:szCs w:val="24"/>
          <w:lang w:val="en-US"/>
        </w:rPr>
        <w:t xml:space="preserve"> October 2021.  In paragraph 10 of the founding affidavit, applicant indicates that he effected payments on 19 and 25 October 2021 in pursuant of his debt.</w:t>
      </w:r>
      <w:r w:rsidR="00117AE1">
        <w:rPr>
          <w:sz w:val="24"/>
          <w:szCs w:val="24"/>
          <w:lang w:val="en-US"/>
        </w:rPr>
        <w:t xml:space="preserve"> At the time the application was filed he was aware that his payment in local currency had been rejected.</w:t>
      </w:r>
    </w:p>
    <w:p w:rsidR="008904C0" w:rsidRPr="00A86806" w:rsidRDefault="00DC3090" w:rsidP="00A86806">
      <w:pPr>
        <w:jc w:val="both"/>
        <w:rPr>
          <w:sz w:val="24"/>
          <w:szCs w:val="24"/>
          <w:lang w:val="en-US"/>
        </w:rPr>
      </w:pPr>
      <w:r>
        <w:rPr>
          <w:sz w:val="24"/>
          <w:szCs w:val="24"/>
          <w:lang w:val="en-US"/>
        </w:rPr>
        <w:t xml:space="preserve"> T</w:t>
      </w:r>
      <w:r w:rsidR="008904C0" w:rsidRPr="00A86806">
        <w:rPr>
          <w:sz w:val="24"/>
          <w:szCs w:val="24"/>
          <w:lang w:val="en-US"/>
        </w:rPr>
        <w:t xml:space="preserve">his point </w:t>
      </w:r>
      <w:r w:rsidR="008904C0" w:rsidRPr="00A86806">
        <w:rPr>
          <w:i/>
          <w:sz w:val="24"/>
          <w:szCs w:val="24"/>
          <w:lang w:val="en-US"/>
        </w:rPr>
        <w:t>in limine</w:t>
      </w:r>
      <w:r w:rsidR="008904C0" w:rsidRPr="00A86806">
        <w:rPr>
          <w:sz w:val="24"/>
          <w:szCs w:val="24"/>
          <w:lang w:val="en-US"/>
        </w:rPr>
        <w:t xml:space="preserve"> was well taken.  The appl</w:t>
      </w:r>
      <w:r w:rsidR="00780572">
        <w:rPr>
          <w:sz w:val="24"/>
          <w:szCs w:val="24"/>
          <w:lang w:val="en-US"/>
        </w:rPr>
        <w:t>icant premised his application on</w:t>
      </w:r>
      <w:r w:rsidR="008904C0" w:rsidRPr="00A86806">
        <w:rPr>
          <w:sz w:val="24"/>
          <w:szCs w:val="24"/>
          <w:lang w:val="en-US"/>
        </w:rPr>
        <w:t xml:space="preserve"> false allegation</w:t>
      </w:r>
      <w:r w:rsidR="00780572">
        <w:rPr>
          <w:sz w:val="24"/>
          <w:szCs w:val="24"/>
          <w:lang w:val="en-US"/>
        </w:rPr>
        <w:t>s</w:t>
      </w:r>
      <w:r w:rsidR="008904C0" w:rsidRPr="00A86806">
        <w:rPr>
          <w:sz w:val="24"/>
          <w:szCs w:val="24"/>
          <w:lang w:val="en-US"/>
        </w:rPr>
        <w:t>.  He should not be heard on the merits.</w:t>
      </w:r>
    </w:p>
    <w:p w:rsidR="008904C0" w:rsidRPr="00A86806" w:rsidRDefault="008904C0" w:rsidP="00A86806">
      <w:pPr>
        <w:jc w:val="both"/>
        <w:rPr>
          <w:b/>
          <w:sz w:val="24"/>
          <w:szCs w:val="24"/>
          <w:lang w:val="en-US"/>
        </w:rPr>
      </w:pPr>
      <w:r w:rsidRPr="00A86806">
        <w:rPr>
          <w:b/>
          <w:sz w:val="24"/>
          <w:szCs w:val="24"/>
          <w:lang w:val="en-US"/>
        </w:rPr>
        <w:t>Failure to disclose material information</w:t>
      </w:r>
    </w:p>
    <w:p w:rsidR="008904C0" w:rsidRPr="00A86806" w:rsidRDefault="008904C0" w:rsidP="00A86806">
      <w:pPr>
        <w:jc w:val="both"/>
        <w:rPr>
          <w:sz w:val="24"/>
          <w:szCs w:val="24"/>
          <w:lang w:val="en-US"/>
        </w:rPr>
      </w:pPr>
      <w:r w:rsidRPr="00A86806">
        <w:rPr>
          <w:sz w:val="24"/>
          <w:szCs w:val="24"/>
          <w:lang w:val="en-US"/>
        </w:rPr>
        <w:tab/>
      </w:r>
      <w:r w:rsidR="009643E8">
        <w:rPr>
          <w:sz w:val="24"/>
          <w:szCs w:val="24"/>
          <w:lang w:val="en-US"/>
        </w:rPr>
        <w:t xml:space="preserve"> R</w:t>
      </w:r>
      <w:r w:rsidRPr="00A86806">
        <w:rPr>
          <w:sz w:val="24"/>
          <w:szCs w:val="24"/>
          <w:lang w:val="en-US"/>
        </w:rPr>
        <w:t>espondent</w:t>
      </w:r>
      <w:r w:rsidR="009643E8">
        <w:rPr>
          <w:sz w:val="24"/>
          <w:szCs w:val="24"/>
          <w:lang w:val="en-US"/>
        </w:rPr>
        <w:t>s</w:t>
      </w:r>
      <w:r w:rsidRPr="00A86806">
        <w:rPr>
          <w:sz w:val="24"/>
          <w:szCs w:val="24"/>
          <w:lang w:val="en-US"/>
        </w:rPr>
        <w:t xml:space="preserve"> argue that applicant failed to disclose material information relating to the matter.  Applicant did not disclose that under case number HC 3340/18 he acknowledged that 3</w:t>
      </w:r>
      <w:r w:rsidRPr="00A86806">
        <w:rPr>
          <w:sz w:val="24"/>
          <w:szCs w:val="24"/>
          <w:vertAlign w:val="superscript"/>
          <w:lang w:val="en-US"/>
        </w:rPr>
        <w:t>rd</w:t>
      </w:r>
      <w:r w:rsidRPr="00A86806">
        <w:rPr>
          <w:sz w:val="24"/>
          <w:szCs w:val="24"/>
          <w:lang w:val="en-US"/>
        </w:rPr>
        <w:t xml:space="preserve"> respondent had attached for judicial sale two mining claims being mining claim “D” </w:t>
      </w:r>
      <w:r w:rsidRPr="00A86806">
        <w:rPr>
          <w:sz w:val="24"/>
          <w:szCs w:val="24"/>
          <w:lang w:val="en-US"/>
        </w:rPr>
        <w:lastRenderedPageBreak/>
        <w:t>held under claim number GA 3004 and mining claim “E” held under claim number GA 3005, more commonly known as Bunny Luck Mine in West Nicholson.</w:t>
      </w:r>
    </w:p>
    <w:p w:rsidR="008904C0" w:rsidRPr="00A86806" w:rsidRDefault="008904C0" w:rsidP="00A86806">
      <w:pPr>
        <w:jc w:val="both"/>
        <w:rPr>
          <w:sz w:val="24"/>
          <w:szCs w:val="24"/>
          <w:lang w:val="en-US"/>
        </w:rPr>
      </w:pPr>
      <w:r w:rsidRPr="00A86806">
        <w:rPr>
          <w:sz w:val="24"/>
          <w:szCs w:val="24"/>
          <w:lang w:val="en-US"/>
        </w:rPr>
        <w:tab/>
        <w:t>In case umber HC 3340/18 applicant alleged that Bunny Luck Mine had been forfeited by the state and he produced a forfeiture notice to prove his assertions.  In these proceedings before me, applicant has chosen not to</w:t>
      </w:r>
      <w:r w:rsidR="009643E8">
        <w:rPr>
          <w:sz w:val="24"/>
          <w:szCs w:val="24"/>
          <w:lang w:val="en-US"/>
        </w:rPr>
        <w:t xml:space="preserve"> disclose and</w:t>
      </w:r>
      <w:r w:rsidRPr="00A86806">
        <w:rPr>
          <w:sz w:val="24"/>
          <w:szCs w:val="24"/>
          <w:lang w:val="en-US"/>
        </w:rPr>
        <w:t xml:space="preserve"> addre</w:t>
      </w:r>
      <w:r w:rsidR="00A96012" w:rsidRPr="00A86806">
        <w:rPr>
          <w:sz w:val="24"/>
          <w:szCs w:val="24"/>
          <w:lang w:val="en-US"/>
        </w:rPr>
        <w:t>ss the issue of for</w:t>
      </w:r>
      <w:r w:rsidRPr="00A86806">
        <w:rPr>
          <w:sz w:val="24"/>
          <w:szCs w:val="24"/>
          <w:lang w:val="en-US"/>
        </w:rPr>
        <w:t>f</w:t>
      </w:r>
      <w:r w:rsidR="00A96012" w:rsidRPr="00A86806">
        <w:rPr>
          <w:sz w:val="24"/>
          <w:szCs w:val="24"/>
          <w:lang w:val="en-US"/>
        </w:rPr>
        <w:t>eiture but a</w:t>
      </w:r>
      <w:r w:rsidR="009643E8">
        <w:rPr>
          <w:sz w:val="24"/>
          <w:szCs w:val="24"/>
          <w:lang w:val="en-US"/>
        </w:rPr>
        <w:t>sserts</w:t>
      </w:r>
      <w:r w:rsidR="00A96012" w:rsidRPr="00A86806">
        <w:rPr>
          <w:sz w:val="24"/>
          <w:szCs w:val="24"/>
          <w:lang w:val="en-US"/>
        </w:rPr>
        <w:t xml:space="preserve"> that he stands to suffer irreparable harm if the same mine is sold.  It seems to me that</w:t>
      </w:r>
      <w:r w:rsidR="00A370B6" w:rsidRPr="00A86806">
        <w:rPr>
          <w:sz w:val="24"/>
          <w:szCs w:val="24"/>
          <w:lang w:val="en-US"/>
        </w:rPr>
        <w:t xml:space="preserve"> </w:t>
      </w:r>
      <w:r w:rsidR="00A96012" w:rsidRPr="00A86806">
        <w:rPr>
          <w:sz w:val="24"/>
          <w:szCs w:val="24"/>
          <w:lang w:val="en-US"/>
        </w:rPr>
        <w:t>applicant deliberately and inten</w:t>
      </w:r>
      <w:r w:rsidR="00C46363">
        <w:rPr>
          <w:sz w:val="24"/>
          <w:szCs w:val="24"/>
          <w:lang w:val="en-US"/>
        </w:rPr>
        <w:t>tionally chose to withhold vital</w:t>
      </w:r>
      <w:r w:rsidR="00A96012" w:rsidRPr="00A86806">
        <w:rPr>
          <w:sz w:val="24"/>
          <w:szCs w:val="24"/>
          <w:lang w:val="en-US"/>
        </w:rPr>
        <w:t xml:space="preserve"> information.  In respect of the mining claim held under number GA 3004 applicant previously alleged that these claims were owned by a partnership known as ZAHAVA Mining Syndicate members.  Applicant’s averments in the present application cannot be reconciled with the pleadings in case number HC 3340/18.</w:t>
      </w:r>
    </w:p>
    <w:p w:rsidR="00A96012" w:rsidRPr="00A86806" w:rsidRDefault="00A96012" w:rsidP="00A86806">
      <w:pPr>
        <w:jc w:val="both"/>
        <w:rPr>
          <w:sz w:val="24"/>
          <w:szCs w:val="24"/>
          <w:lang w:val="en-US"/>
        </w:rPr>
      </w:pPr>
      <w:r w:rsidRPr="00A86806">
        <w:rPr>
          <w:sz w:val="24"/>
          <w:szCs w:val="24"/>
          <w:lang w:val="en-US"/>
        </w:rPr>
        <w:tab/>
        <w:t>In case number HC 3340/19 interpleader proceedings were filed wherein Didier Stein clai</w:t>
      </w:r>
      <w:r w:rsidR="00F542A9">
        <w:rPr>
          <w:sz w:val="24"/>
          <w:szCs w:val="24"/>
          <w:lang w:val="en-US"/>
        </w:rPr>
        <w:t>med that he was the owner of the</w:t>
      </w:r>
      <w:r w:rsidRPr="00A86806">
        <w:rPr>
          <w:sz w:val="24"/>
          <w:szCs w:val="24"/>
          <w:lang w:val="en-US"/>
        </w:rPr>
        <w:t>se mining claims.  The claimant in the interpleader claims alleged that the attached mines were not owned by the judgment debtor.  Didier Stein claimed that he had acquired applicant’s 50% share in the mining claims and that the mining claim</w:t>
      </w:r>
      <w:r w:rsidR="006F3113">
        <w:rPr>
          <w:sz w:val="24"/>
          <w:szCs w:val="24"/>
          <w:lang w:val="en-US"/>
        </w:rPr>
        <w:t>s</w:t>
      </w:r>
      <w:r w:rsidRPr="00A86806">
        <w:rPr>
          <w:sz w:val="24"/>
          <w:szCs w:val="24"/>
          <w:lang w:val="en-US"/>
        </w:rPr>
        <w:t xml:space="preserve"> were now wholly owned by him.  This interpleader claim was dismissed by this court on the 8</w:t>
      </w:r>
      <w:r w:rsidRPr="00A86806">
        <w:rPr>
          <w:sz w:val="24"/>
          <w:szCs w:val="24"/>
          <w:vertAlign w:val="superscript"/>
          <w:lang w:val="en-US"/>
        </w:rPr>
        <w:t>th</w:t>
      </w:r>
      <w:r w:rsidRPr="00A86806">
        <w:rPr>
          <w:sz w:val="24"/>
          <w:szCs w:val="24"/>
          <w:lang w:val="en-US"/>
        </w:rPr>
        <w:t xml:space="preserve"> of Ju</w:t>
      </w:r>
      <w:r w:rsidR="006F3113">
        <w:rPr>
          <w:sz w:val="24"/>
          <w:szCs w:val="24"/>
          <w:lang w:val="en-US"/>
        </w:rPr>
        <w:t xml:space="preserve">ly 2020.  This information is </w:t>
      </w:r>
      <w:r w:rsidRPr="00A86806">
        <w:rPr>
          <w:sz w:val="24"/>
          <w:szCs w:val="24"/>
          <w:lang w:val="en-US"/>
        </w:rPr>
        <w:t>material in so far as the prejudice that applicant alleges he will</w:t>
      </w:r>
      <w:r w:rsidR="006F3113">
        <w:rPr>
          <w:sz w:val="24"/>
          <w:szCs w:val="24"/>
          <w:lang w:val="en-US"/>
        </w:rPr>
        <w:t xml:space="preserve"> suffer is involved.  There can be</w:t>
      </w:r>
      <w:r w:rsidRPr="00A86806">
        <w:rPr>
          <w:sz w:val="24"/>
          <w:szCs w:val="24"/>
          <w:lang w:val="en-US"/>
        </w:rPr>
        <w:t xml:space="preserve"> no doubt that when applicant fil</w:t>
      </w:r>
      <w:r w:rsidR="001349FD" w:rsidRPr="00A86806">
        <w:rPr>
          <w:sz w:val="24"/>
          <w:szCs w:val="24"/>
          <w:lang w:val="en-US"/>
        </w:rPr>
        <w:t>e</w:t>
      </w:r>
      <w:r w:rsidRPr="00A86806">
        <w:rPr>
          <w:sz w:val="24"/>
          <w:szCs w:val="24"/>
          <w:lang w:val="en-US"/>
        </w:rPr>
        <w:t xml:space="preserve">d this application he was well aware of the previous applications.  He </w:t>
      </w:r>
      <w:r w:rsidR="00543267">
        <w:rPr>
          <w:sz w:val="24"/>
          <w:szCs w:val="24"/>
          <w:lang w:val="en-US"/>
        </w:rPr>
        <w:t>chose not to disclose such critical</w:t>
      </w:r>
      <w:r w:rsidRPr="00A86806">
        <w:rPr>
          <w:sz w:val="24"/>
          <w:szCs w:val="24"/>
          <w:lang w:val="en-US"/>
        </w:rPr>
        <w:t xml:space="preserve"> information to </w:t>
      </w:r>
      <w:r w:rsidR="001349FD" w:rsidRPr="00A86806">
        <w:rPr>
          <w:sz w:val="24"/>
          <w:szCs w:val="24"/>
          <w:lang w:val="en-US"/>
        </w:rPr>
        <w:t>t</w:t>
      </w:r>
      <w:r w:rsidRPr="00A86806">
        <w:rPr>
          <w:sz w:val="24"/>
          <w:szCs w:val="24"/>
          <w:lang w:val="en-US"/>
        </w:rPr>
        <w:t>he court.  This conduct amounts to abuse of court process.  On the basis of material non-disclosure alone, his court is entitled to</w:t>
      </w:r>
      <w:r w:rsidR="001349FD" w:rsidRPr="00A86806">
        <w:rPr>
          <w:sz w:val="24"/>
          <w:szCs w:val="24"/>
          <w:lang w:val="en-US"/>
        </w:rPr>
        <w:t xml:space="preserve"> decline to hear the matter and have the matter struck off from the roll of urgent matter.  See </w:t>
      </w:r>
      <w:r w:rsidR="001349FD" w:rsidRPr="00A86806">
        <w:rPr>
          <w:i/>
          <w:sz w:val="24"/>
          <w:szCs w:val="24"/>
          <w:lang w:val="en-US"/>
        </w:rPr>
        <w:t>Graaspeak Investments</w:t>
      </w:r>
      <w:r w:rsidR="001349FD" w:rsidRPr="00A86806">
        <w:rPr>
          <w:sz w:val="24"/>
          <w:szCs w:val="24"/>
          <w:lang w:val="en-US"/>
        </w:rPr>
        <w:t xml:space="preserve"> v </w:t>
      </w:r>
      <w:r w:rsidR="001349FD" w:rsidRPr="00A86806">
        <w:rPr>
          <w:i/>
          <w:sz w:val="24"/>
          <w:szCs w:val="24"/>
          <w:lang w:val="en-US"/>
        </w:rPr>
        <w:t>Delta Corporation P/L &amp; Anor</w:t>
      </w:r>
      <w:r w:rsidR="001349FD" w:rsidRPr="00A86806">
        <w:rPr>
          <w:sz w:val="24"/>
          <w:szCs w:val="24"/>
          <w:lang w:val="en-US"/>
        </w:rPr>
        <w:t xml:space="preserve"> 2001 (2) ZLR 551 (H)</w:t>
      </w:r>
    </w:p>
    <w:p w:rsidR="001349FD" w:rsidRPr="00A86806" w:rsidRDefault="001349FD" w:rsidP="00A86806">
      <w:pPr>
        <w:jc w:val="both"/>
        <w:rPr>
          <w:sz w:val="24"/>
          <w:szCs w:val="24"/>
          <w:lang w:val="en-US"/>
        </w:rPr>
      </w:pPr>
      <w:r w:rsidRPr="00A86806">
        <w:rPr>
          <w:sz w:val="24"/>
          <w:szCs w:val="24"/>
          <w:lang w:val="en-US"/>
        </w:rPr>
        <w:lastRenderedPageBreak/>
        <w:tab/>
        <w:t>The applicant in this matter failed to disclose material facts relevant in the determination of the matter.  This material non-disclosure renders the application patently defective.</w:t>
      </w:r>
    </w:p>
    <w:p w:rsidR="001349FD" w:rsidRPr="00A86806" w:rsidRDefault="00543267" w:rsidP="00A86806">
      <w:pPr>
        <w:jc w:val="both"/>
        <w:rPr>
          <w:sz w:val="24"/>
          <w:szCs w:val="24"/>
          <w:lang w:val="en-US"/>
        </w:rPr>
      </w:pPr>
      <w:r>
        <w:rPr>
          <w:sz w:val="24"/>
          <w:szCs w:val="24"/>
          <w:lang w:val="en-US"/>
        </w:rPr>
        <w:tab/>
        <w:t>In the circumstances, I would</w:t>
      </w:r>
      <w:r w:rsidR="001349FD" w:rsidRPr="00A86806">
        <w:rPr>
          <w:sz w:val="24"/>
          <w:szCs w:val="24"/>
          <w:lang w:val="en-US"/>
        </w:rPr>
        <w:t xml:space="preserve"> u</w:t>
      </w:r>
      <w:r>
        <w:rPr>
          <w:sz w:val="24"/>
          <w:szCs w:val="24"/>
          <w:lang w:val="en-US"/>
        </w:rPr>
        <w:t>phold the preliminary objections</w:t>
      </w:r>
      <w:r w:rsidR="001349FD" w:rsidRPr="00A86806">
        <w:rPr>
          <w:sz w:val="24"/>
          <w:szCs w:val="24"/>
          <w:lang w:val="en-US"/>
        </w:rPr>
        <w:t xml:space="preserve"> that have been raised on behalf of the 1</w:t>
      </w:r>
      <w:r w:rsidR="001349FD" w:rsidRPr="00A86806">
        <w:rPr>
          <w:sz w:val="24"/>
          <w:szCs w:val="24"/>
          <w:vertAlign w:val="superscript"/>
          <w:lang w:val="en-US"/>
        </w:rPr>
        <w:t>st</w:t>
      </w:r>
      <w:r w:rsidR="001349FD" w:rsidRPr="00A86806">
        <w:rPr>
          <w:sz w:val="24"/>
          <w:szCs w:val="24"/>
          <w:lang w:val="en-US"/>
        </w:rPr>
        <w:t xml:space="preserve"> and 2</w:t>
      </w:r>
      <w:r w:rsidR="001349FD" w:rsidRPr="00A86806">
        <w:rPr>
          <w:sz w:val="24"/>
          <w:szCs w:val="24"/>
          <w:vertAlign w:val="superscript"/>
          <w:lang w:val="en-US"/>
        </w:rPr>
        <w:t>nd</w:t>
      </w:r>
      <w:r w:rsidR="001349FD" w:rsidRPr="00A86806">
        <w:rPr>
          <w:sz w:val="24"/>
          <w:szCs w:val="24"/>
          <w:lang w:val="en-US"/>
        </w:rPr>
        <w:t xml:space="preserve"> respondents.  The application is fatally defective and is not properly before the court.</w:t>
      </w:r>
    </w:p>
    <w:p w:rsidR="001349FD" w:rsidRPr="00A86806" w:rsidRDefault="001349FD" w:rsidP="00A86806">
      <w:pPr>
        <w:jc w:val="both"/>
        <w:rPr>
          <w:sz w:val="24"/>
          <w:szCs w:val="24"/>
          <w:lang w:val="en-US"/>
        </w:rPr>
      </w:pPr>
      <w:r w:rsidRPr="00A86806">
        <w:rPr>
          <w:sz w:val="24"/>
          <w:szCs w:val="24"/>
          <w:lang w:val="en-US"/>
        </w:rPr>
        <w:tab/>
        <w:t>I accordingly make the following order:</w:t>
      </w:r>
    </w:p>
    <w:p w:rsidR="001349FD" w:rsidRPr="00A86806" w:rsidRDefault="001349FD" w:rsidP="00A86806">
      <w:pPr>
        <w:pStyle w:val="ListParagraph"/>
        <w:numPr>
          <w:ilvl w:val="0"/>
          <w:numId w:val="3"/>
        </w:numPr>
        <w:jc w:val="both"/>
        <w:rPr>
          <w:sz w:val="24"/>
          <w:szCs w:val="24"/>
          <w:lang w:val="en-US"/>
        </w:rPr>
      </w:pPr>
      <w:r w:rsidRPr="00A86806">
        <w:rPr>
          <w:sz w:val="24"/>
          <w:szCs w:val="24"/>
          <w:lang w:val="en-US"/>
        </w:rPr>
        <w:t xml:space="preserve">The application is not urgent and is fatally </w:t>
      </w:r>
      <w:r w:rsidR="00BF2C19">
        <w:rPr>
          <w:sz w:val="24"/>
          <w:szCs w:val="24"/>
          <w:lang w:val="en-US"/>
        </w:rPr>
        <w:t>d</w:t>
      </w:r>
      <w:r w:rsidRPr="00A86806">
        <w:rPr>
          <w:sz w:val="24"/>
          <w:szCs w:val="24"/>
          <w:lang w:val="en-US"/>
        </w:rPr>
        <w:t>efective.</w:t>
      </w:r>
    </w:p>
    <w:p w:rsidR="001349FD" w:rsidRPr="00A86806" w:rsidRDefault="001349FD" w:rsidP="00A86806">
      <w:pPr>
        <w:pStyle w:val="ListParagraph"/>
        <w:numPr>
          <w:ilvl w:val="0"/>
          <w:numId w:val="3"/>
        </w:numPr>
        <w:jc w:val="both"/>
        <w:rPr>
          <w:sz w:val="24"/>
          <w:szCs w:val="24"/>
          <w:lang w:val="en-US"/>
        </w:rPr>
      </w:pPr>
      <w:r w:rsidRPr="00A86806">
        <w:rPr>
          <w:sz w:val="24"/>
          <w:szCs w:val="24"/>
          <w:lang w:val="en-US"/>
        </w:rPr>
        <w:t>The application is struck off and removed from the roll of urgent matters.</w:t>
      </w:r>
    </w:p>
    <w:p w:rsidR="001349FD" w:rsidRPr="00A86806" w:rsidRDefault="001349FD" w:rsidP="00A86806">
      <w:pPr>
        <w:pStyle w:val="ListParagraph"/>
        <w:numPr>
          <w:ilvl w:val="0"/>
          <w:numId w:val="3"/>
        </w:numPr>
        <w:jc w:val="both"/>
        <w:rPr>
          <w:sz w:val="24"/>
          <w:szCs w:val="24"/>
          <w:lang w:val="en-US"/>
        </w:rPr>
      </w:pPr>
      <w:r w:rsidRPr="00A86806">
        <w:rPr>
          <w:sz w:val="24"/>
          <w:szCs w:val="24"/>
          <w:lang w:val="en-US"/>
        </w:rPr>
        <w:t>The applicant is ordered to pay the costs of suit.</w:t>
      </w:r>
    </w:p>
    <w:p w:rsidR="001349FD" w:rsidRPr="00A86806" w:rsidRDefault="001349FD" w:rsidP="00A86806">
      <w:pPr>
        <w:jc w:val="both"/>
        <w:rPr>
          <w:sz w:val="24"/>
          <w:szCs w:val="24"/>
          <w:lang w:val="en-US"/>
        </w:rPr>
      </w:pPr>
    </w:p>
    <w:p w:rsidR="001349FD" w:rsidRPr="00A86806" w:rsidRDefault="001349FD" w:rsidP="00A86806">
      <w:pPr>
        <w:jc w:val="both"/>
        <w:rPr>
          <w:sz w:val="24"/>
          <w:szCs w:val="24"/>
          <w:lang w:val="en-US"/>
        </w:rPr>
      </w:pPr>
    </w:p>
    <w:p w:rsidR="001349FD" w:rsidRPr="00F001DB" w:rsidRDefault="001349FD" w:rsidP="00F001DB">
      <w:pPr>
        <w:pStyle w:val="NoSpacing"/>
        <w:rPr>
          <w:rFonts w:ascii="Times New Roman" w:hAnsi="Times New Roman" w:cs="Times New Roman"/>
          <w:sz w:val="24"/>
          <w:szCs w:val="24"/>
        </w:rPr>
      </w:pPr>
      <w:r w:rsidRPr="00F001DB">
        <w:rPr>
          <w:rFonts w:ascii="Times New Roman" w:hAnsi="Times New Roman" w:cs="Times New Roman"/>
          <w:i/>
          <w:sz w:val="24"/>
          <w:szCs w:val="24"/>
        </w:rPr>
        <w:t xml:space="preserve">Joel </w:t>
      </w:r>
      <w:proofErr w:type="spellStart"/>
      <w:r w:rsidRPr="00F001DB">
        <w:rPr>
          <w:rFonts w:ascii="Times New Roman" w:hAnsi="Times New Roman" w:cs="Times New Roman"/>
          <w:i/>
          <w:sz w:val="24"/>
          <w:szCs w:val="24"/>
        </w:rPr>
        <w:t>Pincus</w:t>
      </w:r>
      <w:proofErr w:type="spellEnd"/>
      <w:r w:rsidRPr="00F001DB">
        <w:rPr>
          <w:rFonts w:ascii="Times New Roman" w:hAnsi="Times New Roman" w:cs="Times New Roman"/>
          <w:i/>
          <w:sz w:val="24"/>
          <w:szCs w:val="24"/>
        </w:rPr>
        <w:t xml:space="preserve">, </w:t>
      </w:r>
      <w:proofErr w:type="spellStart"/>
      <w:r w:rsidRPr="00F001DB">
        <w:rPr>
          <w:rFonts w:ascii="Times New Roman" w:hAnsi="Times New Roman" w:cs="Times New Roman"/>
          <w:i/>
          <w:sz w:val="24"/>
          <w:szCs w:val="24"/>
        </w:rPr>
        <w:t>Konson</w:t>
      </w:r>
      <w:proofErr w:type="spellEnd"/>
      <w:r w:rsidRPr="00F001DB">
        <w:rPr>
          <w:rFonts w:ascii="Times New Roman" w:hAnsi="Times New Roman" w:cs="Times New Roman"/>
          <w:i/>
          <w:sz w:val="24"/>
          <w:szCs w:val="24"/>
        </w:rPr>
        <w:t xml:space="preserve"> &amp; </w:t>
      </w:r>
      <w:proofErr w:type="spellStart"/>
      <w:r w:rsidRPr="00F001DB">
        <w:rPr>
          <w:rFonts w:ascii="Times New Roman" w:hAnsi="Times New Roman" w:cs="Times New Roman"/>
          <w:i/>
          <w:sz w:val="24"/>
          <w:szCs w:val="24"/>
        </w:rPr>
        <w:t>Wolhuter</w:t>
      </w:r>
      <w:proofErr w:type="spellEnd"/>
      <w:r w:rsidRPr="00F001DB">
        <w:rPr>
          <w:rFonts w:ascii="Times New Roman" w:hAnsi="Times New Roman" w:cs="Times New Roman"/>
          <w:sz w:val="24"/>
          <w:szCs w:val="24"/>
        </w:rPr>
        <w:t>, applicant’s legal practitioners</w:t>
      </w:r>
    </w:p>
    <w:p w:rsidR="001349FD" w:rsidRPr="00F001DB" w:rsidRDefault="001349FD" w:rsidP="00F001DB">
      <w:pPr>
        <w:pStyle w:val="NoSpacing"/>
        <w:rPr>
          <w:rFonts w:ascii="Times New Roman" w:hAnsi="Times New Roman" w:cs="Times New Roman"/>
          <w:sz w:val="24"/>
          <w:szCs w:val="24"/>
        </w:rPr>
      </w:pPr>
      <w:r w:rsidRPr="00F001DB">
        <w:rPr>
          <w:rFonts w:ascii="Times New Roman" w:hAnsi="Times New Roman" w:cs="Times New Roman"/>
          <w:i/>
          <w:sz w:val="24"/>
          <w:szCs w:val="24"/>
        </w:rPr>
        <w:t xml:space="preserve">Messrs Calderwood Bryce </w:t>
      </w:r>
      <w:proofErr w:type="spellStart"/>
      <w:r w:rsidRPr="00F001DB">
        <w:rPr>
          <w:rFonts w:ascii="Times New Roman" w:hAnsi="Times New Roman" w:cs="Times New Roman"/>
          <w:i/>
          <w:sz w:val="24"/>
          <w:szCs w:val="24"/>
        </w:rPr>
        <w:t>Hendrie</w:t>
      </w:r>
      <w:proofErr w:type="spellEnd"/>
      <w:r w:rsidRPr="00F001DB">
        <w:rPr>
          <w:rFonts w:ascii="Times New Roman" w:hAnsi="Times New Roman" w:cs="Times New Roman"/>
          <w:i/>
          <w:sz w:val="24"/>
          <w:szCs w:val="24"/>
        </w:rPr>
        <w:t xml:space="preserve"> &amp; Partners</w:t>
      </w:r>
      <w:r w:rsidRPr="00F001DB">
        <w:rPr>
          <w:rFonts w:ascii="Times New Roman" w:hAnsi="Times New Roman" w:cs="Times New Roman"/>
          <w:sz w:val="24"/>
          <w:szCs w:val="24"/>
        </w:rPr>
        <w:t>, 1st &amp; 2nd respondents’ legal practitioners</w:t>
      </w:r>
    </w:p>
    <w:p w:rsidR="00C45130" w:rsidRDefault="00C45130" w:rsidP="00961B02">
      <w:pPr>
        <w:pStyle w:val="NoSpacing"/>
        <w:jc w:val="both"/>
        <w:rPr>
          <w:rFonts w:ascii="Times New Roman" w:hAnsi="Times New Roman" w:cs="Times New Roman"/>
          <w:sz w:val="28"/>
          <w:szCs w:val="28"/>
          <w:lang w:val="en-US"/>
        </w:rPr>
      </w:pPr>
    </w:p>
    <w:p w:rsidR="00C45130" w:rsidRPr="00EC70AC" w:rsidRDefault="00C45130" w:rsidP="00961B02">
      <w:pPr>
        <w:pStyle w:val="NoSpacing"/>
        <w:jc w:val="both"/>
        <w:rPr>
          <w:rFonts w:ascii="Times New Roman" w:hAnsi="Times New Roman" w:cs="Times New Roman"/>
          <w:sz w:val="28"/>
          <w:szCs w:val="28"/>
          <w:lang w:val="en-US"/>
        </w:rPr>
      </w:pPr>
      <w:bookmarkStart w:id="0" w:name="_GoBack"/>
      <w:bookmarkEnd w:id="0"/>
    </w:p>
    <w:sectPr w:rsidR="00C45130" w:rsidRPr="00EC70AC" w:rsidSect="00172EA5">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7FFC" w:rsidRDefault="005F7FFC" w:rsidP="00961B02">
      <w:pPr>
        <w:spacing w:after="0" w:line="240" w:lineRule="auto"/>
      </w:pPr>
      <w:r>
        <w:separator/>
      </w:r>
    </w:p>
  </w:endnote>
  <w:endnote w:type="continuationSeparator" w:id="0">
    <w:p w:rsidR="005F7FFC" w:rsidRDefault="005F7FFC" w:rsidP="00961B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7FFC" w:rsidRDefault="005F7FFC" w:rsidP="00961B02">
      <w:pPr>
        <w:spacing w:after="0" w:line="240" w:lineRule="auto"/>
      </w:pPr>
      <w:r>
        <w:separator/>
      </w:r>
    </w:p>
  </w:footnote>
  <w:footnote w:type="continuationSeparator" w:id="0">
    <w:p w:rsidR="005F7FFC" w:rsidRDefault="005F7FFC" w:rsidP="00961B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0993067"/>
      <w:docPartObj>
        <w:docPartGallery w:val="Page Numbers (Top of Page)"/>
        <w:docPartUnique/>
      </w:docPartObj>
    </w:sdtPr>
    <w:sdtEndPr>
      <w:rPr>
        <w:noProof/>
      </w:rPr>
    </w:sdtEndPr>
    <w:sdtContent>
      <w:p w:rsidR="00961B02" w:rsidRDefault="00172EA5">
        <w:pPr>
          <w:pStyle w:val="Header"/>
          <w:jc w:val="right"/>
          <w:rPr>
            <w:noProof/>
          </w:rPr>
        </w:pPr>
        <w:r>
          <w:fldChar w:fldCharType="begin"/>
        </w:r>
        <w:r w:rsidR="00961B02">
          <w:instrText xml:space="preserve"> PAGE   \* MERGEFORMAT </w:instrText>
        </w:r>
        <w:r>
          <w:fldChar w:fldCharType="separate"/>
        </w:r>
        <w:r w:rsidR="00BF2C19">
          <w:rPr>
            <w:noProof/>
          </w:rPr>
          <w:t>8</w:t>
        </w:r>
        <w:r>
          <w:rPr>
            <w:noProof/>
          </w:rPr>
          <w:fldChar w:fldCharType="end"/>
        </w:r>
      </w:p>
      <w:p w:rsidR="00961B02" w:rsidRDefault="00961B02">
        <w:pPr>
          <w:pStyle w:val="Header"/>
          <w:jc w:val="right"/>
          <w:rPr>
            <w:noProof/>
          </w:rPr>
        </w:pPr>
        <w:r>
          <w:rPr>
            <w:noProof/>
          </w:rPr>
          <w:t xml:space="preserve">HB </w:t>
        </w:r>
        <w:r w:rsidR="00F001DB">
          <w:rPr>
            <w:noProof/>
          </w:rPr>
          <w:t>29</w:t>
        </w:r>
        <w:r>
          <w:rPr>
            <w:noProof/>
          </w:rPr>
          <w:t>/22</w:t>
        </w:r>
      </w:p>
      <w:p w:rsidR="00961B02" w:rsidRDefault="00961B02">
        <w:pPr>
          <w:pStyle w:val="Header"/>
          <w:jc w:val="right"/>
        </w:pPr>
        <w:r>
          <w:rPr>
            <w:noProof/>
          </w:rPr>
          <w:t>HC 1628/21</w:t>
        </w:r>
      </w:p>
    </w:sdtContent>
  </w:sdt>
  <w:p w:rsidR="00961B02" w:rsidRDefault="00961B0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CF6B61"/>
    <w:multiLevelType w:val="hybridMultilevel"/>
    <w:tmpl w:val="A314E8BC"/>
    <w:lvl w:ilvl="0" w:tplc="122C906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28D4774B"/>
    <w:multiLevelType w:val="hybridMultilevel"/>
    <w:tmpl w:val="5E6CE054"/>
    <w:lvl w:ilvl="0" w:tplc="EA30D2A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6EBE3277"/>
    <w:multiLevelType w:val="hybridMultilevel"/>
    <w:tmpl w:val="5600A22C"/>
    <w:lvl w:ilvl="0" w:tplc="EADC773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D72382"/>
    <w:rsid w:val="00013459"/>
    <w:rsid w:val="00015D6A"/>
    <w:rsid w:val="00034116"/>
    <w:rsid w:val="00117AE1"/>
    <w:rsid w:val="001349FD"/>
    <w:rsid w:val="00172EA5"/>
    <w:rsid w:val="002622E5"/>
    <w:rsid w:val="002F73DC"/>
    <w:rsid w:val="003719D5"/>
    <w:rsid w:val="00383F03"/>
    <w:rsid w:val="0038540E"/>
    <w:rsid w:val="003C0225"/>
    <w:rsid w:val="003E04DD"/>
    <w:rsid w:val="004F4C29"/>
    <w:rsid w:val="00543267"/>
    <w:rsid w:val="0056782C"/>
    <w:rsid w:val="005C1A7F"/>
    <w:rsid w:val="005F7622"/>
    <w:rsid w:val="005F7FFC"/>
    <w:rsid w:val="006F3113"/>
    <w:rsid w:val="00734549"/>
    <w:rsid w:val="00780572"/>
    <w:rsid w:val="00786B1F"/>
    <w:rsid w:val="007B4CBE"/>
    <w:rsid w:val="00823512"/>
    <w:rsid w:val="008904C0"/>
    <w:rsid w:val="00895AE8"/>
    <w:rsid w:val="00912958"/>
    <w:rsid w:val="00941805"/>
    <w:rsid w:val="00947611"/>
    <w:rsid w:val="00961B02"/>
    <w:rsid w:val="009643E8"/>
    <w:rsid w:val="00A10761"/>
    <w:rsid w:val="00A370B6"/>
    <w:rsid w:val="00A55ACC"/>
    <w:rsid w:val="00A86806"/>
    <w:rsid w:val="00A96012"/>
    <w:rsid w:val="00AB344F"/>
    <w:rsid w:val="00AC28CD"/>
    <w:rsid w:val="00B77A7E"/>
    <w:rsid w:val="00B9708E"/>
    <w:rsid w:val="00BA741C"/>
    <w:rsid w:val="00BF2C19"/>
    <w:rsid w:val="00C45130"/>
    <w:rsid w:val="00C46363"/>
    <w:rsid w:val="00CB5189"/>
    <w:rsid w:val="00CE6480"/>
    <w:rsid w:val="00D201A5"/>
    <w:rsid w:val="00D72382"/>
    <w:rsid w:val="00DB14A0"/>
    <w:rsid w:val="00DB2800"/>
    <w:rsid w:val="00DB5C6F"/>
    <w:rsid w:val="00DC3090"/>
    <w:rsid w:val="00EA51C1"/>
    <w:rsid w:val="00EC70AC"/>
    <w:rsid w:val="00F001DB"/>
    <w:rsid w:val="00F05E02"/>
    <w:rsid w:val="00F542A9"/>
    <w:rsid w:val="00F74A49"/>
    <w:rsid w:val="00FF4856"/>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CC33F9E-719F-4046-A6F4-F32BCA147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19D5"/>
    <w:pPr>
      <w:spacing w:line="480"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72382"/>
    <w:pPr>
      <w:spacing w:after="0" w:line="240" w:lineRule="auto"/>
    </w:pPr>
  </w:style>
  <w:style w:type="paragraph" w:styleId="ListParagraph">
    <w:name w:val="List Paragraph"/>
    <w:basedOn w:val="Normal"/>
    <w:uiPriority w:val="34"/>
    <w:qFormat/>
    <w:rsid w:val="001349FD"/>
    <w:pPr>
      <w:ind w:left="720"/>
      <w:contextualSpacing/>
    </w:pPr>
  </w:style>
  <w:style w:type="paragraph" w:styleId="Header">
    <w:name w:val="header"/>
    <w:basedOn w:val="Normal"/>
    <w:link w:val="HeaderChar"/>
    <w:uiPriority w:val="99"/>
    <w:unhideWhenUsed/>
    <w:rsid w:val="00961B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1B02"/>
    <w:rPr>
      <w:rFonts w:ascii="Times New Roman" w:hAnsi="Times New Roman"/>
      <w:sz w:val="28"/>
    </w:rPr>
  </w:style>
  <w:style w:type="paragraph" w:styleId="Footer">
    <w:name w:val="footer"/>
    <w:basedOn w:val="Normal"/>
    <w:link w:val="FooterChar"/>
    <w:uiPriority w:val="99"/>
    <w:unhideWhenUsed/>
    <w:rsid w:val="00961B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1B02"/>
    <w:rPr>
      <w:rFonts w:ascii="Times New Roman" w:hAnsi="Times New Roman"/>
      <w:sz w:val="28"/>
    </w:rPr>
  </w:style>
  <w:style w:type="paragraph" w:styleId="BalloonText">
    <w:name w:val="Balloon Text"/>
    <w:basedOn w:val="Normal"/>
    <w:link w:val="BalloonTextChar"/>
    <w:uiPriority w:val="99"/>
    <w:semiHidden/>
    <w:unhideWhenUsed/>
    <w:rsid w:val="00F001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01D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9</Pages>
  <Words>2079</Words>
  <Characters>11856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usr</dc:creator>
  <cp:lastModifiedBy>usr</cp:lastModifiedBy>
  <cp:revision>4</cp:revision>
  <cp:lastPrinted>2022-01-27T09:56:00Z</cp:lastPrinted>
  <dcterms:created xsi:type="dcterms:W3CDTF">2022-01-26T12:36:00Z</dcterms:created>
  <dcterms:modified xsi:type="dcterms:W3CDTF">2022-01-27T10:00:00Z</dcterms:modified>
</cp:coreProperties>
</file>