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2A" w:rsidRDefault="003D092A" w:rsidP="003D092A">
      <w:pPr>
        <w:spacing w:line="360" w:lineRule="auto"/>
        <w:jc w:val="both"/>
        <w:rPr>
          <w:b/>
        </w:rPr>
      </w:pPr>
      <w:r w:rsidRPr="00047C13">
        <w:rPr>
          <w:b/>
        </w:rPr>
        <w:t>IN T</w:t>
      </w:r>
      <w:r>
        <w:rPr>
          <w:b/>
        </w:rPr>
        <w:t>HE LABOUR COURT OF ZIMBABWE      JUDGMENT NO. LC/H/</w:t>
      </w:r>
      <w:r w:rsidR="008A110C">
        <w:rPr>
          <w:b/>
        </w:rPr>
        <w:t>398</w:t>
      </w:r>
      <w:r>
        <w:rPr>
          <w:b/>
        </w:rPr>
        <w:t>/2016</w:t>
      </w:r>
    </w:p>
    <w:p w:rsidR="003D092A" w:rsidRDefault="003D092A" w:rsidP="003D092A">
      <w:pPr>
        <w:spacing w:line="360" w:lineRule="auto"/>
        <w:jc w:val="both"/>
        <w:rPr>
          <w:b/>
        </w:rPr>
      </w:pPr>
      <w:r w:rsidRPr="00047C13">
        <w:rPr>
          <w:b/>
        </w:rPr>
        <w:t>HARARE,</w:t>
      </w:r>
      <w:r>
        <w:rPr>
          <w:b/>
        </w:rPr>
        <w:t xml:space="preserve"> 29 FEBRUARY 2016</w:t>
      </w:r>
      <w:r w:rsidR="00B562D3">
        <w:rPr>
          <w:b/>
        </w:rPr>
        <w:tab/>
      </w:r>
      <w:r w:rsidR="00B562D3">
        <w:rPr>
          <w:b/>
        </w:rPr>
        <w:tab/>
      </w:r>
      <w:r w:rsidR="00B562D3">
        <w:rPr>
          <w:b/>
        </w:rPr>
        <w:tab/>
        <w:t xml:space="preserve">   </w:t>
      </w:r>
      <w:r>
        <w:rPr>
          <w:b/>
        </w:rPr>
        <w:t>CASE NO. LC/</w:t>
      </w:r>
      <w:r w:rsidR="00B562D3">
        <w:rPr>
          <w:b/>
        </w:rPr>
        <w:t>REV/H/64/14</w:t>
      </w:r>
    </w:p>
    <w:p w:rsidR="003D092A" w:rsidRDefault="003D092A" w:rsidP="003D092A">
      <w:pPr>
        <w:spacing w:line="360" w:lineRule="auto"/>
        <w:jc w:val="both"/>
        <w:rPr>
          <w:b/>
        </w:rPr>
      </w:pPr>
      <w:r>
        <w:rPr>
          <w:b/>
        </w:rPr>
        <w:t>AND</w:t>
      </w:r>
      <w:r w:rsidR="008A110C">
        <w:rPr>
          <w:b/>
        </w:rPr>
        <w:t xml:space="preserve"> 23 JUNE</w:t>
      </w:r>
      <w:bookmarkStart w:id="0" w:name="_GoBack"/>
      <w:bookmarkEnd w:id="0"/>
      <w:r>
        <w:rPr>
          <w:b/>
        </w:rPr>
        <w:t xml:space="preserve"> 2016</w:t>
      </w:r>
    </w:p>
    <w:p w:rsidR="003D092A" w:rsidRPr="00047C13" w:rsidRDefault="003D092A" w:rsidP="003D092A">
      <w:pPr>
        <w:spacing w:line="360" w:lineRule="auto"/>
        <w:jc w:val="both"/>
      </w:pPr>
      <w:r w:rsidRPr="00047C13">
        <w:t>In the matter between</w:t>
      </w:r>
      <w:r>
        <w:t>:-</w:t>
      </w:r>
    </w:p>
    <w:p w:rsidR="003D092A" w:rsidRPr="00047C13" w:rsidRDefault="003D092A" w:rsidP="003D092A">
      <w:pPr>
        <w:spacing w:line="360" w:lineRule="auto"/>
        <w:jc w:val="both"/>
      </w:pPr>
    </w:p>
    <w:p w:rsidR="003D092A" w:rsidRDefault="00757F0F" w:rsidP="003D092A">
      <w:pPr>
        <w:spacing w:line="360" w:lineRule="auto"/>
        <w:jc w:val="both"/>
        <w:rPr>
          <w:b/>
        </w:rPr>
      </w:pPr>
      <w:r>
        <w:rPr>
          <w:b/>
        </w:rPr>
        <w:t>TRUST ME SECURITY</w:t>
      </w:r>
      <w:r w:rsidR="0043253A">
        <w:rPr>
          <w:b/>
        </w:rPr>
        <w:tab/>
      </w:r>
      <w:r w:rsidR="003D092A">
        <w:rPr>
          <w:b/>
        </w:rPr>
        <w:tab/>
      </w:r>
      <w:r w:rsidR="003D092A">
        <w:rPr>
          <w:b/>
        </w:rPr>
        <w:tab/>
      </w:r>
      <w:r w:rsidR="003D092A">
        <w:rPr>
          <w:b/>
        </w:rPr>
        <w:tab/>
      </w:r>
      <w:r w:rsidR="003D092A">
        <w:rPr>
          <w:b/>
        </w:rPr>
        <w:tab/>
        <w:t>Appellant</w:t>
      </w:r>
    </w:p>
    <w:p w:rsidR="003D092A" w:rsidRDefault="003D092A" w:rsidP="003D092A">
      <w:pPr>
        <w:spacing w:line="360" w:lineRule="auto"/>
        <w:jc w:val="both"/>
      </w:pPr>
      <w:r>
        <w:t>And</w:t>
      </w:r>
    </w:p>
    <w:p w:rsidR="003D092A" w:rsidRPr="00E4649E" w:rsidRDefault="00757F0F" w:rsidP="003D092A">
      <w:pPr>
        <w:spacing w:line="360" w:lineRule="auto"/>
        <w:jc w:val="both"/>
        <w:rPr>
          <w:b/>
        </w:rPr>
      </w:pPr>
      <w:r>
        <w:rPr>
          <w:b/>
        </w:rPr>
        <w:t>K. KASE</w:t>
      </w:r>
      <w:r w:rsidR="0043253A">
        <w:rPr>
          <w:b/>
        </w:rPr>
        <w:t>MENYA &amp; 14 OTHERS</w:t>
      </w:r>
      <w:r w:rsidR="003D092A">
        <w:rPr>
          <w:b/>
        </w:rPr>
        <w:tab/>
      </w:r>
      <w:r w:rsidR="003D092A">
        <w:rPr>
          <w:b/>
        </w:rPr>
        <w:tab/>
      </w:r>
      <w:r w:rsidR="003D092A">
        <w:rPr>
          <w:b/>
        </w:rPr>
        <w:tab/>
      </w:r>
      <w:r w:rsidR="003D092A">
        <w:rPr>
          <w:b/>
        </w:rPr>
        <w:tab/>
        <w:t>Respondent</w:t>
      </w:r>
      <w:r w:rsidR="00237C8E">
        <w:rPr>
          <w:b/>
        </w:rPr>
        <w:t>s</w:t>
      </w:r>
    </w:p>
    <w:p w:rsidR="003D092A" w:rsidRPr="00047C13" w:rsidRDefault="003D092A" w:rsidP="003D092A">
      <w:pPr>
        <w:spacing w:line="360" w:lineRule="auto"/>
        <w:jc w:val="both"/>
        <w:rPr>
          <w:b/>
        </w:rPr>
      </w:pPr>
    </w:p>
    <w:p w:rsidR="003D092A" w:rsidRPr="00047C13" w:rsidRDefault="003D092A" w:rsidP="003D092A">
      <w:pPr>
        <w:spacing w:line="360" w:lineRule="auto"/>
        <w:jc w:val="both"/>
      </w:pPr>
      <w:r>
        <w:t xml:space="preserve">Before </w:t>
      </w:r>
      <w:r w:rsidRPr="00047C13">
        <w:t>Honourable</w:t>
      </w:r>
      <w:r>
        <w:t xml:space="preserve"> R. Manyangadze, J</w:t>
      </w:r>
    </w:p>
    <w:p w:rsidR="003D092A" w:rsidRPr="00047C13" w:rsidRDefault="003D092A" w:rsidP="003D092A">
      <w:pPr>
        <w:spacing w:line="360" w:lineRule="auto"/>
        <w:jc w:val="both"/>
      </w:pPr>
      <w:r w:rsidRPr="00047C13">
        <w:tab/>
      </w:r>
      <w:r w:rsidRPr="00047C13">
        <w:tab/>
      </w:r>
      <w:r w:rsidRPr="00047C13">
        <w:tab/>
      </w:r>
    </w:p>
    <w:p w:rsidR="003D092A" w:rsidRDefault="003D092A" w:rsidP="003D092A">
      <w:pPr>
        <w:spacing w:line="360" w:lineRule="auto"/>
        <w:jc w:val="both"/>
        <w:rPr>
          <w:b/>
        </w:rPr>
      </w:pPr>
      <w:r>
        <w:rPr>
          <w:b/>
        </w:rPr>
        <w:t>For Appellant</w:t>
      </w:r>
      <w:r w:rsidR="0043253A">
        <w:rPr>
          <w:b/>
        </w:rPr>
        <w:tab/>
      </w:r>
      <w:r w:rsidR="0043253A">
        <w:rPr>
          <w:b/>
        </w:rPr>
        <w:tab/>
        <w:t>Mr N.M. Phiri (Legal Practitioner)</w:t>
      </w:r>
      <w:r w:rsidRPr="00047C13">
        <w:rPr>
          <w:b/>
        </w:rPr>
        <w:t xml:space="preserve"> </w:t>
      </w:r>
      <w:r w:rsidRPr="00047C13">
        <w:rPr>
          <w:b/>
        </w:rPr>
        <w:tab/>
      </w:r>
      <w:r>
        <w:rPr>
          <w:b/>
        </w:rPr>
        <w:tab/>
      </w:r>
    </w:p>
    <w:p w:rsidR="003D092A" w:rsidRPr="00CF1210" w:rsidRDefault="003D092A" w:rsidP="003D092A">
      <w:pPr>
        <w:pStyle w:val="NoSpacing"/>
        <w:spacing w:line="360" w:lineRule="auto"/>
        <w:jc w:val="both"/>
        <w:rPr>
          <w:b/>
        </w:rPr>
      </w:pPr>
      <w:r w:rsidRPr="00494C95">
        <w:rPr>
          <w:b/>
        </w:rPr>
        <w:t>For Respondent</w:t>
      </w:r>
      <w:r w:rsidR="00237C8E">
        <w:rPr>
          <w:b/>
        </w:rPr>
        <w:t>s</w:t>
      </w:r>
      <w:r w:rsidR="0043253A">
        <w:rPr>
          <w:b/>
        </w:rPr>
        <w:tab/>
      </w:r>
      <w:r w:rsidR="0043253A">
        <w:rPr>
          <w:b/>
        </w:rPr>
        <w:tab/>
      </w:r>
      <w:proofErr w:type="spellStart"/>
      <w:r w:rsidR="0043253A">
        <w:rPr>
          <w:b/>
        </w:rPr>
        <w:t>Mr</w:t>
      </w:r>
      <w:proofErr w:type="spellEnd"/>
      <w:r w:rsidR="0043253A">
        <w:rPr>
          <w:b/>
        </w:rPr>
        <w:t xml:space="preserve"> K. Guteni (Trade Unionist)</w:t>
      </w:r>
      <w:r>
        <w:tab/>
      </w:r>
      <w:r>
        <w:tab/>
      </w:r>
    </w:p>
    <w:p w:rsidR="003D092A" w:rsidRDefault="003D092A" w:rsidP="003D092A">
      <w:pPr>
        <w:pStyle w:val="NoSpacing"/>
        <w:rPr>
          <w:b/>
        </w:rPr>
      </w:pPr>
      <w:r w:rsidRPr="00CF1210">
        <w:rPr>
          <w:b/>
        </w:rPr>
        <w:tab/>
      </w:r>
      <w:r w:rsidRPr="00CF1210">
        <w:rPr>
          <w:b/>
        </w:rPr>
        <w:tab/>
      </w:r>
      <w:r w:rsidRPr="00CF1210">
        <w:rPr>
          <w:b/>
        </w:rPr>
        <w:tab/>
      </w:r>
      <w:r w:rsidRPr="00CF1210">
        <w:rPr>
          <w:b/>
        </w:rPr>
        <w:tab/>
      </w:r>
      <w:r w:rsidRPr="00CF1210">
        <w:rPr>
          <w:b/>
        </w:rPr>
        <w:tab/>
      </w:r>
    </w:p>
    <w:p w:rsidR="003D092A" w:rsidRPr="00CF1210" w:rsidRDefault="003D092A" w:rsidP="003D092A">
      <w:pPr>
        <w:pStyle w:val="NoSpacing"/>
        <w:rPr>
          <w:b/>
        </w:rPr>
      </w:pPr>
    </w:p>
    <w:p w:rsidR="003D092A" w:rsidRDefault="003D092A" w:rsidP="003D092A">
      <w:pPr>
        <w:spacing w:line="360" w:lineRule="auto"/>
        <w:jc w:val="both"/>
        <w:rPr>
          <w:b/>
        </w:rPr>
      </w:pPr>
      <w:r>
        <w:rPr>
          <w:b/>
        </w:rPr>
        <w:t>MANYANGADZE, J:</w:t>
      </w:r>
    </w:p>
    <w:p w:rsidR="001D1DA4" w:rsidRDefault="001D1DA4" w:rsidP="0001209F">
      <w:pPr>
        <w:spacing w:line="360" w:lineRule="auto"/>
        <w:jc w:val="both"/>
      </w:pPr>
    </w:p>
    <w:p w:rsidR="0001209F" w:rsidRDefault="0001209F" w:rsidP="0001209F">
      <w:pPr>
        <w:spacing w:line="360" w:lineRule="auto"/>
        <w:jc w:val="both"/>
      </w:pPr>
      <w:r>
        <w:tab/>
        <w:t xml:space="preserve">This is an appeal and a review against an arbitral award handed down on 13 February 2013 which </w:t>
      </w:r>
      <w:r w:rsidR="00426E94">
        <w:t xml:space="preserve">quantified terminal </w:t>
      </w:r>
      <w:r w:rsidR="00967F4C">
        <w:t xml:space="preserve">benefits in favour of the respondents.  The quantification </w:t>
      </w:r>
      <w:r w:rsidR="003C611D">
        <w:t>emanated</w:t>
      </w:r>
      <w:r w:rsidR="00967F4C">
        <w:t xml:space="preserve"> from an </w:t>
      </w:r>
      <w:r w:rsidR="003C611D">
        <w:t>earlier award, handed down on 2 March 2012</w:t>
      </w:r>
      <w:r w:rsidR="00237C8E">
        <w:t>,</w:t>
      </w:r>
      <w:r w:rsidR="003C611D">
        <w:t xml:space="preserve"> in terms</w:t>
      </w:r>
      <w:r w:rsidR="00265BF8">
        <w:t xml:space="preserve"> of which the appellant was ordered to pay terminal benefits to the respondents.</w:t>
      </w:r>
    </w:p>
    <w:p w:rsidR="00265BF8" w:rsidRDefault="00265BF8" w:rsidP="00503C11">
      <w:pPr>
        <w:jc w:val="both"/>
      </w:pPr>
    </w:p>
    <w:p w:rsidR="00265BF8" w:rsidRDefault="00265BF8" w:rsidP="00022F35">
      <w:pPr>
        <w:spacing w:line="360" w:lineRule="auto"/>
        <w:ind w:firstLine="720"/>
        <w:jc w:val="both"/>
      </w:pPr>
      <w:r>
        <w:t>The appellant was ordered to pay various amounts to the respondent</w:t>
      </w:r>
      <w:r w:rsidR="00237C8E">
        <w:t>s</w:t>
      </w:r>
      <w:r>
        <w:t>, covering salaries, leave days, notice pay and gratuity.  The total sums payable to each respondent appear in the</w:t>
      </w:r>
      <w:r w:rsidR="00022F35">
        <w:t xml:space="preserve"> </w:t>
      </w:r>
      <w:r w:rsidR="0078405C">
        <w:t xml:space="preserve">quantification </w:t>
      </w:r>
      <w:r w:rsidR="00022F35">
        <w:t>award, framed as follows:</w:t>
      </w:r>
    </w:p>
    <w:p w:rsidR="00022F35" w:rsidRDefault="00022F35" w:rsidP="00503C11">
      <w:pPr>
        <w:ind w:firstLine="720"/>
        <w:jc w:val="both"/>
      </w:pPr>
    </w:p>
    <w:p w:rsidR="00022F35" w:rsidRDefault="0069203E" w:rsidP="00503C11">
      <w:pPr>
        <w:spacing w:line="276" w:lineRule="auto"/>
        <w:ind w:left="720"/>
        <w:jc w:val="both"/>
        <w:rPr>
          <w:sz w:val="22"/>
          <w:szCs w:val="22"/>
        </w:rPr>
      </w:pPr>
      <w:r w:rsidRPr="00503C11">
        <w:rPr>
          <w:sz w:val="22"/>
          <w:szCs w:val="22"/>
        </w:rPr>
        <w:t>“Respondent Trust Me Security is hereby ordered to pay K Kasemenya USD3900, Mtshabela Ts</w:t>
      </w:r>
      <w:r w:rsidR="00D17558" w:rsidRPr="00503C11">
        <w:rPr>
          <w:sz w:val="22"/>
          <w:szCs w:val="22"/>
        </w:rPr>
        <w:t>hababa USD3280, Rupiya Wilfilda USD3233.33, Sarah Muparo USD3600, Sheila Masuku USD3,563</w:t>
      </w:r>
      <w:r w:rsidR="00326A2B" w:rsidRPr="00503C11">
        <w:rPr>
          <w:sz w:val="22"/>
          <w:szCs w:val="22"/>
        </w:rPr>
        <w:t>, Thokozile Mpofu USD3533,33, Alice Mutombo USD3600, Shepherd Muhovo USD3672, Precious Fasha USD3433,33, Lindi Dhliwayo USD4100, Rosemary Gochera USD4100,</w:t>
      </w:r>
      <w:r w:rsidR="001B680A" w:rsidRPr="00503C11">
        <w:rPr>
          <w:sz w:val="22"/>
          <w:szCs w:val="22"/>
        </w:rPr>
        <w:t xml:space="preserve"> Rosemary </w:t>
      </w:r>
      <w:r w:rsidR="00F4382F" w:rsidRPr="00503C11">
        <w:rPr>
          <w:sz w:val="22"/>
          <w:szCs w:val="22"/>
        </w:rPr>
        <w:t>Mungandsire USD3593.33, Rosemary</w:t>
      </w:r>
      <w:r w:rsidR="00BA6A03" w:rsidRPr="00503C11">
        <w:rPr>
          <w:sz w:val="22"/>
          <w:szCs w:val="22"/>
        </w:rPr>
        <w:t xml:space="preserve"> Zongororo USD3266.66 and Marita Mpofu USD3872.”</w:t>
      </w:r>
    </w:p>
    <w:p w:rsidR="00503C11" w:rsidRPr="00503C11" w:rsidRDefault="00503C11" w:rsidP="00503C11">
      <w:pPr>
        <w:ind w:left="720"/>
        <w:jc w:val="both"/>
        <w:rPr>
          <w:sz w:val="22"/>
          <w:szCs w:val="22"/>
        </w:rPr>
      </w:pPr>
    </w:p>
    <w:p w:rsidR="00BA6A03" w:rsidRDefault="00BA6A03" w:rsidP="00022F35">
      <w:pPr>
        <w:spacing w:line="360" w:lineRule="auto"/>
        <w:ind w:firstLine="720"/>
        <w:jc w:val="both"/>
      </w:pPr>
      <w:r>
        <w:lastRenderedPageBreak/>
        <w:t xml:space="preserve">A </w:t>
      </w:r>
      <w:r w:rsidR="000C4674">
        <w:t>perusal</w:t>
      </w:r>
      <w:r>
        <w:t xml:space="preserve"> of the record shows that the review and appeal arise from both the initial and subsequent qu</w:t>
      </w:r>
      <w:r w:rsidR="00BD1B80">
        <w:t xml:space="preserve">antification awards.  It seems to me this is an untidy manner in which </w:t>
      </w:r>
      <w:r w:rsidR="000C4674">
        <w:t>to handle litigation.  The initial award is the basis for the subsequent award.  It is not clea</w:t>
      </w:r>
      <w:r w:rsidR="00640F76">
        <w:t xml:space="preserve">r </w:t>
      </w:r>
      <w:r w:rsidR="002D5687">
        <w:t>why</w:t>
      </w:r>
      <w:r w:rsidR="00640F76">
        <w:t xml:space="preserve"> the appellant</w:t>
      </w:r>
      <w:r w:rsidR="00B0083D">
        <w:t xml:space="preserve"> did not first seek a review and/or appeal of the initial award.  The </w:t>
      </w:r>
      <w:r w:rsidR="002D5687">
        <w:t>rights</w:t>
      </w:r>
      <w:r w:rsidR="00B0083D">
        <w:t xml:space="preserve"> gr</w:t>
      </w:r>
      <w:r w:rsidR="002D5687">
        <w:t>anted to the respondents in the initial</w:t>
      </w:r>
      <w:r w:rsidR="00B0083D">
        <w:t xml:space="preserve"> award are the ones that </w:t>
      </w:r>
      <w:r w:rsidR="002D5687">
        <w:t>led to the quantification award.</w:t>
      </w:r>
      <w:r w:rsidR="00D90123">
        <w:t xml:space="preserve">  Disposal of the appeal/review in respect </w:t>
      </w:r>
      <w:r w:rsidR="00D4779D">
        <w:t>of</w:t>
      </w:r>
      <w:r w:rsidR="00D90123">
        <w:t xml:space="preserve"> the </w:t>
      </w:r>
      <w:r w:rsidR="00D4779D">
        <w:t>initial</w:t>
      </w:r>
      <w:r w:rsidR="00D90123">
        <w:t xml:space="preserve"> </w:t>
      </w:r>
      <w:r w:rsidR="00521684">
        <w:t>award would</w:t>
      </w:r>
      <w:r w:rsidR="00D4779D">
        <w:t>,</w:t>
      </w:r>
      <w:r w:rsidR="00521684">
        <w:t xml:space="preserve"> therefore, determine whether or not it is </w:t>
      </w:r>
      <w:r w:rsidR="00020946">
        <w:t>necessary to proceed to</w:t>
      </w:r>
      <w:r w:rsidR="00D4779D">
        <w:t xml:space="preserve"> the</w:t>
      </w:r>
      <w:r w:rsidR="00020946">
        <w:t xml:space="preserve"> appeal/review in respect </w:t>
      </w:r>
      <w:r w:rsidR="002F0C88">
        <w:t xml:space="preserve">of the quantification.  If the appeal in respect of the initial award is allowed and the award is set aside, </w:t>
      </w:r>
      <w:r w:rsidR="0021266F">
        <w:t xml:space="preserve">it will have the effect of nullifying the quantification award.  </w:t>
      </w:r>
      <w:r w:rsidR="009D2BBE">
        <w:t>Thu</w:t>
      </w:r>
      <w:r w:rsidR="00E66390">
        <w:t>s</w:t>
      </w:r>
      <w:r w:rsidR="0021266F">
        <w:t xml:space="preserve">, </w:t>
      </w:r>
      <w:r w:rsidR="009D2BBE">
        <w:t>action</w:t>
      </w:r>
      <w:r w:rsidR="00E66390">
        <w:t xml:space="preserve"> on the subsequent award is depend</w:t>
      </w:r>
      <w:r w:rsidR="00D37480">
        <w:t xml:space="preserve">ent on the outcome of the </w:t>
      </w:r>
      <w:r w:rsidR="00522040">
        <w:t>action</w:t>
      </w:r>
      <w:r w:rsidR="00D37480">
        <w:t xml:space="preserve"> </w:t>
      </w:r>
      <w:r w:rsidR="00717636">
        <w:t>on the initial award.</w:t>
      </w:r>
    </w:p>
    <w:p w:rsidR="00717636" w:rsidRDefault="00717636" w:rsidP="00503C11">
      <w:pPr>
        <w:ind w:firstLine="720"/>
        <w:jc w:val="both"/>
      </w:pPr>
    </w:p>
    <w:p w:rsidR="00717636" w:rsidRDefault="00717636" w:rsidP="00022F35">
      <w:pPr>
        <w:spacing w:line="360" w:lineRule="auto"/>
        <w:ind w:firstLine="720"/>
        <w:jc w:val="both"/>
      </w:pPr>
      <w:r>
        <w:t>Be that as it may, there is an issue that arises from both awards, which I think</w:t>
      </w:r>
      <w:r w:rsidR="00015436">
        <w:t xml:space="preserve"> </w:t>
      </w:r>
      <w:r w:rsidR="00320049">
        <w:t>would be</w:t>
      </w:r>
      <w:r w:rsidR="00015436">
        <w:t xml:space="preserve"> dispositive of both matters, without delving into the merits thereof.</w:t>
      </w:r>
    </w:p>
    <w:p w:rsidR="00015436" w:rsidRDefault="00015436" w:rsidP="00503C11">
      <w:pPr>
        <w:ind w:firstLine="720"/>
        <w:jc w:val="both"/>
      </w:pPr>
    </w:p>
    <w:p w:rsidR="009E5159" w:rsidRDefault="00015436" w:rsidP="00022F35">
      <w:pPr>
        <w:spacing w:line="360" w:lineRule="auto"/>
        <w:ind w:firstLine="720"/>
        <w:jc w:val="both"/>
      </w:pPr>
      <w:r>
        <w:t>A reading of the</w:t>
      </w:r>
      <w:r w:rsidR="00B1310D">
        <w:t xml:space="preserve"> quantification award </w:t>
      </w:r>
      <w:r w:rsidR="004F2AF6">
        <w:t xml:space="preserve">shows it was granted in default of the appellant’s </w:t>
      </w:r>
      <w:r w:rsidR="00320049">
        <w:t>appearance</w:t>
      </w:r>
      <w:r w:rsidR="00322B1E">
        <w:t>,</w:t>
      </w:r>
      <w:r w:rsidR="006E2EAB">
        <w:t xml:space="preserve"> who was</w:t>
      </w:r>
      <w:r w:rsidR="001D1DA4">
        <w:t xml:space="preserve"> </w:t>
      </w:r>
      <w:r w:rsidR="00320049">
        <w:t xml:space="preserve">the </w:t>
      </w:r>
      <w:r w:rsidR="001D1DA4">
        <w:t xml:space="preserve">respondent then.  Although the </w:t>
      </w:r>
      <w:r w:rsidR="00836DA7">
        <w:t>initial</w:t>
      </w:r>
      <w:r w:rsidR="001D1DA4">
        <w:t xml:space="preserve"> </w:t>
      </w:r>
      <w:r w:rsidR="00836DA7">
        <w:t>arbitral</w:t>
      </w:r>
      <w:r w:rsidR="001D1DA4">
        <w:t xml:space="preserve"> award was not also </w:t>
      </w:r>
      <w:r w:rsidR="00143D02">
        <w:t>enclosed</w:t>
      </w:r>
      <w:r w:rsidR="001D1DA4">
        <w:t xml:space="preserve"> in the </w:t>
      </w:r>
      <w:r w:rsidR="00836DA7">
        <w:t>record</w:t>
      </w:r>
      <w:r w:rsidR="00CB6289">
        <w:t>,</w:t>
      </w:r>
      <w:r w:rsidR="00836DA7">
        <w:t xml:space="preserve"> submissions from both parties show that</w:t>
      </w:r>
      <w:r w:rsidR="00CB6EBF">
        <w:t xml:space="preserve"> it was granted in similar fashion i.e. in default of the appellant </w:t>
      </w:r>
      <w:r w:rsidR="00CB6289">
        <w:t>(</w:t>
      </w:r>
      <w:r w:rsidR="00041E8A">
        <w:t>then respondent)’</w:t>
      </w:r>
      <w:r w:rsidR="00CB6EBF">
        <w:t xml:space="preserve">s appearance.  It </w:t>
      </w:r>
      <w:r w:rsidR="00AE4EE8">
        <w:t>was a default judgment.</w:t>
      </w:r>
    </w:p>
    <w:p w:rsidR="009E5159" w:rsidRDefault="009E5159" w:rsidP="00503C11">
      <w:pPr>
        <w:ind w:firstLine="720"/>
        <w:jc w:val="both"/>
      </w:pPr>
    </w:p>
    <w:p w:rsidR="00015436" w:rsidRDefault="009E5159" w:rsidP="00022F35">
      <w:pPr>
        <w:spacing w:line="360" w:lineRule="auto"/>
        <w:ind w:firstLine="720"/>
        <w:jc w:val="both"/>
      </w:pPr>
      <w:r>
        <w:t>This sign</w:t>
      </w:r>
      <w:r w:rsidR="00622B71">
        <w:t xml:space="preserve">ificant aspect of the </w:t>
      </w:r>
      <w:r w:rsidR="00041E8A">
        <w:t>proceedings</w:t>
      </w:r>
      <w:r w:rsidR="00622B71">
        <w:t xml:space="preserve"> i</w:t>
      </w:r>
      <w:r>
        <w:t>s not disputed by the appellant, that the awards were default awards.  The</w:t>
      </w:r>
      <w:r w:rsidR="00D0588A">
        <w:t>re were no written submissions by the appellant.  There were no oral submissions by the appellant as well.</w:t>
      </w:r>
      <w:r w:rsidR="00836DA7">
        <w:t xml:space="preserve"> </w:t>
      </w:r>
    </w:p>
    <w:p w:rsidR="00ED4AA5" w:rsidRDefault="00ED4AA5" w:rsidP="00503C11">
      <w:pPr>
        <w:ind w:firstLine="720"/>
        <w:jc w:val="both"/>
      </w:pPr>
    </w:p>
    <w:p w:rsidR="00ED4AA5" w:rsidRDefault="00ED4AA5" w:rsidP="00022F35">
      <w:pPr>
        <w:spacing w:line="360" w:lineRule="auto"/>
        <w:ind w:firstLine="720"/>
        <w:jc w:val="both"/>
      </w:pPr>
      <w:r>
        <w:t>The following exchange between the court and the appellant is instructive.</w:t>
      </w:r>
    </w:p>
    <w:p w:rsidR="00ED4AA5" w:rsidRDefault="00ED4AA5" w:rsidP="00503C11">
      <w:pPr>
        <w:ind w:firstLine="720"/>
        <w:jc w:val="both"/>
      </w:pPr>
    </w:p>
    <w:p w:rsidR="00396569" w:rsidRPr="008525D3" w:rsidRDefault="00ED4AA5" w:rsidP="00DA69C4">
      <w:pPr>
        <w:spacing w:line="276" w:lineRule="auto"/>
        <w:ind w:left="1440" w:hanging="720"/>
        <w:jc w:val="both"/>
        <w:rPr>
          <w:sz w:val="22"/>
          <w:szCs w:val="22"/>
        </w:rPr>
      </w:pPr>
      <w:r w:rsidRPr="008525D3">
        <w:rPr>
          <w:sz w:val="22"/>
          <w:szCs w:val="22"/>
        </w:rPr>
        <w:t>“Q</w:t>
      </w:r>
      <w:r w:rsidR="00BA705E" w:rsidRPr="008525D3">
        <w:rPr>
          <w:sz w:val="22"/>
          <w:szCs w:val="22"/>
        </w:rPr>
        <w:tab/>
        <w:t xml:space="preserve">It appears the arbitral award was granted in default of appearance </w:t>
      </w:r>
      <w:r w:rsidR="00EF58F0">
        <w:rPr>
          <w:sz w:val="22"/>
          <w:szCs w:val="22"/>
        </w:rPr>
        <w:t>of the appellant</w:t>
      </w:r>
      <w:r w:rsidR="00162F9B">
        <w:rPr>
          <w:sz w:val="22"/>
          <w:szCs w:val="22"/>
        </w:rPr>
        <w:t>,</w:t>
      </w:r>
      <w:r w:rsidR="00B5104B" w:rsidRPr="008525D3">
        <w:rPr>
          <w:sz w:val="22"/>
          <w:szCs w:val="22"/>
        </w:rPr>
        <w:t xml:space="preserve"> compelling the arbitrator to hea</w:t>
      </w:r>
      <w:r w:rsidR="00297273" w:rsidRPr="008525D3">
        <w:rPr>
          <w:sz w:val="22"/>
          <w:szCs w:val="22"/>
        </w:rPr>
        <w:t>r</w:t>
      </w:r>
      <w:r w:rsidR="00B5104B" w:rsidRPr="008525D3">
        <w:rPr>
          <w:sz w:val="22"/>
          <w:szCs w:val="22"/>
        </w:rPr>
        <w:t xml:space="preserve"> only the </w:t>
      </w:r>
      <w:r w:rsidR="007329BC" w:rsidRPr="008525D3">
        <w:rPr>
          <w:sz w:val="22"/>
          <w:szCs w:val="22"/>
        </w:rPr>
        <w:t>respondents</w:t>
      </w:r>
      <w:r w:rsidR="006F25E5">
        <w:rPr>
          <w:sz w:val="22"/>
          <w:szCs w:val="22"/>
        </w:rPr>
        <w:t xml:space="preserve">. </w:t>
      </w:r>
      <w:proofErr w:type="gramStart"/>
      <w:r w:rsidR="006F25E5">
        <w:rPr>
          <w:sz w:val="22"/>
          <w:szCs w:val="22"/>
        </w:rPr>
        <w:t>W</w:t>
      </w:r>
      <w:r w:rsidR="007329BC" w:rsidRPr="008525D3">
        <w:rPr>
          <w:sz w:val="22"/>
          <w:szCs w:val="22"/>
        </w:rPr>
        <w:t>as</w:t>
      </w:r>
      <w:r w:rsidR="00B5104B" w:rsidRPr="008525D3">
        <w:rPr>
          <w:sz w:val="22"/>
          <w:szCs w:val="22"/>
        </w:rPr>
        <w:t xml:space="preserve"> the arbitrator</w:t>
      </w:r>
      <w:r w:rsidR="00162F9B">
        <w:rPr>
          <w:sz w:val="22"/>
          <w:szCs w:val="22"/>
        </w:rPr>
        <w:t>’s</w:t>
      </w:r>
      <w:r w:rsidR="00B5104B" w:rsidRPr="008525D3">
        <w:rPr>
          <w:sz w:val="22"/>
          <w:szCs w:val="22"/>
        </w:rPr>
        <w:t xml:space="preserve"> award then not a default judgment</w:t>
      </w:r>
      <w:r w:rsidR="00396569" w:rsidRPr="008525D3">
        <w:rPr>
          <w:sz w:val="22"/>
          <w:szCs w:val="22"/>
        </w:rPr>
        <w:t>.</w:t>
      </w:r>
      <w:proofErr w:type="gramEnd"/>
      <w:r w:rsidR="00396569" w:rsidRPr="008525D3">
        <w:rPr>
          <w:sz w:val="22"/>
          <w:szCs w:val="22"/>
        </w:rPr>
        <w:tab/>
      </w:r>
    </w:p>
    <w:p w:rsidR="00396569" w:rsidRPr="008525D3" w:rsidRDefault="007329BC" w:rsidP="00DA69C4">
      <w:pPr>
        <w:spacing w:line="276" w:lineRule="auto"/>
        <w:ind w:left="1440" w:hanging="720"/>
        <w:jc w:val="both"/>
        <w:rPr>
          <w:sz w:val="22"/>
          <w:szCs w:val="22"/>
        </w:rPr>
      </w:pPr>
      <w:r w:rsidRPr="008525D3">
        <w:rPr>
          <w:sz w:val="22"/>
          <w:szCs w:val="22"/>
        </w:rPr>
        <w:t xml:space="preserve"> A</w:t>
      </w:r>
      <w:r w:rsidRPr="008525D3">
        <w:rPr>
          <w:sz w:val="22"/>
          <w:szCs w:val="22"/>
        </w:rPr>
        <w:tab/>
      </w:r>
      <w:r w:rsidR="00453904" w:rsidRPr="008525D3">
        <w:rPr>
          <w:sz w:val="22"/>
          <w:szCs w:val="22"/>
        </w:rPr>
        <w:t xml:space="preserve">Effectively it would </w:t>
      </w:r>
      <w:r w:rsidR="006C3614" w:rsidRPr="008525D3">
        <w:rPr>
          <w:sz w:val="22"/>
          <w:szCs w:val="22"/>
        </w:rPr>
        <w:t>amount</w:t>
      </w:r>
      <w:r w:rsidR="004A791F">
        <w:rPr>
          <w:sz w:val="22"/>
          <w:szCs w:val="22"/>
        </w:rPr>
        <w:t xml:space="preserve"> to</w:t>
      </w:r>
      <w:r w:rsidR="006C3614" w:rsidRPr="008525D3">
        <w:rPr>
          <w:sz w:val="22"/>
          <w:szCs w:val="22"/>
        </w:rPr>
        <w:t xml:space="preserve"> a default judgment, but our position is</w:t>
      </w:r>
      <w:r w:rsidR="004A791F">
        <w:rPr>
          <w:sz w:val="22"/>
          <w:szCs w:val="22"/>
        </w:rPr>
        <w:t>,</w:t>
      </w:r>
      <w:r w:rsidR="006C3614" w:rsidRPr="008525D3">
        <w:rPr>
          <w:sz w:val="22"/>
          <w:szCs w:val="22"/>
        </w:rPr>
        <w:t xml:space="preserve"> this was </w:t>
      </w:r>
      <w:r w:rsidR="004A791F">
        <w:rPr>
          <w:sz w:val="22"/>
          <w:szCs w:val="22"/>
        </w:rPr>
        <w:t>quantification</w:t>
      </w:r>
      <w:r w:rsidR="006C3614" w:rsidRPr="008525D3">
        <w:rPr>
          <w:sz w:val="22"/>
          <w:szCs w:val="22"/>
        </w:rPr>
        <w:t>, he was inclined</w:t>
      </w:r>
      <w:r w:rsidR="00326DDE" w:rsidRPr="008525D3">
        <w:rPr>
          <w:sz w:val="22"/>
          <w:szCs w:val="22"/>
        </w:rPr>
        <w:t xml:space="preserve"> firstly to operate within</w:t>
      </w:r>
      <w:r w:rsidR="004A791F">
        <w:rPr>
          <w:sz w:val="22"/>
          <w:szCs w:val="22"/>
        </w:rPr>
        <w:t xml:space="preserve"> the</w:t>
      </w:r>
      <w:r w:rsidR="00326DDE" w:rsidRPr="008525D3">
        <w:rPr>
          <w:sz w:val="22"/>
          <w:szCs w:val="22"/>
        </w:rPr>
        <w:t xml:space="preserve"> parameters of the terms of reference.  It was not incumbent </w:t>
      </w:r>
      <w:r w:rsidR="00B0605E" w:rsidRPr="008525D3">
        <w:rPr>
          <w:sz w:val="22"/>
          <w:szCs w:val="22"/>
        </w:rPr>
        <w:t xml:space="preserve">upon him, even if it was a default, to assume </w:t>
      </w:r>
      <w:r w:rsidR="004A791F">
        <w:rPr>
          <w:sz w:val="22"/>
          <w:szCs w:val="22"/>
        </w:rPr>
        <w:t>powers</w:t>
      </w:r>
      <w:r w:rsidR="00B0605E" w:rsidRPr="008525D3">
        <w:rPr>
          <w:sz w:val="22"/>
          <w:szCs w:val="22"/>
        </w:rPr>
        <w:t xml:space="preserve"> he did not enjoy.”</w:t>
      </w:r>
    </w:p>
    <w:p w:rsidR="00B0605E" w:rsidRDefault="00B0605E" w:rsidP="00DA69C4">
      <w:pPr>
        <w:jc w:val="both"/>
      </w:pPr>
    </w:p>
    <w:p w:rsidR="00802995" w:rsidRDefault="00802995" w:rsidP="00B0605E">
      <w:pPr>
        <w:spacing w:line="360" w:lineRule="auto"/>
        <w:jc w:val="both"/>
      </w:pPr>
      <w:r>
        <w:lastRenderedPageBreak/>
        <w:t xml:space="preserve">The appellant </w:t>
      </w:r>
      <w:r w:rsidR="00AA0209">
        <w:t>insisted it</w:t>
      </w:r>
      <w:r>
        <w:t xml:space="preserve"> was proper for it to seek a review and an appeal, inspite of the default awards.</w:t>
      </w:r>
    </w:p>
    <w:p w:rsidR="00703631" w:rsidRDefault="00703631" w:rsidP="00DA69C4">
      <w:pPr>
        <w:jc w:val="both"/>
      </w:pPr>
    </w:p>
    <w:p w:rsidR="00703631" w:rsidRDefault="00703631" w:rsidP="00B0605E">
      <w:pPr>
        <w:spacing w:line="360" w:lineRule="auto"/>
        <w:jc w:val="both"/>
      </w:pPr>
      <w:r>
        <w:tab/>
        <w:t xml:space="preserve">In </w:t>
      </w:r>
      <w:r w:rsidR="00AA0209">
        <w:t>countering the</w:t>
      </w:r>
      <w:r>
        <w:t xml:space="preserve"> appellant’s submi</w:t>
      </w:r>
      <w:r w:rsidR="00AA0209">
        <w:t>ssions, the respondents averred;</w:t>
      </w:r>
    </w:p>
    <w:p w:rsidR="00F25B03" w:rsidRDefault="00F25B03" w:rsidP="00DA69C4">
      <w:pPr>
        <w:jc w:val="both"/>
      </w:pPr>
    </w:p>
    <w:p w:rsidR="00F25B03" w:rsidRPr="00DA69C4" w:rsidRDefault="00724F67" w:rsidP="00DA69C4">
      <w:pPr>
        <w:spacing w:line="276" w:lineRule="auto"/>
        <w:ind w:left="720"/>
        <w:jc w:val="both"/>
        <w:rPr>
          <w:sz w:val="22"/>
          <w:szCs w:val="22"/>
        </w:rPr>
      </w:pPr>
      <w:r w:rsidRPr="00DA69C4">
        <w:rPr>
          <w:sz w:val="22"/>
          <w:szCs w:val="22"/>
        </w:rPr>
        <w:t>“The appellant was duly notified of the proceedings.  For reasons we do not know, th</w:t>
      </w:r>
      <w:r w:rsidR="00D636A7" w:rsidRPr="00DA69C4">
        <w:rPr>
          <w:sz w:val="22"/>
          <w:szCs w:val="22"/>
        </w:rPr>
        <w:t>ey did not avail themselves ….. I think appellant should have made an application for rescission before the same honourable arbitrator.”</w:t>
      </w:r>
    </w:p>
    <w:p w:rsidR="00D636A7" w:rsidRDefault="00D636A7" w:rsidP="00DA69C4">
      <w:pPr>
        <w:jc w:val="both"/>
      </w:pPr>
    </w:p>
    <w:p w:rsidR="00D636A7" w:rsidRDefault="00D636A7" w:rsidP="00B0605E">
      <w:pPr>
        <w:spacing w:line="360" w:lineRule="auto"/>
        <w:jc w:val="both"/>
      </w:pPr>
      <w:r>
        <w:tab/>
        <w:t xml:space="preserve">The appellant explained that it was not heard in the proceedings </w:t>
      </w:r>
      <w:r w:rsidRPr="006D65F0">
        <w:rPr>
          <w:i/>
          <w:u w:val="single"/>
        </w:rPr>
        <w:t>aquo</w:t>
      </w:r>
      <w:r>
        <w:t xml:space="preserve">, as </w:t>
      </w:r>
      <w:r w:rsidR="006D65F0">
        <w:t xml:space="preserve">it </w:t>
      </w:r>
      <w:r w:rsidR="001133E4">
        <w:t>only became</w:t>
      </w:r>
      <w:r w:rsidR="008A1EB8">
        <w:t xml:space="preserve"> aware of the awards upon registration of the </w:t>
      </w:r>
      <w:r w:rsidR="00284D8E">
        <w:t>quan</w:t>
      </w:r>
      <w:r w:rsidR="00615B6F">
        <w:t>tification award.  The appellant</w:t>
      </w:r>
      <w:r w:rsidR="00284D8E">
        <w:t xml:space="preserve"> was</w:t>
      </w:r>
      <w:r w:rsidR="00615B6F">
        <w:t>,</w:t>
      </w:r>
      <w:r w:rsidR="00284D8E">
        <w:t xml:space="preserve"> in essence, </w:t>
      </w:r>
      <w:r w:rsidR="00615B6F">
        <w:t>try</w:t>
      </w:r>
      <w:r w:rsidR="00322B1E">
        <w:t>ing</w:t>
      </w:r>
      <w:r w:rsidR="00615B6F">
        <w:t xml:space="preserve"> to explain</w:t>
      </w:r>
      <w:r w:rsidR="00284D8E">
        <w:t xml:space="preserve"> its default.  </w:t>
      </w:r>
      <w:r w:rsidR="00615B6F">
        <w:t>This</w:t>
      </w:r>
      <w:r w:rsidR="00BA2E04">
        <w:t xml:space="preserve"> was in</w:t>
      </w:r>
      <w:r w:rsidR="00284D8E">
        <w:t xml:space="preserve"> an </w:t>
      </w:r>
      <w:r w:rsidR="006A2840">
        <w:t>endeavour to</w:t>
      </w:r>
      <w:r w:rsidR="00B6089E">
        <w:t xml:space="preserve"> persuade this court</w:t>
      </w:r>
      <w:r w:rsidR="007B6B11">
        <w:t xml:space="preserve"> that</w:t>
      </w:r>
      <w:r w:rsidR="00B6089E">
        <w:t xml:space="preserve"> it was not in willful default.  That, in my view</w:t>
      </w:r>
      <w:r w:rsidR="007B6B11">
        <w:t xml:space="preserve">, is </w:t>
      </w:r>
      <w:proofErr w:type="gramStart"/>
      <w:r w:rsidR="007B6B11">
        <w:t>w</w:t>
      </w:r>
      <w:r w:rsidR="0025514E">
        <w:t>hat,</w:t>
      </w:r>
      <w:proofErr w:type="gramEnd"/>
      <w:r w:rsidR="0025514E">
        <w:t xml:space="preserve"> it should have done in an application for rescission of the default awards.  If aggrieved by the arbitrator’s determination of that application, appe</w:t>
      </w:r>
      <w:r w:rsidR="00905E0F">
        <w:t>llant could then properly approach this court, appealing</w:t>
      </w:r>
      <w:r w:rsidR="00622C8D">
        <w:t xml:space="preserve"> against</w:t>
      </w:r>
      <w:r w:rsidR="00905E0F">
        <w:t xml:space="preserve"> the dismissal of its application for rescission of the default award.</w:t>
      </w:r>
    </w:p>
    <w:p w:rsidR="003720CB" w:rsidRDefault="003720CB" w:rsidP="00DA69C4">
      <w:pPr>
        <w:jc w:val="both"/>
      </w:pPr>
    </w:p>
    <w:p w:rsidR="003720CB" w:rsidRDefault="003720CB" w:rsidP="00B0605E">
      <w:pPr>
        <w:spacing w:line="360" w:lineRule="auto"/>
        <w:jc w:val="both"/>
      </w:pPr>
      <w:r>
        <w:tab/>
        <w:t xml:space="preserve">The position that a proper remedy </w:t>
      </w:r>
      <w:r w:rsidR="0099188A">
        <w:t>for</w:t>
      </w:r>
      <w:r>
        <w:t xml:space="preserve"> a decision made in the absence of the party against </w:t>
      </w:r>
      <w:r w:rsidR="001A1149">
        <w:t xml:space="preserve">him it was made is an application for </w:t>
      </w:r>
      <w:proofErr w:type="gramStart"/>
      <w:r w:rsidR="001A1149">
        <w:t>rescission</w:t>
      </w:r>
      <w:r w:rsidR="0099188A">
        <w:t>,</w:t>
      </w:r>
      <w:proofErr w:type="gramEnd"/>
      <w:r w:rsidR="001A1149">
        <w:t xml:space="preserve"> was clearly stated </w:t>
      </w:r>
      <w:r w:rsidR="0099188A">
        <w:t>by</w:t>
      </w:r>
      <w:r w:rsidR="001A1149">
        <w:t xml:space="preserve"> the Supreme Court in </w:t>
      </w:r>
      <w:r w:rsidR="001A1149" w:rsidRPr="008802DC">
        <w:rPr>
          <w:i/>
        </w:rPr>
        <w:t>Zvinava</w:t>
      </w:r>
      <w:r w:rsidR="008802DC" w:rsidRPr="008802DC">
        <w:rPr>
          <w:i/>
        </w:rPr>
        <w:t>she</w:t>
      </w:r>
      <w:r w:rsidR="008802DC">
        <w:t xml:space="preserve"> v </w:t>
      </w:r>
      <w:r w:rsidR="008802DC" w:rsidRPr="008802DC">
        <w:rPr>
          <w:i/>
        </w:rPr>
        <w:t>Ndlovu</w:t>
      </w:r>
      <w:r w:rsidR="008802DC">
        <w:t xml:space="preserve"> SC 40/06.  In that case, GWAUNZA JA stated:</w:t>
      </w:r>
    </w:p>
    <w:p w:rsidR="00770956" w:rsidRDefault="00770956" w:rsidP="00DA69C4">
      <w:pPr>
        <w:jc w:val="both"/>
      </w:pPr>
    </w:p>
    <w:p w:rsidR="00770956" w:rsidRPr="00B16D4F" w:rsidRDefault="00770956" w:rsidP="00B16D4F">
      <w:pPr>
        <w:spacing w:line="276" w:lineRule="auto"/>
        <w:ind w:left="720"/>
        <w:jc w:val="both"/>
        <w:rPr>
          <w:sz w:val="22"/>
          <w:szCs w:val="22"/>
        </w:rPr>
      </w:pPr>
      <w:r>
        <w:t>“</w:t>
      </w:r>
      <w:r w:rsidRPr="00B16D4F">
        <w:rPr>
          <w:sz w:val="22"/>
          <w:szCs w:val="22"/>
        </w:rPr>
        <w:t xml:space="preserve">The consideration by the Judge </w:t>
      </w:r>
      <w:r w:rsidRPr="00830728">
        <w:rPr>
          <w:i/>
          <w:sz w:val="22"/>
          <w:szCs w:val="22"/>
          <w:u w:val="single"/>
        </w:rPr>
        <w:t>a quo</w:t>
      </w:r>
      <w:r w:rsidRPr="00B16D4F">
        <w:rPr>
          <w:sz w:val="22"/>
          <w:szCs w:val="22"/>
        </w:rPr>
        <w:t xml:space="preserve"> of the merits of the case, and the giving of his reasons for judgment, therefore had no effect on </w:t>
      </w:r>
      <w:r w:rsidR="00D96D80" w:rsidRPr="00B16D4F">
        <w:rPr>
          <w:sz w:val="22"/>
          <w:szCs w:val="22"/>
        </w:rPr>
        <w:t>the status of the judgment given, which remained that of a default judgment.</w:t>
      </w:r>
    </w:p>
    <w:p w:rsidR="00D96D80" w:rsidRPr="00B16D4F" w:rsidRDefault="00D96D80" w:rsidP="00CF0E2F">
      <w:pPr>
        <w:jc w:val="both"/>
        <w:rPr>
          <w:sz w:val="22"/>
          <w:szCs w:val="22"/>
        </w:rPr>
      </w:pPr>
    </w:p>
    <w:p w:rsidR="00D96D80" w:rsidRPr="00B16D4F" w:rsidRDefault="00D96D80" w:rsidP="00B16D4F">
      <w:pPr>
        <w:spacing w:line="276" w:lineRule="auto"/>
        <w:ind w:left="720"/>
        <w:jc w:val="both"/>
        <w:rPr>
          <w:sz w:val="22"/>
          <w:szCs w:val="22"/>
        </w:rPr>
      </w:pPr>
      <w:r w:rsidRPr="00B16D4F">
        <w:rPr>
          <w:sz w:val="22"/>
          <w:szCs w:val="22"/>
        </w:rPr>
        <w:t xml:space="preserve">Be </w:t>
      </w:r>
      <w:r w:rsidR="0099188A">
        <w:rPr>
          <w:sz w:val="22"/>
          <w:szCs w:val="22"/>
        </w:rPr>
        <w:t>that as it may, the decision by</w:t>
      </w:r>
      <w:r w:rsidRPr="00B16D4F">
        <w:rPr>
          <w:sz w:val="22"/>
          <w:szCs w:val="22"/>
        </w:rPr>
        <w:t xml:space="preserve"> the court </w:t>
      </w:r>
      <w:r w:rsidRPr="00830728">
        <w:rPr>
          <w:i/>
          <w:sz w:val="22"/>
          <w:szCs w:val="22"/>
          <w:u w:val="single"/>
        </w:rPr>
        <w:t>a quo</w:t>
      </w:r>
      <w:r w:rsidRPr="00B16D4F">
        <w:rPr>
          <w:sz w:val="22"/>
          <w:szCs w:val="22"/>
        </w:rPr>
        <w:t xml:space="preserve">, to </w:t>
      </w:r>
      <w:r w:rsidR="00424585" w:rsidRPr="00B16D4F">
        <w:rPr>
          <w:sz w:val="22"/>
          <w:szCs w:val="22"/>
        </w:rPr>
        <w:t xml:space="preserve">dismiss the appellant’s application, effectively for want of prosecution, was correct.  As has already been explained, that decision remained a default judgment whose setting aside could only </w:t>
      </w:r>
      <w:r w:rsidR="00021F07" w:rsidRPr="00B16D4F">
        <w:rPr>
          <w:sz w:val="22"/>
          <w:szCs w:val="22"/>
        </w:rPr>
        <w:t>follow a</w:t>
      </w:r>
      <w:r w:rsidR="008A3831" w:rsidRPr="00B16D4F">
        <w:rPr>
          <w:sz w:val="22"/>
          <w:szCs w:val="22"/>
        </w:rPr>
        <w:t xml:space="preserve"> successful application for its rescission</w:t>
      </w:r>
      <w:r w:rsidR="00021F07" w:rsidRPr="00B16D4F">
        <w:rPr>
          <w:sz w:val="22"/>
          <w:szCs w:val="22"/>
        </w:rPr>
        <w:t>.</w:t>
      </w:r>
    </w:p>
    <w:p w:rsidR="00021F07" w:rsidRPr="00B16D4F" w:rsidRDefault="00021F07" w:rsidP="00CF0E2F">
      <w:pPr>
        <w:jc w:val="both"/>
        <w:rPr>
          <w:sz w:val="22"/>
          <w:szCs w:val="22"/>
        </w:rPr>
      </w:pPr>
    </w:p>
    <w:p w:rsidR="00021F07" w:rsidRPr="00B16D4F" w:rsidRDefault="00021F07" w:rsidP="00B16D4F">
      <w:pPr>
        <w:spacing w:line="276" w:lineRule="auto"/>
        <w:ind w:left="720"/>
        <w:jc w:val="both"/>
        <w:rPr>
          <w:sz w:val="22"/>
          <w:szCs w:val="22"/>
        </w:rPr>
      </w:pPr>
      <w:r w:rsidRPr="00B16D4F">
        <w:rPr>
          <w:sz w:val="22"/>
          <w:szCs w:val="22"/>
        </w:rPr>
        <w:t xml:space="preserve">For the avoidance of doubt, it is declared that the giving of reasons for the default judgment in question, by the court </w:t>
      </w:r>
      <w:r w:rsidRPr="00830728">
        <w:rPr>
          <w:i/>
          <w:sz w:val="22"/>
          <w:szCs w:val="22"/>
          <w:u w:val="single"/>
        </w:rPr>
        <w:t>a quo</w:t>
      </w:r>
      <w:r w:rsidR="00404A9E" w:rsidRPr="00B16D4F">
        <w:rPr>
          <w:sz w:val="22"/>
          <w:szCs w:val="22"/>
        </w:rPr>
        <w:t>, was unnecessary and consequently, of no force or effort.  It does not convert the default judgment into a judgment on the merits</w:t>
      </w:r>
      <w:r w:rsidR="00393134" w:rsidRPr="00B16D4F">
        <w:rPr>
          <w:sz w:val="22"/>
          <w:szCs w:val="22"/>
        </w:rPr>
        <w:t>.”</w:t>
      </w:r>
    </w:p>
    <w:p w:rsidR="00DE7B85" w:rsidRDefault="00DE7B85" w:rsidP="00B16D4F">
      <w:pPr>
        <w:jc w:val="both"/>
      </w:pPr>
    </w:p>
    <w:p w:rsidR="002E4ED0" w:rsidRDefault="00DE7B85" w:rsidP="00B0605E">
      <w:pPr>
        <w:spacing w:line="360" w:lineRule="auto"/>
        <w:jc w:val="both"/>
      </w:pPr>
      <w:r>
        <w:tab/>
        <w:t xml:space="preserve">In my </w:t>
      </w:r>
      <w:r w:rsidR="00044AA6">
        <w:t>view, the circumstances of the instant case are no exception.  The review an</w:t>
      </w:r>
      <w:r w:rsidR="003A5950">
        <w:t>d</w:t>
      </w:r>
      <w:r w:rsidR="00044AA6">
        <w:t xml:space="preserve"> appeal</w:t>
      </w:r>
      <w:r w:rsidR="00B31E16">
        <w:t xml:space="preserve"> brought before the </w:t>
      </w:r>
      <w:proofErr w:type="gramStart"/>
      <w:r w:rsidR="00B31E16">
        <w:t>court,</w:t>
      </w:r>
      <w:proofErr w:type="gramEnd"/>
      <w:r w:rsidR="00B31E16">
        <w:t xml:space="preserve"> should have been preceded</w:t>
      </w:r>
      <w:r w:rsidR="00C53449">
        <w:t xml:space="preserve"> by an </w:t>
      </w:r>
      <w:r w:rsidR="00C53449">
        <w:lastRenderedPageBreak/>
        <w:t>application for a rescission of the default award</w:t>
      </w:r>
      <w:r w:rsidR="002E4D79">
        <w:t xml:space="preserve"> in question</w:t>
      </w:r>
      <w:r w:rsidR="00C53449">
        <w:t xml:space="preserve">.  </w:t>
      </w:r>
      <w:r w:rsidR="00013289">
        <w:t>T</w:t>
      </w:r>
      <w:r w:rsidR="00C53449">
        <w:t xml:space="preserve">he </w:t>
      </w:r>
      <w:r w:rsidR="00D905C9">
        <w:t>revi</w:t>
      </w:r>
      <w:r w:rsidR="00F43D59">
        <w:t>ew and appeal are</w:t>
      </w:r>
      <w:r w:rsidR="00D905C9">
        <w:t xml:space="preserve"> therefore not properly </w:t>
      </w:r>
      <w:r w:rsidR="002E4ED0">
        <w:t>before the court, and must be struck off the roll.</w:t>
      </w:r>
    </w:p>
    <w:p w:rsidR="002E4ED0" w:rsidRDefault="002E4ED0" w:rsidP="00B16D4F">
      <w:pPr>
        <w:jc w:val="both"/>
      </w:pPr>
    </w:p>
    <w:p w:rsidR="00D5266D" w:rsidRDefault="002E4ED0" w:rsidP="00B0605E">
      <w:pPr>
        <w:spacing w:line="360" w:lineRule="auto"/>
        <w:jc w:val="both"/>
      </w:pPr>
      <w:r>
        <w:t>It is accordingly ordered that</w:t>
      </w:r>
      <w:r w:rsidR="004A0028">
        <w:t>,</w:t>
      </w:r>
    </w:p>
    <w:p w:rsidR="00D5266D" w:rsidRDefault="00D5266D" w:rsidP="00B0605E">
      <w:pPr>
        <w:spacing w:line="360" w:lineRule="auto"/>
        <w:jc w:val="both"/>
      </w:pPr>
    </w:p>
    <w:p w:rsidR="00AA5ACC" w:rsidRDefault="00D5266D" w:rsidP="00D5266D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application for review and </w:t>
      </w:r>
      <w:r w:rsidR="00013289">
        <w:t xml:space="preserve">the </w:t>
      </w:r>
      <w:r>
        <w:t>appeal, in respect of both arbitral awards,</w:t>
      </w:r>
      <w:r w:rsidR="00AA5ACC">
        <w:t xml:space="preserve"> be and </w:t>
      </w:r>
      <w:r w:rsidR="00013289">
        <w:t>are</w:t>
      </w:r>
      <w:r w:rsidR="00AA5ACC">
        <w:t xml:space="preserve"> hereby struck off the roll.</w:t>
      </w:r>
    </w:p>
    <w:p w:rsidR="00FB78F7" w:rsidRDefault="00AA5ACC" w:rsidP="00D5266D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</w:t>
      </w:r>
      <w:r w:rsidR="00013289">
        <w:t>applicant/appellant</w:t>
      </w:r>
      <w:r>
        <w:t xml:space="preserve"> shall bear the respondent’s costs.</w:t>
      </w:r>
    </w:p>
    <w:p w:rsidR="00FB78F7" w:rsidRDefault="00FB78F7" w:rsidP="00FB78F7">
      <w:pPr>
        <w:spacing w:line="360" w:lineRule="auto"/>
        <w:jc w:val="both"/>
      </w:pPr>
    </w:p>
    <w:p w:rsidR="00FB78F7" w:rsidRDefault="00FB78F7" w:rsidP="00FB78F7">
      <w:pPr>
        <w:spacing w:line="360" w:lineRule="auto"/>
        <w:jc w:val="both"/>
      </w:pPr>
    </w:p>
    <w:p w:rsidR="00DE7B85" w:rsidRDefault="00B16D4F" w:rsidP="00FB78F7">
      <w:pPr>
        <w:spacing w:line="360" w:lineRule="auto"/>
        <w:jc w:val="both"/>
      </w:pPr>
      <w:r w:rsidRPr="00B16D4F">
        <w:rPr>
          <w:i/>
        </w:rPr>
        <w:t>Muvingi &amp; Mugadza</w:t>
      </w:r>
      <w:r>
        <w:t>, appellant’s legal practitioners</w:t>
      </w:r>
      <w:r w:rsidR="00B31E16">
        <w:t xml:space="preserve"> </w:t>
      </w:r>
    </w:p>
    <w:p w:rsidR="00703631" w:rsidRDefault="00703631" w:rsidP="00B0605E">
      <w:pPr>
        <w:spacing w:line="360" w:lineRule="auto"/>
        <w:jc w:val="both"/>
      </w:pPr>
    </w:p>
    <w:p w:rsidR="00703631" w:rsidRDefault="00703631" w:rsidP="00B0605E">
      <w:pPr>
        <w:spacing w:line="360" w:lineRule="auto"/>
        <w:jc w:val="both"/>
      </w:pPr>
    </w:p>
    <w:sectPr w:rsidR="00703631" w:rsidSect="00F9647C"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48" w:rsidRDefault="000B5848" w:rsidP="00F9647C">
      <w:r>
        <w:separator/>
      </w:r>
    </w:p>
  </w:endnote>
  <w:endnote w:type="continuationSeparator" w:id="0">
    <w:p w:rsidR="000B5848" w:rsidRDefault="000B5848" w:rsidP="00F9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359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4A9E" w:rsidRDefault="00404A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4A9E" w:rsidRDefault="00404A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FC" w:rsidRDefault="00E90DFC">
    <w:pPr>
      <w:pStyle w:val="Footer"/>
      <w:jc w:val="center"/>
    </w:pPr>
  </w:p>
  <w:p w:rsidR="00E90DFC" w:rsidRDefault="00E90D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48" w:rsidRDefault="000B5848" w:rsidP="00F9647C">
      <w:r>
        <w:separator/>
      </w:r>
    </w:p>
  </w:footnote>
  <w:footnote w:type="continuationSeparator" w:id="0">
    <w:p w:rsidR="000B5848" w:rsidRDefault="000B5848" w:rsidP="00F96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A9E" w:rsidRPr="00F9647C" w:rsidRDefault="00404A9E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476F45">
      <w:rPr>
        <w:lang w:val="en-ZW"/>
      </w:rPr>
      <w:t>398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A4D9B"/>
    <w:multiLevelType w:val="hybridMultilevel"/>
    <w:tmpl w:val="5F3021A0"/>
    <w:lvl w:ilvl="0" w:tplc="52B65F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2174AE"/>
    <w:multiLevelType w:val="hybridMultilevel"/>
    <w:tmpl w:val="8A38E92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2A"/>
    <w:rsid w:val="0001209F"/>
    <w:rsid w:val="00013289"/>
    <w:rsid w:val="00015436"/>
    <w:rsid w:val="00020946"/>
    <w:rsid w:val="00021F07"/>
    <w:rsid w:val="00022F35"/>
    <w:rsid w:val="00041E8A"/>
    <w:rsid w:val="00044AA6"/>
    <w:rsid w:val="00081009"/>
    <w:rsid w:val="000B5848"/>
    <w:rsid w:val="000C4674"/>
    <w:rsid w:val="0011204A"/>
    <w:rsid w:val="001133E4"/>
    <w:rsid w:val="00143D02"/>
    <w:rsid w:val="00162F9B"/>
    <w:rsid w:val="001A1149"/>
    <w:rsid w:val="001B680A"/>
    <w:rsid w:val="001D1DA4"/>
    <w:rsid w:val="0021266F"/>
    <w:rsid w:val="00237C8E"/>
    <w:rsid w:val="0025514E"/>
    <w:rsid w:val="00265BF8"/>
    <w:rsid w:val="00284D8E"/>
    <w:rsid w:val="00297273"/>
    <w:rsid w:val="002D5687"/>
    <w:rsid w:val="002E4D79"/>
    <w:rsid w:val="002E4ED0"/>
    <w:rsid w:val="002F0C88"/>
    <w:rsid w:val="00320049"/>
    <w:rsid w:val="00322B1E"/>
    <w:rsid w:val="00326A2B"/>
    <w:rsid w:val="00326DDE"/>
    <w:rsid w:val="003720CB"/>
    <w:rsid w:val="00376DD3"/>
    <w:rsid w:val="00393134"/>
    <w:rsid w:val="00396569"/>
    <w:rsid w:val="003A5950"/>
    <w:rsid w:val="003C611D"/>
    <w:rsid w:val="003D092A"/>
    <w:rsid w:val="00404A9E"/>
    <w:rsid w:val="00416565"/>
    <w:rsid w:val="00424585"/>
    <w:rsid w:val="00426E94"/>
    <w:rsid w:val="0043253A"/>
    <w:rsid w:val="00453904"/>
    <w:rsid w:val="00476F45"/>
    <w:rsid w:val="004A0028"/>
    <w:rsid w:val="004A791F"/>
    <w:rsid w:val="004F2AF6"/>
    <w:rsid w:val="00503C11"/>
    <w:rsid w:val="00521684"/>
    <w:rsid w:val="00522040"/>
    <w:rsid w:val="00534DC1"/>
    <w:rsid w:val="005B640E"/>
    <w:rsid w:val="00615B6F"/>
    <w:rsid w:val="00622B71"/>
    <w:rsid w:val="00622C8D"/>
    <w:rsid w:val="0062680D"/>
    <w:rsid w:val="00640F76"/>
    <w:rsid w:val="0069203E"/>
    <w:rsid w:val="006A2840"/>
    <w:rsid w:val="006C3614"/>
    <w:rsid w:val="006D65F0"/>
    <w:rsid w:val="006E2EAB"/>
    <w:rsid w:val="006F25E5"/>
    <w:rsid w:val="00703631"/>
    <w:rsid w:val="00717636"/>
    <w:rsid w:val="00724F67"/>
    <w:rsid w:val="007312DB"/>
    <w:rsid w:val="007329BC"/>
    <w:rsid w:val="00757F0F"/>
    <w:rsid w:val="00770956"/>
    <w:rsid w:val="0078405C"/>
    <w:rsid w:val="007B6B11"/>
    <w:rsid w:val="00802995"/>
    <w:rsid w:val="00830728"/>
    <w:rsid w:val="00836DA7"/>
    <w:rsid w:val="008525D3"/>
    <w:rsid w:val="00874E59"/>
    <w:rsid w:val="008802DC"/>
    <w:rsid w:val="008A110C"/>
    <w:rsid w:val="008A1EB8"/>
    <w:rsid w:val="008A3831"/>
    <w:rsid w:val="00902F28"/>
    <w:rsid w:val="00905E0F"/>
    <w:rsid w:val="00936250"/>
    <w:rsid w:val="00967F4C"/>
    <w:rsid w:val="0099188A"/>
    <w:rsid w:val="009D2BBE"/>
    <w:rsid w:val="009E5159"/>
    <w:rsid w:val="00AA0209"/>
    <w:rsid w:val="00AA5ACC"/>
    <w:rsid w:val="00AE4EE8"/>
    <w:rsid w:val="00B0083D"/>
    <w:rsid w:val="00B0605E"/>
    <w:rsid w:val="00B1310D"/>
    <w:rsid w:val="00B16D4F"/>
    <w:rsid w:val="00B31E16"/>
    <w:rsid w:val="00B5104B"/>
    <w:rsid w:val="00B562D3"/>
    <w:rsid w:val="00B6089E"/>
    <w:rsid w:val="00BA2E04"/>
    <w:rsid w:val="00BA6A03"/>
    <w:rsid w:val="00BA705E"/>
    <w:rsid w:val="00BB4DDA"/>
    <w:rsid w:val="00BD1B80"/>
    <w:rsid w:val="00C53449"/>
    <w:rsid w:val="00CB6289"/>
    <w:rsid w:val="00CB6EBF"/>
    <w:rsid w:val="00CF0E2F"/>
    <w:rsid w:val="00D0588A"/>
    <w:rsid w:val="00D17558"/>
    <w:rsid w:val="00D37480"/>
    <w:rsid w:val="00D4779D"/>
    <w:rsid w:val="00D5266D"/>
    <w:rsid w:val="00D636A7"/>
    <w:rsid w:val="00D7711F"/>
    <w:rsid w:val="00D90123"/>
    <w:rsid w:val="00D905C9"/>
    <w:rsid w:val="00D96D80"/>
    <w:rsid w:val="00DA69C4"/>
    <w:rsid w:val="00DE7B85"/>
    <w:rsid w:val="00E20A0D"/>
    <w:rsid w:val="00E66390"/>
    <w:rsid w:val="00E90DFC"/>
    <w:rsid w:val="00E965FC"/>
    <w:rsid w:val="00ED4AA5"/>
    <w:rsid w:val="00EF58F0"/>
    <w:rsid w:val="00F25B03"/>
    <w:rsid w:val="00F4382F"/>
    <w:rsid w:val="00F43D59"/>
    <w:rsid w:val="00F9647C"/>
    <w:rsid w:val="00FA2E34"/>
    <w:rsid w:val="00FB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92A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92A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64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7C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4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7C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96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92A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92A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64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7C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4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7C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96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70FE5-2683-47D2-929D-5C966593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45</cp:revision>
  <dcterms:created xsi:type="dcterms:W3CDTF">2016-06-09T13:36:00Z</dcterms:created>
  <dcterms:modified xsi:type="dcterms:W3CDTF">2016-06-21T09:38:00Z</dcterms:modified>
</cp:coreProperties>
</file>