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4F" w:rsidRPr="00366B7A" w:rsidRDefault="004E224F" w:rsidP="004E224F">
      <w:pPr>
        <w:spacing w:line="360" w:lineRule="auto"/>
        <w:jc w:val="both"/>
        <w:rPr>
          <w:rFonts w:cs="Tahoma"/>
          <w:b/>
        </w:rPr>
      </w:pPr>
      <w:r w:rsidRPr="00366B7A">
        <w:rPr>
          <w:rFonts w:cs="Tahoma"/>
          <w:b/>
        </w:rPr>
        <w:t>IN THE LABOUR COURT OF ZIMBABWE      JUDGMENT NO. LC/H/</w:t>
      </w:r>
      <w:r w:rsidR="007E6684">
        <w:rPr>
          <w:rFonts w:cs="Tahoma"/>
          <w:b/>
        </w:rPr>
        <w:t>658</w:t>
      </w:r>
      <w:r w:rsidRPr="00366B7A">
        <w:rPr>
          <w:rFonts w:cs="Tahoma"/>
          <w:b/>
        </w:rPr>
        <w:t>/2016</w:t>
      </w:r>
    </w:p>
    <w:p w:rsidR="004E224F" w:rsidRPr="00366B7A" w:rsidRDefault="004E224F" w:rsidP="004E224F">
      <w:pPr>
        <w:spacing w:line="360" w:lineRule="auto"/>
        <w:jc w:val="both"/>
        <w:rPr>
          <w:rFonts w:cs="Tahoma"/>
          <w:b/>
        </w:rPr>
      </w:pPr>
      <w:r w:rsidRPr="00366B7A">
        <w:rPr>
          <w:rFonts w:cs="Tahoma"/>
          <w:b/>
        </w:rPr>
        <w:t xml:space="preserve">HARARE, </w:t>
      </w:r>
      <w:r>
        <w:rPr>
          <w:rFonts w:cs="Tahoma"/>
          <w:b/>
        </w:rPr>
        <w:t xml:space="preserve">21 MARCH </w:t>
      </w:r>
      <w:r w:rsidRPr="00366B7A">
        <w:rPr>
          <w:rFonts w:cs="Tahoma"/>
          <w:b/>
        </w:rPr>
        <w:t>2016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 w:rsidRPr="00366B7A">
        <w:rPr>
          <w:rFonts w:cs="Tahoma"/>
          <w:b/>
        </w:rPr>
        <w:t>CASE NO. LC/</w:t>
      </w:r>
      <w:r>
        <w:rPr>
          <w:rFonts w:cs="Tahoma"/>
          <w:b/>
        </w:rPr>
        <w:t>H/REV/123/15</w:t>
      </w:r>
    </w:p>
    <w:p w:rsidR="004E224F" w:rsidRPr="00366B7A" w:rsidRDefault="004E224F" w:rsidP="004E224F">
      <w:pPr>
        <w:spacing w:line="360" w:lineRule="auto"/>
        <w:jc w:val="both"/>
        <w:rPr>
          <w:rFonts w:cs="Tahoma"/>
          <w:b/>
        </w:rPr>
      </w:pPr>
      <w:r w:rsidRPr="00366B7A">
        <w:rPr>
          <w:rFonts w:cs="Tahoma"/>
          <w:b/>
        </w:rPr>
        <w:t xml:space="preserve">AND </w:t>
      </w:r>
      <w:r w:rsidR="007E6684">
        <w:rPr>
          <w:rFonts w:cs="Tahoma"/>
          <w:b/>
        </w:rPr>
        <w:t xml:space="preserve">21 OCTOBER </w:t>
      </w:r>
      <w:bookmarkStart w:id="0" w:name="_GoBack"/>
      <w:bookmarkEnd w:id="0"/>
      <w:r w:rsidRPr="00366B7A">
        <w:rPr>
          <w:rFonts w:cs="Tahoma"/>
          <w:b/>
        </w:rPr>
        <w:t>2016</w:t>
      </w:r>
    </w:p>
    <w:p w:rsidR="004E224F" w:rsidRPr="00366B7A" w:rsidRDefault="004E224F" w:rsidP="004E224F">
      <w:pPr>
        <w:spacing w:line="360" w:lineRule="auto"/>
        <w:jc w:val="both"/>
        <w:rPr>
          <w:rFonts w:cs="Tahoma"/>
        </w:rPr>
      </w:pPr>
      <w:r w:rsidRPr="00366B7A">
        <w:rPr>
          <w:rFonts w:cs="Tahoma"/>
        </w:rPr>
        <w:t>In the matter between:-</w:t>
      </w:r>
    </w:p>
    <w:p w:rsidR="004E224F" w:rsidRPr="00366B7A" w:rsidRDefault="004E224F" w:rsidP="004E224F">
      <w:pPr>
        <w:spacing w:line="360" w:lineRule="auto"/>
        <w:jc w:val="both"/>
        <w:rPr>
          <w:rFonts w:cs="Tahoma"/>
        </w:rPr>
      </w:pPr>
    </w:p>
    <w:p w:rsidR="004E224F" w:rsidRPr="00366B7A" w:rsidRDefault="007D05E3" w:rsidP="004E224F">
      <w:pPr>
        <w:spacing w:line="360" w:lineRule="auto"/>
        <w:jc w:val="both"/>
        <w:rPr>
          <w:rFonts w:cs="Tahoma"/>
          <w:b/>
        </w:rPr>
      </w:pPr>
      <w:r>
        <w:rPr>
          <w:rFonts w:cs="Tahoma"/>
          <w:b/>
        </w:rPr>
        <w:t>TRIBAC (PVT) LTD</w:t>
      </w:r>
      <w:r w:rsidR="00A90672">
        <w:rPr>
          <w:rFonts w:cs="Tahoma"/>
          <w:b/>
        </w:rPr>
        <w:tab/>
      </w:r>
      <w:r w:rsidR="00443B21">
        <w:rPr>
          <w:rFonts w:cs="Tahoma"/>
          <w:b/>
        </w:rPr>
        <w:tab/>
      </w:r>
      <w:r w:rsidR="00443B21">
        <w:rPr>
          <w:rFonts w:cs="Tahoma"/>
          <w:b/>
        </w:rPr>
        <w:tab/>
      </w:r>
      <w:r w:rsidR="00443B21">
        <w:rPr>
          <w:rFonts w:cs="Tahoma"/>
          <w:b/>
        </w:rPr>
        <w:tab/>
      </w:r>
      <w:r w:rsidR="00443B21">
        <w:rPr>
          <w:rFonts w:cs="Tahoma"/>
          <w:b/>
        </w:rPr>
        <w:tab/>
        <w:t>Applicant</w:t>
      </w:r>
    </w:p>
    <w:p w:rsidR="004E224F" w:rsidRPr="00366B7A" w:rsidRDefault="004E224F" w:rsidP="004E224F">
      <w:pPr>
        <w:spacing w:line="360" w:lineRule="auto"/>
        <w:jc w:val="both"/>
        <w:rPr>
          <w:rFonts w:cs="Tahoma"/>
        </w:rPr>
      </w:pPr>
      <w:r w:rsidRPr="00366B7A">
        <w:rPr>
          <w:rFonts w:cs="Tahoma"/>
        </w:rPr>
        <w:t>And</w:t>
      </w:r>
    </w:p>
    <w:p w:rsidR="004E224F" w:rsidRPr="00366B7A" w:rsidRDefault="007D05E3" w:rsidP="004E224F">
      <w:pPr>
        <w:spacing w:line="360" w:lineRule="auto"/>
        <w:jc w:val="both"/>
        <w:rPr>
          <w:rFonts w:cs="Tahoma"/>
          <w:b/>
        </w:rPr>
      </w:pPr>
      <w:r>
        <w:rPr>
          <w:rFonts w:cs="Tahoma"/>
          <w:b/>
        </w:rPr>
        <w:t>F. NYARU</w:t>
      </w:r>
      <w:r w:rsidR="00A90672">
        <w:rPr>
          <w:rFonts w:cs="Tahoma"/>
          <w:b/>
        </w:rPr>
        <w:t>CHA &amp; 3 OTHERS</w:t>
      </w:r>
      <w:r w:rsidR="004E224F" w:rsidRPr="00366B7A">
        <w:rPr>
          <w:rFonts w:cs="Tahoma"/>
          <w:b/>
        </w:rPr>
        <w:tab/>
      </w:r>
      <w:r w:rsidR="004E224F" w:rsidRPr="00366B7A">
        <w:rPr>
          <w:rFonts w:cs="Tahoma"/>
          <w:b/>
        </w:rPr>
        <w:tab/>
      </w:r>
      <w:r w:rsidR="004E224F" w:rsidRPr="00366B7A">
        <w:rPr>
          <w:rFonts w:cs="Tahoma"/>
          <w:b/>
        </w:rPr>
        <w:tab/>
      </w:r>
      <w:r w:rsidR="004E224F" w:rsidRPr="00366B7A">
        <w:rPr>
          <w:rFonts w:cs="Tahoma"/>
          <w:b/>
        </w:rPr>
        <w:tab/>
        <w:t>Respondent</w:t>
      </w:r>
      <w:r w:rsidR="00A90672">
        <w:rPr>
          <w:rFonts w:cs="Tahoma"/>
          <w:b/>
        </w:rPr>
        <w:t>s</w:t>
      </w:r>
    </w:p>
    <w:p w:rsidR="004E224F" w:rsidRPr="00366B7A" w:rsidRDefault="004E224F" w:rsidP="004E224F">
      <w:pPr>
        <w:spacing w:line="360" w:lineRule="auto"/>
        <w:jc w:val="both"/>
        <w:rPr>
          <w:rFonts w:cs="Tahoma"/>
          <w:b/>
        </w:rPr>
      </w:pPr>
    </w:p>
    <w:p w:rsidR="004E224F" w:rsidRPr="00366B7A" w:rsidRDefault="004E224F" w:rsidP="004E224F">
      <w:pPr>
        <w:spacing w:line="360" w:lineRule="auto"/>
        <w:jc w:val="both"/>
        <w:rPr>
          <w:rFonts w:cs="Tahoma"/>
        </w:rPr>
      </w:pPr>
      <w:r w:rsidRPr="00366B7A">
        <w:rPr>
          <w:rFonts w:cs="Tahoma"/>
        </w:rPr>
        <w:t>Before Honourable R.F. Manyangadze, J</w:t>
      </w:r>
    </w:p>
    <w:p w:rsidR="004E224F" w:rsidRPr="00366B7A" w:rsidRDefault="004E224F" w:rsidP="004E224F">
      <w:pPr>
        <w:spacing w:line="360" w:lineRule="auto"/>
        <w:jc w:val="both"/>
        <w:rPr>
          <w:rFonts w:cs="Tahoma"/>
        </w:rPr>
      </w:pPr>
      <w:r w:rsidRPr="00366B7A">
        <w:rPr>
          <w:rFonts w:cs="Tahoma"/>
        </w:rPr>
        <w:tab/>
      </w:r>
      <w:r w:rsidRPr="00366B7A">
        <w:rPr>
          <w:rFonts w:cs="Tahoma"/>
        </w:rPr>
        <w:tab/>
      </w:r>
      <w:r w:rsidRPr="00366B7A">
        <w:rPr>
          <w:rFonts w:cs="Tahoma"/>
        </w:rPr>
        <w:tab/>
      </w:r>
    </w:p>
    <w:p w:rsidR="004E224F" w:rsidRPr="00366B7A" w:rsidRDefault="00443B21" w:rsidP="004E224F">
      <w:pPr>
        <w:spacing w:line="360" w:lineRule="auto"/>
        <w:jc w:val="both"/>
        <w:rPr>
          <w:rFonts w:cs="Tahoma"/>
          <w:b/>
        </w:rPr>
      </w:pPr>
      <w:r>
        <w:rPr>
          <w:rFonts w:cs="Tahoma"/>
          <w:b/>
        </w:rPr>
        <w:t>For Applicant</w:t>
      </w:r>
      <w:r w:rsidR="00A90672">
        <w:rPr>
          <w:rFonts w:cs="Tahoma"/>
          <w:b/>
        </w:rPr>
        <w:tab/>
      </w:r>
      <w:r w:rsidR="00A90672">
        <w:rPr>
          <w:rFonts w:cs="Tahoma"/>
          <w:b/>
        </w:rPr>
        <w:tab/>
      </w:r>
      <w:r w:rsidR="009C3F44">
        <w:rPr>
          <w:rFonts w:cs="Tahoma"/>
          <w:b/>
        </w:rPr>
        <w:t>Ms W. Chirongoma (Legal Practitioner)</w:t>
      </w:r>
      <w:r w:rsidR="004E224F" w:rsidRPr="00366B7A">
        <w:rPr>
          <w:rFonts w:cs="Tahoma"/>
          <w:b/>
        </w:rPr>
        <w:t xml:space="preserve"> </w:t>
      </w:r>
      <w:r w:rsidR="004E224F" w:rsidRPr="00366B7A">
        <w:rPr>
          <w:rFonts w:cs="Tahoma"/>
          <w:b/>
        </w:rPr>
        <w:tab/>
      </w:r>
      <w:r w:rsidR="004E224F" w:rsidRPr="00366B7A">
        <w:rPr>
          <w:rFonts w:cs="Tahoma"/>
          <w:b/>
        </w:rPr>
        <w:tab/>
      </w:r>
    </w:p>
    <w:p w:rsidR="004E224F" w:rsidRPr="00366B7A" w:rsidRDefault="004E224F" w:rsidP="004E224F">
      <w:pPr>
        <w:pStyle w:val="NoSpacing"/>
        <w:spacing w:line="360" w:lineRule="auto"/>
        <w:jc w:val="both"/>
        <w:rPr>
          <w:rFonts w:cs="Tahoma"/>
          <w:b/>
        </w:rPr>
      </w:pPr>
      <w:r w:rsidRPr="00366B7A">
        <w:rPr>
          <w:rFonts w:cs="Tahoma"/>
          <w:b/>
        </w:rPr>
        <w:t>For Respondent</w:t>
      </w:r>
      <w:r w:rsidR="00A90672">
        <w:rPr>
          <w:rFonts w:cs="Tahoma"/>
          <w:b/>
        </w:rPr>
        <w:t>s</w:t>
      </w:r>
      <w:r w:rsidR="009C3F44">
        <w:rPr>
          <w:rFonts w:cs="Tahoma"/>
          <w:b/>
        </w:rPr>
        <w:tab/>
      </w:r>
      <w:r w:rsidR="009C3F44">
        <w:rPr>
          <w:rFonts w:cs="Tahoma"/>
          <w:b/>
        </w:rPr>
        <w:tab/>
        <w:t>Ms L. Shambamuto (Legal Practitioner)</w:t>
      </w:r>
      <w:r w:rsidRPr="00366B7A">
        <w:rPr>
          <w:rFonts w:cs="Tahoma"/>
        </w:rPr>
        <w:tab/>
      </w:r>
      <w:r w:rsidRPr="00366B7A">
        <w:rPr>
          <w:rFonts w:cs="Tahoma"/>
        </w:rPr>
        <w:tab/>
      </w:r>
    </w:p>
    <w:p w:rsidR="004E224F" w:rsidRPr="00366B7A" w:rsidRDefault="004E224F" w:rsidP="004E224F">
      <w:pPr>
        <w:pStyle w:val="NoSpacing"/>
        <w:rPr>
          <w:rFonts w:cs="Tahoma"/>
          <w:b/>
        </w:rPr>
      </w:pPr>
      <w:r w:rsidRPr="00366B7A">
        <w:rPr>
          <w:rFonts w:cs="Tahoma"/>
          <w:b/>
        </w:rPr>
        <w:tab/>
      </w:r>
      <w:r w:rsidRPr="00366B7A">
        <w:rPr>
          <w:rFonts w:cs="Tahoma"/>
          <w:b/>
        </w:rPr>
        <w:tab/>
      </w:r>
      <w:r w:rsidRPr="00366B7A">
        <w:rPr>
          <w:rFonts w:cs="Tahoma"/>
          <w:b/>
        </w:rPr>
        <w:tab/>
      </w:r>
      <w:r w:rsidRPr="00366B7A">
        <w:rPr>
          <w:rFonts w:cs="Tahoma"/>
          <w:b/>
        </w:rPr>
        <w:tab/>
      </w:r>
      <w:r w:rsidRPr="00366B7A">
        <w:rPr>
          <w:rFonts w:cs="Tahoma"/>
          <w:b/>
        </w:rPr>
        <w:tab/>
      </w:r>
    </w:p>
    <w:p w:rsidR="004E224F" w:rsidRPr="00366B7A" w:rsidRDefault="004E224F" w:rsidP="004E224F">
      <w:pPr>
        <w:pStyle w:val="NoSpacing"/>
        <w:rPr>
          <w:rFonts w:cs="Tahoma"/>
          <w:b/>
        </w:rPr>
      </w:pPr>
    </w:p>
    <w:p w:rsidR="004E224F" w:rsidRPr="00366B7A" w:rsidRDefault="004E224F" w:rsidP="004E224F">
      <w:pPr>
        <w:spacing w:line="360" w:lineRule="auto"/>
        <w:jc w:val="both"/>
        <w:rPr>
          <w:rFonts w:cs="Tahoma"/>
          <w:b/>
        </w:rPr>
      </w:pPr>
      <w:r w:rsidRPr="00366B7A">
        <w:rPr>
          <w:rFonts w:cs="Tahoma"/>
          <w:b/>
        </w:rPr>
        <w:t>MANYANGADZE, J:</w:t>
      </w:r>
    </w:p>
    <w:p w:rsidR="001C29D0" w:rsidRDefault="001C29D0" w:rsidP="00777D24">
      <w:pPr>
        <w:spacing w:line="360" w:lineRule="auto"/>
        <w:jc w:val="both"/>
      </w:pPr>
    </w:p>
    <w:p w:rsidR="00777D24" w:rsidRDefault="00777D24" w:rsidP="00777D24">
      <w:pPr>
        <w:spacing w:line="360" w:lineRule="auto"/>
        <w:jc w:val="both"/>
      </w:pPr>
      <w:r>
        <w:tab/>
      </w:r>
      <w:r w:rsidR="00D560CF">
        <w:t>This is an application for the review of a determination handed down by the National Employment Council Tobacco Industry Grievance and Dis</w:t>
      </w:r>
      <w:r w:rsidR="00E50AFF">
        <w:t>ci</w:t>
      </w:r>
      <w:r w:rsidR="00D560CF">
        <w:t>p</w:t>
      </w:r>
      <w:r w:rsidR="00E50AFF">
        <w:t>l</w:t>
      </w:r>
      <w:r w:rsidR="00D560CF">
        <w:t>inary</w:t>
      </w:r>
      <w:r w:rsidR="00E50AFF">
        <w:t xml:space="preserve"> Committee (GDC) on 29 October</w:t>
      </w:r>
      <w:r w:rsidR="00861B6E">
        <w:t xml:space="preserve"> 2015.  The determination ordered the reinstatement of the</w:t>
      </w:r>
      <w:r w:rsidR="005C653A">
        <w:t xml:space="preserve"> respondents to their employment with the applicant, or payment of damages in lieu of reinstatement</w:t>
      </w:r>
      <w:r w:rsidR="00CA2798">
        <w:t>.</w:t>
      </w:r>
    </w:p>
    <w:p w:rsidR="00CA2798" w:rsidRDefault="00CA2798" w:rsidP="00A13A10">
      <w:pPr>
        <w:jc w:val="both"/>
      </w:pPr>
    </w:p>
    <w:p w:rsidR="005000B5" w:rsidRDefault="00CA2798" w:rsidP="00777D24">
      <w:pPr>
        <w:spacing w:line="360" w:lineRule="auto"/>
        <w:jc w:val="both"/>
      </w:pPr>
      <w:r>
        <w:tab/>
        <w:t xml:space="preserve">The four respondents were employed by the applicant, a company in the tobacco industry, in various </w:t>
      </w:r>
      <w:r w:rsidR="00F94B6F">
        <w:t>capacities</w:t>
      </w:r>
      <w:r w:rsidR="00FF5B2A">
        <w:t>. Two of the resp</w:t>
      </w:r>
      <w:r w:rsidR="001102D3">
        <w:t xml:space="preserve">ondents were on permanent contracts </w:t>
      </w:r>
      <w:r w:rsidR="00E410F4">
        <w:t>of employment</w:t>
      </w:r>
      <w:r w:rsidR="00D36237">
        <w:t xml:space="preserve">, while the other </w:t>
      </w:r>
      <w:r w:rsidR="00443B21">
        <w:t>two</w:t>
      </w:r>
      <w:r w:rsidR="00D36237">
        <w:t xml:space="preserve"> were on </w:t>
      </w:r>
      <w:r w:rsidR="00443B21">
        <w:t>seasonal</w:t>
      </w:r>
      <w:r w:rsidR="00D45740">
        <w:t xml:space="preserve"> </w:t>
      </w:r>
      <w:r w:rsidR="00D36237">
        <w:t>contracts.</w:t>
      </w:r>
    </w:p>
    <w:p w:rsidR="005000B5" w:rsidRDefault="005000B5" w:rsidP="00A13A10">
      <w:pPr>
        <w:jc w:val="both"/>
      </w:pPr>
    </w:p>
    <w:p w:rsidR="005710BA" w:rsidRDefault="005000B5" w:rsidP="00777D24">
      <w:pPr>
        <w:spacing w:line="360" w:lineRule="auto"/>
        <w:jc w:val="both"/>
      </w:pPr>
      <w:r>
        <w:tab/>
        <w:t xml:space="preserve">The respondents </w:t>
      </w:r>
      <w:r w:rsidR="00D45740">
        <w:t>were arrested</w:t>
      </w:r>
      <w:r w:rsidR="00A35A7A">
        <w:t xml:space="preserve"> on allegations of defrauding small – scale tobacco growers, who were </w:t>
      </w:r>
      <w:r w:rsidR="008826ED">
        <w:t xml:space="preserve">clients of the applicant.  They </w:t>
      </w:r>
      <w:r w:rsidR="00D45740">
        <w:t>were</w:t>
      </w:r>
      <w:r w:rsidR="008826ED">
        <w:t xml:space="preserve"> released on the same day</w:t>
      </w:r>
      <w:r w:rsidR="00636F2D">
        <w:t>,</w:t>
      </w:r>
      <w:r w:rsidR="008826ED">
        <w:t xml:space="preserve"> after applicant </w:t>
      </w:r>
      <w:r w:rsidR="006644E1">
        <w:t>withdre</w:t>
      </w:r>
      <w:r w:rsidR="00636F2D">
        <w:t>w</w:t>
      </w:r>
      <w:r w:rsidR="00B96BC6">
        <w:t xml:space="preserve"> </w:t>
      </w:r>
      <w:r w:rsidR="00636F2D">
        <w:t>the</w:t>
      </w:r>
      <w:r w:rsidR="00B96BC6">
        <w:t xml:space="preserve"> criminal charges.  The following day, 4 June 2015, the respondents reported for work, and </w:t>
      </w:r>
      <w:r w:rsidR="001D1E5E">
        <w:t>tendered their resignations.  The respondents alleged that they resigned</w:t>
      </w:r>
      <w:r w:rsidR="005710BA">
        <w:t xml:space="preserve"> under duress, and such resignation </w:t>
      </w:r>
      <w:r w:rsidR="00636F2D">
        <w:t>amounted to constructive</w:t>
      </w:r>
      <w:r w:rsidR="005710BA">
        <w:t xml:space="preserve"> dismissal from employment.</w:t>
      </w:r>
    </w:p>
    <w:p w:rsidR="008D2457" w:rsidRDefault="005710BA" w:rsidP="00777D24">
      <w:pPr>
        <w:spacing w:line="360" w:lineRule="auto"/>
        <w:jc w:val="both"/>
      </w:pPr>
      <w:r>
        <w:lastRenderedPageBreak/>
        <w:tab/>
        <w:t xml:space="preserve">A Works </w:t>
      </w:r>
      <w:r w:rsidR="005F7AFA">
        <w:t>Council hearing conducted on 24 July 2015 issued a determination to the effect that the resignations were properly made</w:t>
      </w:r>
      <w:r w:rsidR="00FC643D">
        <w:t>.</w:t>
      </w:r>
      <w:r w:rsidR="00BA66EA">
        <w:t xml:space="preserve"> This prompted </w:t>
      </w:r>
      <w:r w:rsidR="002A6FED">
        <w:t>an</w:t>
      </w:r>
      <w:r w:rsidR="00BA66EA">
        <w:t xml:space="preserve"> appeal to the GDC, </w:t>
      </w:r>
      <w:r w:rsidR="002A6FED">
        <w:t>whose</w:t>
      </w:r>
      <w:r w:rsidR="00BA66EA">
        <w:t xml:space="preserve"> proceedings </w:t>
      </w:r>
      <w:r w:rsidR="00D61905">
        <w:t xml:space="preserve">are the subject of this application </w:t>
      </w:r>
      <w:r w:rsidR="008D2457">
        <w:t>for review.</w:t>
      </w:r>
    </w:p>
    <w:p w:rsidR="008D2457" w:rsidRDefault="008D2457" w:rsidP="00A13A10">
      <w:pPr>
        <w:jc w:val="both"/>
      </w:pPr>
    </w:p>
    <w:p w:rsidR="002A7FEF" w:rsidRDefault="008D2457" w:rsidP="00777D24">
      <w:pPr>
        <w:spacing w:line="360" w:lineRule="auto"/>
        <w:jc w:val="both"/>
      </w:pPr>
      <w:r>
        <w:tab/>
        <w:t>The grounds</w:t>
      </w:r>
      <w:r w:rsidR="00930DE0">
        <w:t xml:space="preserve"> for review are as follows: </w:t>
      </w:r>
    </w:p>
    <w:p w:rsidR="002A7FEF" w:rsidRDefault="002A7FEF" w:rsidP="00A13A10">
      <w:pPr>
        <w:jc w:val="both"/>
      </w:pPr>
    </w:p>
    <w:p w:rsidR="00741540" w:rsidRPr="00D817BD" w:rsidRDefault="002A7FEF" w:rsidP="00D817BD">
      <w:pPr>
        <w:spacing w:line="276" w:lineRule="auto"/>
        <w:ind w:left="1440" w:hanging="720"/>
        <w:jc w:val="both"/>
        <w:rPr>
          <w:sz w:val="22"/>
          <w:szCs w:val="22"/>
        </w:rPr>
      </w:pPr>
      <w:r w:rsidRPr="00D817BD">
        <w:rPr>
          <w:sz w:val="22"/>
          <w:szCs w:val="22"/>
        </w:rPr>
        <w:t>“1.</w:t>
      </w:r>
      <w:r w:rsidRPr="00D817BD">
        <w:rPr>
          <w:sz w:val="22"/>
          <w:szCs w:val="22"/>
        </w:rPr>
        <w:tab/>
        <w:t>Respondents noted an Appeal to the Grievance and Disciplinary Comm</w:t>
      </w:r>
      <w:r w:rsidR="00D412F6" w:rsidRPr="00D817BD">
        <w:rPr>
          <w:sz w:val="22"/>
          <w:szCs w:val="22"/>
        </w:rPr>
        <w:t>ittee of the National</w:t>
      </w:r>
      <w:r w:rsidR="00A35A7A" w:rsidRPr="00D817BD">
        <w:rPr>
          <w:sz w:val="22"/>
          <w:szCs w:val="22"/>
        </w:rPr>
        <w:t xml:space="preserve"> </w:t>
      </w:r>
      <w:r w:rsidR="00D412F6" w:rsidRPr="00D817BD">
        <w:rPr>
          <w:sz w:val="22"/>
          <w:szCs w:val="22"/>
        </w:rPr>
        <w:t>Employment</w:t>
      </w:r>
      <w:r w:rsidR="00AE79A5" w:rsidRPr="00D817BD">
        <w:rPr>
          <w:sz w:val="22"/>
          <w:szCs w:val="22"/>
        </w:rPr>
        <w:t xml:space="preserve"> Council for the Tobacco Industry out of time therefore the 5</w:t>
      </w:r>
      <w:r w:rsidR="00AE79A5" w:rsidRPr="00D817BD">
        <w:rPr>
          <w:sz w:val="22"/>
          <w:szCs w:val="22"/>
          <w:vertAlign w:val="superscript"/>
        </w:rPr>
        <w:t>th</w:t>
      </w:r>
      <w:r w:rsidR="00AE79A5" w:rsidRPr="00D817BD">
        <w:rPr>
          <w:sz w:val="22"/>
          <w:szCs w:val="22"/>
        </w:rPr>
        <w:t xml:space="preserve"> Respondent erred at law in presiding over a matter improperly </w:t>
      </w:r>
      <w:r w:rsidR="00741540" w:rsidRPr="00D817BD">
        <w:rPr>
          <w:sz w:val="22"/>
          <w:szCs w:val="22"/>
        </w:rPr>
        <w:t>before him.</w:t>
      </w:r>
    </w:p>
    <w:p w:rsidR="006A1C50" w:rsidRPr="00D817BD" w:rsidRDefault="00741540" w:rsidP="00D817BD">
      <w:pPr>
        <w:spacing w:line="276" w:lineRule="auto"/>
        <w:ind w:left="1440" w:hanging="720"/>
        <w:jc w:val="both"/>
        <w:rPr>
          <w:sz w:val="22"/>
          <w:szCs w:val="22"/>
        </w:rPr>
      </w:pPr>
      <w:r w:rsidRPr="00D817BD">
        <w:rPr>
          <w:sz w:val="22"/>
          <w:szCs w:val="22"/>
        </w:rPr>
        <w:t xml:space="preserve"> 2.</w:t>
      </w:r>
      <w:r w:rsidRPr="00D817BD">
        <w:rPr>
          <w:sz w:val="22"/>
          <w:szCs w:val="22"/>
        </w:rPr>
        <w:tab/>
        <w:t xml:space="preserve">The Appeal to the Grievance and </w:t>
      </w:r>
      <w:r w:rsidR="00AA3DB9" w:rsidRPr="00D817BD">
        <w:rPr>
          <w:sz w:val="22"/>
          <w:szCs w:val="22"/>
        </w:rPr>
        <w:t>Disciplinary</w:t>
      </w:r>
      <w:r w:rsidRPr="00D817BD">
        <w:rPr>
          <w:sz w:val="22"/>
          <w:szCs w:val="22"/>
        </w:rPr>
        <w:t xml:space="preserve"> Committee was noted by F. Nyarucha on behalf</w:t>
      </w:r>
      <w:r w:rsidR="00AA3DB9" w:rsidRPr="00D817BD">
        <w:rPr>
          <w:sz w:val="22"/>
          <w:szCs w:val="22"/>
        </w:rPr>
        <w:t xml:space="preserve"> of the three other Respondents.  This was highly irregular in that F. Nyarucha lacks the capacity to act</w:t>
      </w:r>
      <w:r w:rsidR="00046BD9" w:rsidRPr="00D817BD">
        <w:rPr>
          <w:sz w:val="22"/>
          <w:szCs w:val="22"/>
        </w:rPr>
        <w:t xml:space="preserve"> on behalf of the other Respondents.  Therefore the three other Respondents being Elia</w:t>
      </w:r>
      <w:r w:rsidR="00F2742D" w:rsidRPr="00D817BD">
        <w:rPr>
          <w:sz w:val="22"/>
          <w:szCs w:val="22"/>
        </w:rPr>
        <w:t xml:space="preserve"> Mpakula, Trinity Dzapasi and Thomas Zacharia were </w:t>
      </w:r>
      <w:r w:rsidR="009D30E3" w:rsidRPr="00D817BD">
        <w:rPr>
          <w:sz w:val="22"/>
          <w:szCs w:val="22"/>
        </w:rPr>
        <w:t xml:space="preserve">not properly before the Grievance and Disciplinary Committee.  The </w:t>
      </w:r>
      <w:r w:rsidR="00435A02" w:rsidRPr="00D817BD">
        <w:rPr>
          <w:sz w:val="22"/>
          <w:szCs w:val="22"/>
        </w:rPr>
        <w:t>award</w:t>
      </w:r>
      <w:r w:rsidR="009D30E3" w:rsidRPr="00D817BD">
        <w:rPr>
          <w:sz w:val="22"/>
          <w:szCs w:val="22"/>
        </w:rPr>
        <w:t xml:space="preserve"> in respect of 2</w:t>
      </w:r>
      <w:r w:rsidR="009D30E3" w:rsidRPr="00D817BD">
        <w:rPr>
          <w:sz w:val="22"/>
          <w:szCs w:val="22"/>
          <w:vertAlign w:val="superscript"/>
        </w:rPr>
        <w:t>nd</w:t>
      </w:r>
      <w:r w:rsidR="009D30E3" w:rsidRPr="00D817BD">
        <w:rPr>
          <w:sz w:val="22"/>
          <w:szCs w:val="22"/>
        </w:rPr>
        <w:t xml:space="preserve"> to 3</w:t>
      </w:r>
      <w:r w:rsidR="009D30E3" w:rsidRPr="00D817BD">
        <w:rPr>
          <w:sz w:val="22"/>
          <w:szCs w:val="22"/>
          <w:vertAlign w:val="superscript"/>
        </w:rPr>
        <w:t>rd</w:t>
      </w:r>
      <w:r w:rsidR="009D30E3" w:rsidRPr="00D817BD">
        <w:rPr>
          <w:sz w:val="22"/>
          <w:szCs w:val="22"/>
        </w:rPr>
        <w:t xml:space="preserve"> Respondents is a nullity at law.</w:t>
      </w:r>
    </w:p>
    <w:p w:rsidR="00FF176C" w:rsidRPr="00D817BD" w:rsidRDefault="006A1C50" w:rsidP="00D817BD">
      <w:pPr>
        <w:spacing w:line="276" w:lineRule="auto"/>
        <w:ind w:left="1440" w:hanging="720"/>
        <w:jc w:val="both"/>
        <w:rPr>
          <w:sz w:val="22"/>
          <w:szCs w:val="22"/>
        </w:rPr>
      </w:pPr>
      <w:r w:rsidRPr="00D817BD">
        <w:rPr>
          <w:sz w:val="22"/>
          <w:szCs w:val="22"/>
        </w:rPr>
        <w:t xml:space="preserve"> 3.</w:t>
      </w:r>
      <w:r w:rsidRPr="00D817BD">
        <w:rPr>
          <w:sz w:val="22"/>
          <w:szCs w:val="22"/>
        </w:rPr>
        <w:tab/>
      </w:r>
      <w:r w:rsidR="0032607B" w:rsidRPr="00D817BD">
        <w:rPr>
          <w:sz w:val="22"/>
          <w:szCs w:val="22"/>
        </w:rPr>
        <w:t xml:space="preserve">It was incompetent for the Grievance and Disciplinary </w:t>
      </w:r>
      <w:r w:rsidR="001139CC" w:rsidRPr="00D817BD">
        <w:rPr>
          <w:sz w:val="22"/>
          <w:szCs w:val="22"/>
        </w:rPr>
        <w:t>Committee</w:t>
      </w:r>
      <w:r w:rsidR="0032607B" w:rsidRPr="00D817BD">
        <w:rPr>
          <w:sz w:val="22"/>
          <w:szCs w:val="22"/>
        </w:rPr>
        <w:t xml:space="preserve"> to </w:t>
      </w:r>
      <w:r w:rsidR="001139CC" w:rsidRPr="00D817BD">
        <w:rPr>
          <w:sz w:val="22"/>
          <w:szCs w:val="22"/>
        </w:rPr>
        <w:t>hear and determine the matter as an appeal in light of the fa</w:t>
      </w:r>
      <w:r w:rsidR="002A6FED">
        <w:rPr>
          <w:sz w:val="22"/>
          <w:szCs w:val="22"/>
        </w:rPr>
        <w:t>c</w:t>
      </w:r>
      <w:r w:rsidR="001139CC" w:rsidRPr="00D817BD">
        <w:rPr>
          <w:sz w:val="22"/>
          <w:szCs w:val="22"/>
        </w:rPr>
        <w:t>t that there never</w:t>
      </w:r>
      <w:r w:rsidR="00746FE5" w:rsidRPr="00D817BD">
        <w:rPr>
          <w:sz w:val="22"/>
          <w:szCs w:val="22"/>
        </w:rPr>
        <w:t xml:space="preserve"> was a determination by the employer to dismiss.  </w:t>
      </w:r>
      <w:r w:rsidR="00A65938" w:rsidRPr="00D817BD">
        <w:rPr>
          <w:sz w:val="22"/>
          <w:szCs w:val="22"/>
        </w:rPr>
        <w:t>There was no sound legal foundation</w:t>
      </w:r>
      <w:r w:rsidR="00B54DA7" w:rsidRPr="00D817BD">
        <w:rPr>
          <w:sz w:val="22"/>
          <w:szCs w:val="22"/>
        </w:rPr>
        <w:t xml:space="preserve"> for noting an appeal. One cannot appeal against termination of employment</w:t>
      </w:r>
      <w:r w:rsidR="00A76EC5" w:rsidRPr="00D817BD">
        <w:rPr>
          <w:sz w:val="22"/>
          <w:szCs w:val="22"/>
        </w:rPr>
        <w:t xml:space="preserve"> at his instance,.  In the matter at hand 1</w:t>
      </w:r>
      <w:r w:rsidR="00A76EC5" w:rsidRPr="00D817BD">
        <w:rPr>
          <w:sz w:val="22"/>
          <w:szCs w:val="22"/>
          <w:vertAlign w:val="superscript"/>
        </w:rPr>
        <w:t>st</w:t>
      </w:r>
      <w:r w:rsidR="00A76EC5" w:rsidRPr="00D817BD">
        <w:rPr>
          <w:sz w:val="22"/>
          <w:szCs w:val="22"/>
        </w:rPr>
        <w:t xml:space="preserve"> to 4</w:t>
      </w:r>
      <w:r w:rsidR="00A76EC5" w:rsidRPr="00D817BD">
        <w:rPr>
          <w:sz w:val="22"/>
          <w:szCs w:val="22"/>
          <w:vertAlign w:val="superscript"/>
        </w:rPr>
        <w:t>th</w:t>
      </w:r>
      <w:r w:rsidR="00A76EC5" w:rsidRPr="00D817BD">
        <w:rPr>
          <w:sz w:val="22"/>
          <w:szCs w:val="22"/>
        </w:rPr>
        <w:t xml:space="preserve"> Respondents appealed against termination of employment at their instance.</w:t>
      </w:r>
    </w:p>
    <w:p w:rsidR="00DC3B9E" w:rsidRPr="00D817BD" w:rsidRDefault="00FF176C" w:rsidP="00D817BD">
      <w:pPr>
        <w:spacing w:line="276" w:lineRule="auto"/>
        <w:ind w:left="1440" w:hanging="720"/>
        <w:jc w:val="both"/>
        <w:rPr>
          <w:sz w:val="22"/>
          <w:szCs w:val="22"/>
        </w:rPr>
      </w:pPr>
      <w:r w:rsidRPr="00D817BD">
        <w:rPr>
          <w:sz w:val="22"/>
          <w:szCs w:val="22"/>
        </w:rPr>
        <w:t xml:space="preserve"> 4.</w:t>
      </w:r>
      <w:r w:rsidRPr="00D817BD">
        <w:rPr>
          <w:sz w:val="22"/>
          <w:szCs w:val="22"/>
        </w:rPr>
        <w:tab/>
        <w:t>The G</w:t>
      </w:r>
      <w:r w:rsidR="00E8209D" w:rsidRPr="00D817BD">
        <w:rPr>
          <w:sz w:val="22"/>
          <w:szCs w:val="22"/>
        </w:rPr>
        <w:t>rievance and Disciplinary Committee on the 29</w:t>
      </w:r>
      <w:r w:rsidR="00E8209D" w:rsidRPr="00D817BD">
        <w:rPr>
          <w:sz w:val="22"/>
          <w:szCs w:val="22"/>
          <w:vertAlign w:val="superscript"/>
        </w:rPr>
        <w:t>th</w:t>
      </w:r>
      <w:r w:rsidR="00E8209D" w:rsidRPr="00D817BD">
        <w:rPr>
          <w:sz w:val="22"/>
          <w:szCs w:val="22"/>
        </w:rPr>
        <w:t xml:space="preserve"> of October 2015 served Applicant with yet another determination described as</w:t>
      </w:r>
      <w:r w:rsidR="00FF2A06" w:rsidRPr="00D817BD">
        <w:rPr>
          <w:sz w:val="22"/>
          <w:szCs w:val="22"/>
        </w:rPr>
        <w:t xml:space="preserve"> “replacement”. This document had the effect of amending the operative part of the determination of the 12</w:t>
      </w:r>
      <w:r w:rsidR="00FF2A06" w:rsidRPr="00D817BD">
        <w:rPr>
          <w:sz w:val="22"/>
          <w:szCs w:val="22"/>
          <w:vertAlign w:val="superscript"/>
        </w:rPr>
        <w:t>th</w:t>
      </w:r>
      <w:r w:rsidR="00FF2A06" w:rsidRPr="00D817BD">
        <w:rPr>
          <w:sz w:val="22"/>
          <w:szCs w:val="22"/>
        </w:rPr>
        <w:t xml:space="preserve"> of October 2015. It does not state at whose instance the correction was made.  The error did not appear ex-facie the</w:t>
      </w:r>
      <w:r w:rsidR="00DC3B9E" w:rsidRPr="00D817BD">
        <w:rPr>
          <w:sz w:val="22"/>
          <w:szCs w:val="22"/>
        </w:rPr>
        <w:t xml:space="preserve"> first determination.</w:t>
      </w:r>
    </w:p>
    <w:p w:rsidR="00E7764E" w:rsidRPr="00D817BD" w:rsidRDefault="00DC3B9E" w:rsidP="00D817BD">
      <w:pPr>
        <w:spacing w:line="276" w:lineRule="auto"/>
        <w:ind w:left="1440" w:hanging="720"/>
        <w:jc w:val="both"/>
        <w:rPr>
          <w:sz w:val="22"/>
          <w:szCs w:val="22"/>
        </w:rPr>
      </w:pPr>
      <w:r w:rsidRPr="00D817BD">
        <w:rPr>
          <w:sz w:val="22"/>
          <w:szCs w:val="22"/>
        </w:rPr>
        <w:t xml:space="preserve"> 5.</w:t>
      </w:r>
      <w:r w:rsidRPr="00D817BD">
        <w:rPr>
          <w:sz w:val="22"/>
          <w:szCs w:val="22"/>
        </w:rPr>
        <w:tab/>
        <w:t xml:space="preserve">The correction of the determination is to the detriment of Applicant as it was never accorded an opportunity to make submissions before the determination of </w:t>
      </w:r>
      <w:r w:rsidR="00E7764E" w:rsidRPr="00D817BD">
        <w:rPr>
          <w:sz w:val="22"/>
          <w:szCs w:val="22"/>
        </w:rPr>
        <w:t>the 29</w:t>
      </w:r>
      <w:r w:rsidR="00E7764E" w:rsidRPr="00D817BD">
        <w:rPr>
          <w:sz w:val="22"/>
          <w:szCs w:val="22"/>
          <w:vertAlign w:val="superscript"/>
        </w:rPr>
        <w:t>th</w:t>
      </w:r>
      <w:r w:rsidR="00E7764E" w:rsidRPr="00D817BD">
        <w:rPr>
          <w:sz w:val="22"/>
          <w:szCs w:val="22"/>
        </w:rPr>
        <w:t xml:space="preserve"> of October 2015 was made in respect of clauses 2 and 3 thereof.</w:t>
      </w:r>
    </w:p>
    <w:p w:rsidR="00095A5F" w:rsidRPr="00D817BD" w:rsidRDefault="00E7764E" w:rsidP="00D817BD">
      <w:pPr>
        <w:spacing w:line="276" w:lineRule="auto"/>
        <w:ind w:left="1440" w:hanging="720"/>
        <w:jc w:val="both"/>
        <w:rPr>
          <w:sz w:val="22"/>
          <w:szCs w:val="22"/>
        </w:rPr>
      </w:pPr>
      <w:r w:rsidRPr="00D817BD">
        <w:rPr>
          <w:sz w:val="22"/>
          <w:szCs w:val="22"/>
        </w:rPr>
        <w:t xml:space="preserve"> 6.</w:t>
      </w:r>
      <w:r w:rsidRPr="00D817BD">
        <w:rPr>
          <w:sz w:val="22"/>
          <w:szCs w:val="22"/>
        </w:rPr>
        <w:tab/>
      </w:r>
      <w:r w:rsidR="002F2CDA" w:rsidRPr="00D817BD">
        <w:rPr>
          <w:sz w:val="22"/>
          <w:szCs w:val="22"/>
        </w:rPr>
        <w:t>The correction has the effect of altering the substance of the determination of the 12</w:t>
      </w:r>
      <w:r w:rsidR="002F2CDA" w:rsidRPr="00D817BD">
        <w:rPr>
          <w:sz w:val="22"/>
          <w:szCs w:val="22"/>
          <w:vertAlign w:val="superscript"/>
        </w:rPr>
        <w:t>th</w:t>
      </w:r>
      <w:r w:rsidR="002F2CDA" w:rsidRPr="00D817BD">
        <w:rPr>
          <w:sz w:val="22"/>
          <w:szCs w:val="22"/>
        </w:rPr>
        <w:t xml:space="preserve"> of October 2015 as it introduced the issue of quant</w:t>
      </w:r>
      <w:r w:rsidR="005A1421" w:rsidRPr="00D817BD">
        <w:rPr>
          <w:sz w:val="22"/>
          <w:szCs w:val="22"/>
        </w:rPr>
        <w:t>ification of damages in lieu of reinstatement in respect of 1</w:t>
      </w:r>
      <w:r w:rsidR="005A1421" w:rsidRPr="00D817BD">
        <w:rPr>
          <w:sz w:val="22"/>
          <w:szCs w:val="22"/>
          <w:vertAlign w:val="superscript"/>
        </w:rPr>
        <w:t>st</w:t>
      </w:r>
      <w:r w:rsidR="005A1421" w:rsidRPr="00D817BD">
        <w:rPr>
          <w:sz w:val="22"/>
          <w:szCs w:val="22"/>
        </w:rPr>
        <w:t xml:space="preserve"> and 2</w:t>
      </w:r>
      <w:r w:rsidR="005A1421" w:rsidRPr="00D817BD">
        <w:rPr>
          <w:sz w:val="22"/>
          <w:szCs w:val="22"/>
          <w:vertAlign w:val="superscript"/>
        </w:rPr>
        <w:t>nd</w:t>
      </w:r>
      <w:r w:rsidR="005A1421" w:rsidRPr="00D817BD">
        <w:rPr>
          <w:sz w:val="22"/>
          <w:szCs w:val="22"/>
        </w:rPr>
        <w:t xml:space="preserve"> Respondent</w:t>
      </w:r>
      <w:r w:rsidR="00095A5F" w:rsidRPr="00D817BD">
        <w:rPr>
          <w:sz w:val="22"/>
          <w:szCs w:val="22"/>
        </w:rPr>
        <w:t>.</w:t>
      </w:r>
    </w:p>
    <w:p w:rsidR="00CA2798" w:rsidRPr="00D817BD" w:rsidRDefault="00095A5F" w:rsidP="00D817BD">
      <w:pPr>
        <w:spacing w:line="276" w:lineRule="auto"/>
        <w:ind w:left="1440" w:hanging="720"/>
        <w:jc w:val="both"/>
        <w:rPr>
          <w:sz w:val="22"/>
          <w:szCs w:val="22"/>
        </w:rPr>
      </w:pPr>
      <w:r w:rsidRPr="00D817BD">
        <w:rPr>
          <w:sz w:val="22"/>
          <w:szCs w:val="22"/>
        </w:rPr>
        <w:t xml:space="preserve"> 7.</w:t>
      </w:r>
      <w:r w:rsidRPr="00D817BD">
        <w:rPr>
          <w:sz w:val="22"/>
          <w:szCs w:val="22"/>
        </w:rPr>
        <w:tab/>
        <w:t>Applicant has a reasonable apprehens</w:t>
      </w:r>
      <w:r w:rsidR="009E5E84" w:rsidRPr="00D817BD">
        <w:rPr>
          <w:sz w:val="22"/>
          <w:szCs w:val="22"/>
        </w:rPr>
        <w:t>i</w:t>
      </w:r>
      <w:r w:rsidRPr="00D817BD">
        <w:rPr>
          <w:sz w:val="22"/>
          <w:szCs w:val="22"/>
        </w:rPr>
        <w:t>o</w:t>
      </w:r>
      <w:r w:rsidR="009E5E84" w:rsidRPr="00D817BD">
        <w:rPr>
          <w:sz w:val="22"/>
          <w:szCs w:val="22"/>
        </w:rPr>
        <w:t>n</w:t>
      </w:r>
      <w:r w:rsidRPr="00D817BD">
        <w:rPr>
          <w:sz w:val="22"/>
          <w:szCs w:val="22"/>
        </w:rPr>
        <w:t xml:space="preserve"> of bi</w:t>
      </w:r>
      <w:r w:rsidR="009E5E84" w:rsidRPr="00D817BD">
        <w:rPr>
          <w:sz w:val="22"/>
          <w:szCs w:val="22"/>
        </w:rPr>
        <w:t>as arising from the fact that after the Grievance and Disciplinary Committee had issued a determination and had</w:t>
      </w:r>
      <w:r w:rsidR="001B6566" w:rsidRPr="00D817BD">
        <w:rPr>
          <w:sz w:val="22"/>
          <w:szCs w:val="22"/>
        </w:rPr>
        <w:t xml:space="preserve"> become functus officio.  The 5</w:t>
      </w:r>
      <w:r w:rsidR="001B6566" w:rsidRPr="00D817BD">
        <w:rPr>
          <w:sz w:val="22"/>
          <w:szCs w:val="22"/>
          <w:vertAlign w:val="superscript"/>
        </w:rPr>
        <w:t>th</w:t>
      </w:r>
      <w:r w:rsidR="001B6566" w:rsidRPr="00D817BD">
        <w:rPr>
          <w:sz w:val="22"/>
          <w:szCs w:val="22"/>
        </w:rPr>
        <w:t xml:space="preserve"> R</w:t>
      </w:r>
      <w:r w:rsidR="00D32B95" w:rsidRPr="00D817BD">
        <w:rPr>
          <w:sz w:val="22"/>
          <w:szCs w:val="22"/>
        </w:rPr>
        <w:t>e</w:t>
      </w:r>
      <w:r w:rsidR="001B6566" w:rsidRPr="00D817BD">
        <w:rPr>
          <w:sz w:val="22"/>
          <w:szCs w:val="22"/>
        </w:rPr>
        <w:t>spondent</w:t>
      </w:r>
      <w:r w:rsidR="00087573" w:rsidRPr="00D817BD">
        <w:rPr>
          <w:sz w:val="22"/>
          <w:szCs w:val="22"/>
        </w:rPr>
        <w:t xml:space="preserve"> in his capacity as Chairman of the Grievance and Disciplinary Committee wrote to Applicant advising it that 1</w:t>
      </w:r>
      <w:r w:rsidR="00087573" w:rsidRPr="00D817BD">
        <w:rPr>
          <w:sz w:val="22"/>
          <w:szCs w:val="22"/>
          <w:vertAlign w:val="superscript"/>
        </w:rPr>
        <w:t>st</w:t>
      </w:r>
      <w:r w:rsidR="00087573" w:rsidRPr="00D817BD">
        <w:rPr>
          <w:sz w:val="22"/>
          <w:szCs w:val="22"/>
        </w:rPr>
        <w:t xml:space="preserve"> Respondent</w:t>
      </w:r>
      <w:r w:rsidR="0058260D" w:rsidRPr="00D817BD">
        <w:rPr>
          <w:sz w:val="22"/>
          <w:szCs w:val="22"/>
        </w:rPr>
        <w:t xml:space="preserve"> was ready and willing to resume duty.  This demonstrates </w:t>
      </w:r>
      <w:r w:rsidR="007370AB" w:rsidRPr="00D817BD">
        <w:rPr>
          <w:sz w:val="22"/>
          <w:szCs w:val="22"/>
        </w:rPr>
        <w:t>that the Grievance and Disciplinary Committee had not been impartial when it determined the matter.</w:t>
      </w:r>
      <w:r w:rsidR="00B0594D" w:rsidRPr="00D817BD">
        <w:rPr>
          <w:sz w:val="22"/>
          <w:szCs w:val="22"/>
        </w:rPr>
        <w:t>”</w:t>
      </w:r>
    </w:p>
    <w:p w:rsidR="00B0594D" w:rsidRDefault="00B0594D" w:rsidP="00B0594D">
      <w:pPr>
        <w:spacing w:line="360" w:lineRule="auto"/>
        <w:jc w:val="both"/>
      </w:pPr>
    </w:p>
    <w:p w:rsidR="00A92EF2" w:rsidRDefault="00A92EF2" w:rsidP="00124811">
      <w:pPr>
        <w:spacing w:line="360" w:lineRule="auto"/>
        <w:ind w:firstLine="720"/>
        <w:jc w:val="both"/>
      </w:pPr>
      <w:r>
        <w:lastRenderedPageBreak/>
        <w:t xml:space="preserve">The respondents raised a point </w:t>
      </w:r>
      <w:r w:rsidRPr="00941373">
        <w:rPr>
          <w:i/>
        </w:rPr>
        <w:t>in limine</w:t>
      </w:r>
      <w:r>
        <w:t xml:space="preserve"> to the effect</w:t>
      </w:r>
      <w:r w:rsidR="00956FAD">
        <w:t xml:space="preserve"> that </w:t>
      </w:r>
      <w:r w:rsidR="00B77545">
        <w:t>the</w:t>
      </w:r>
      <w:r w:rsidR="00941373">
        <w:t xml:space="preserve"> applicant should have cited the GDC as the 5</w:t>
      </w:r>
      <w:r w:rsidR="00941373" w:rsidRPr="00941373">
        <w:rPr>
          <w:vertAlign w:val="superscript"/>
        </w:rPr>
        <w:t>th</w:t>
      </w:r>
      <w:r w:rsidR="00941373">
        <w:t xml:space="preserve"> </w:t>
      </w:r>
      <w:r w:rsidR="004315F5">
        <w:t xml:space="preserve">respondent.  They averred that failure to do so </w:t>
      </w:r>
      <w:proofErr w:type="gramStart"/>
      <w:r w:rsidR="00A85490">
        <w:t>constitute</w:t>
      </w:r>
      <w:r w:rsidR="00506C0D">
        <w:t>d</w:t>
      </w:r>
      <w:proofErr w:type="gramEnd"/>
      <w:r w:rsidR="004315F5">
        <w:t xml:space="preserve"> a fatal irregularity</w:t>
      </w:r>
      <w:r w:rsidR="0006258D">
        <w:t>, which warrant</w:t>
      </w:r>
      <w:r w:rsidR="003870BA">
        <w:t>s</w:t>
      </w:r>
      <w:r w:rsidR="0006258D">
        <w:t xml:space="preserve"> dismissal of the application for review.</w:t>
      </w:r>
    </w:p>
    <w:p w:rsidR="00124811" w:rsidRDefault="00124811" w:rsidP="00A13A10">
      <w:pPr>
        <w:ind w:firstLine="720"/>
        <w:jc w:val="both"/>
      </w:pPr>
    </w:p>
    <w:p w:rsidR="00124811" w:rsidRDefault="00124811" w:rsidP="00124811">
      <w:pPr>
        <w:spacing w:line="360" w:lineRule="auto"/>
        <w:ind w:firstLine="720"/>
        <w:jc w:val="both"/>
      </w:pPr>
      <w:r>
        <w:t xml:space="preserve">The applicant, in response to the preliminary </w:t>
      </w:r>
      <w:r w:rsidR="003870BA">
        <w:t>po</w:t>
      </w:r>
      <w:r w:rsidR="00D01251">
        <w:t xml:space="preserve">int, submitted </w:t>
      </w:r>
      <w:r w:rsidR="006D72F1">
        <w:t xml:space="preserve">that </w:t>
      </w:r>
      <w:r w:rsidR="005817C0">
        <w:t xml:space="preserve">the non-citation of the GDC cannot </w:t>
      </w:r>
      <w:r w:rsidR="003870BA">
        <w:t>vitiate</w:t>
      </w:r>
      <w:r w:rsidR="005817C0">
        <w:t xml:space="preserve"> its application.  The applicant</w:t>
      </w:r>
      <w:r w:rsidR="00A902C9">
        <w:t xml:space="preserve"> referr</w:t>
      </w:r>
      <w:r w:rsidR="00C13CE0">
        <w:t xml:space="preserve">ed to rule 87 </w:t>
      </w:r>
      <w:r w:rsidR="00FF731B">
        <w:t>of the H</w:t>
      </w:r>
      <w:r w:rsidR="003D2BDC">
        <w:t xml:space="preserve">igh </w:t>
      </w:r>
      <w:r w:rsidR="00A85490">
        <w:t>Court Rules</w:t>
      </w:r>
      <w:r w:rsidR="002F2050">
        <w:t>, which reads:</w:t>
      </w:r>
    </w:p>
    <w:p w:rsidR="002F2050" w:rsidRDefault="002F2050" w:rsidP="00A13A10">
      <w:pPr>
        <w:ind w:firstLine="720"/>
        <w:jc w:val="both"/>
      </w:pPr>
    </w:p>
    <w:p w:rsidR="002F2050" w:rsidRPr="00E73DF8" w:rsidRDefault="002F2050" w:rsidP="00E73DF8">
      <w:pPr>
        <w:spacing w:line="276" w:lineRule="auto"/>
        <w:ind w:left="720"/>
        <w:jc w:val="both"/>
        <w:rPr>
          <w:sz w:val="22"/>
          <w:szCs w:val="22"/>
        </w:rPr>
      </w:pPr>
      <w:r w:rsidRPr="00E73DF8">
        <w:rPr>
          <w:sz w:val="22"/>
          <w:szCs w:val="22"/>
        </w:rPr>
        <w:t>“87</w:t>
      </w:r>
      <w:r w:rsidR="00455D4C" w:rsidRPr="00E73DF8">
        <w:rPr>
          <w:sz w:val="22"/>
          <w:szCs w:val="22"/>
        </w:rPr>
        <w:t xml:space="preserve"> (1) No cause or matter shall be defeated by reason of the misjoinder or non-joinder of any party and the court may in any cause or matter det</w:t>
      </w:r>
      <w:r w:rsidR="00443985" w:rsidRPr="00E73DF8">
        <w:rPr>
          <w:sz w:val="22"/>
          <w:szCs w:val="22"/>
        </w:rPr>
        <w:t>ermine the issues or questions in dispute so far as they affect the rights and interests of the persons who are parties to the cause or matter.”</w:t>
      </w:r>
    </w:p>
    <w:p w:rsidR="00E73DF8" w:rsidRDefault="00E73DF8" w:rsidP="00A13A10">
      <w:pPr>
        <w:ind w:firstLine="720"/>
        <w:jc w:val="both"/>
      </w:pPr>
    </w:p>
    <w:p w:rsidR="00E73DF8" w:rsidRDefault="00E73DF8" w:rsidP="00124811">
      <w:pPr>
        <w:spacing w:line="360" w:lineRule="auto"/>
        <w:ind w:firstLine="720"/>
        <w:jc w:val="both"/>
      </w:pPr>
      <w:r>
        <w:t>The applicant reasoned that the Labour Court exercises the same powers</w:t>
      </w:r>
      <w:r w:rsidR="00981CA9">
        <w:t xml:space="preserve"> of review as the High Court, and would be simila</w:t>
      </w:r>
      <w:r w:rsidR="001A65D0">
        <w:t>rly guided by this provision.</w:t>
      </w:r>
    </w:p>
    <w:p w:rsidR="001A65D0" w:rsidRDefault="001A65D0" w:rsidP="00BC0528">
      <w:pPr>
        <w:ind w:firstLine="720"/>
        <w:jc w:val="both"/>
      </w:pPr>
    </w:p>
    <w:p w:rsidR="001A65D0" w:rsidRDefault="001A65D0" w:rsidP="00124811">
      <w:pPr>
        <w:spacing w:line="360" w:lineRule="auto"/>
        <w:ind w:firstLine="720"/>
        <w:jc w:val="both"/>
      </w:pPr>
      <w:r>
        <w:t xml:space="preserve">Applicant further </w:t>
      </w:r>
      <w:r w:rsidR="00DE11C5">
        <w:t>contended that it was improper to join</w:t>
      </w:r>
      <w:r w:rsidR="007E23F6">
        <w:t xml:space="preserve"> the GDC, whose role was that of a </w:t>
      </w:r>
      <w:r w:rsidR="00FF3A1F">
        <w:t>disinterested</w:t>
      </w:r>
      <w:r w:rsidR="007E23F6">
        <w:t xml:space="preserve"> adjudi</w:t>
      </w:r>
      <w:r w:rsidR="00D14863">
        <w:t xml:space="preserve">cator.  This is reflected in paragraph 2.8 of the </w:t>
      </w:r>
      <w:r w:rsidR="00584437">
        <w:t xml:space="preserve">applicant’s heads of argument, which states: </w:t>
      </w:r>
    </w:p>
    <w:p w:rsidR="00584437" w:rsidRDefault="00584437" w:rsidP="002B4473">
      <w:pPr>
        <w:ind w:firstLine="720"/>
        <w:jc w:val="both"/>
      </w:pPr>
    </w:p>
    <w:p w:rsidR="00584437" w:rsidRPr="002B4473" w:rsidRDefault="00584437" w:rsidP="002B4473">
      <w:pPr>
        <w:spacing w:line="276" w:lineRule="auto"/>
        <w:ind w:left="720"/>
        <w:jc w:val="both"/>
        <w:rPr>
          <w:sz w:val="22"/>
          <w:szCs w:val="22"/>
        </w:rPr>
      </w:pPr>
      <w:r w:rsidRPr="002B4473">
        <w:rPr>
          <w:sz w:val="22"/>
          <w:szCs w:val="22"/>
        </w:rPr>
        <w:t>“</w:t>
      </w:r>
      <w:r w:rsidR="003C3AE4" w:rsidRPr="002B4473">
        <w:rPr>
          <w:sz w:val="22"/>
          <w:szCs w:val="22"/>
        </w:rPr>
        <w:t xml:space="preserve">The role of the Grievance and </w:t>
      </w:r>
      <w:r w:rsidR="00F7755B" w:rsidRPr="002B4473">
        <w:rPr>
          <w:sz w:val="22"/>
          <w:szCs w:val="22"/>
        </w:rPr>
        <w:t>Disciplinary Committee is to act as umpire to the dispute between the parties.  This is due to the fact that the Committee is an impartial body that should not align</w:t>
      </w:r>
      <w:r w:rsidR="00496B08" w:rsidRPr="002B4473">
        <w:rPr>
          <w:sz w:val="22"/>
          <w:szCs w:val="22"/>
        </w:rPr>
        <w:t xml:space="preserve"> itself to any of the parties it cannot harbor any interest neither can it be prejudiced by the outcome of these proceedings.  See </w:t>
      </w:r>
      <w:r w:rsidR="00496B08" w:rsidRPr="002B4473">
        <w:rPr>
          <w:i/>
          <w:sz w:val="22"/>
          <w:szCs w:val="22"/>
        </w:rPr>
        <w:t>Morgan and Another</w:t>
      </w:r>
      <w:r w:rsidR="00496B08" w:rsidRPr="002B4473">
        <w:rPr>
          <w:sz w:val="22"/>
          <w:szCs w:val="22"/>
        </w:rPr>
        <w:t xml:space="preserve"> v </w:t>
      </w:r>
      <w:r w:rsidR="00496B08" w:rsidRPr="002B4473">
        <w:rPr>
          <w:i/>
          <w:sz w:val="22"/>
          <w:szCs w:val="22"/>
        </w:rPr>
        <w:t>Sa</w:t>
      </w:r>
      <w:r w:rsidR="0061498D" w:rsidRPr="002B4473">
        <w:rPr>
          <w:i/>
          <w:sz w:val="22"/>
          <w:szCs w:val="22"/>
        </w:rPr>
        <w:t>l</w:t>
      </w:r>
      <w:r w:rsidR="00496B08" w:rsidRPr="002B4473">
        <w:rPr>
          <w:i/>
          <w:sz w:val="22"/>
          <w:szCs w:val="22"/>
        </w:rPr>
        <w:t>isbury Municipality</w:t>
      </w:r>
      <w:r w:rsidR="00496B08" w:rsidRPr="002B4473">
        <w:rPr>
          <w:sz w:val="22"/>
          <w:szCs w:val="22"/>
        </w:rPr>
        <w:t xml:space="preserve"> 1935 AD 167.”</w:t>
      </w:r>
    </w:p>
    <w:p w:rsidR="00E01F71" w:rsidRDefault="00E01F71" w:rsidP="002B4473">
      <w:pPr>
        <w:ind w:firstLine="720"/>
        <w:jc w:val="both"/>
      </w:pPr>
    </w:p>
    <w:p w:rsidR="00E01F71" w:rsidRDefault="008264A9" w:rsidP="00124811">
      <w:pPr>
        <w:spacing w:line="360" w:lineRule="auto"/>
        <w:ind w:firstLine="720"/>
        <w:jc w:val="both"/>
      </w:pPr>
      <w:r>
        <w:t>I am in</w:t>
      </w:r>
      <w:r w:rsidR="00E01F71">
        <w:t xml:space="preserve">clined to accept the </w:t>
      </w:r>
      <w:r w:rsidR="008175D0">
        <w:t xml:space="preserve">position </w:t>
      </w:r>
      <w:r w:rsidR="00E337AB">
        <w:t>argued</w:t>
      </w:r>
      <w:r w:rsidR="00997B0B">
        <w:t xml:space="preserve"> by</w:t>
      </w:r>
      <w:r w:rsidR="008175D0">
        <w:t xml:space="preserve"> the applicant.  The GDC considered the matter </w:t>
      </w:r>
      <w:r w:rsidR="008175D0" w:rsidRPr="00997B0B">
        <w:rPr>
          <w:i/>
        </w:rPr>
        <w:t>in casu</w:t>
      </w:r>
      <w:r w:rsidR="008175D0">
        <w:t xml:space="preserve"> as a quasi – judicial body.  It </w:t>
      </w:r>
      <w:r w:rsidR="00274754">
        <w:t xml:space="preserve">made a judicial decision, and held judicial proceedings, </w:t>
      </w:r>
      <w:r w:rsidR="00997B0B">
        <w:t>whose</w:t>
      </w:r>
      <w:r w:rsidR="00274754">
        <w:t xml:space="preserve"> correctness i</w:t>
      </w:r>
      <w:r w:rsidR="001725BB">
        <w:t>t would not</w:t>
      </w:r>
      <w:r w:rsidR="00997B0B">
        <w:t>, ordina</w:t>
      </w:r>
      <w:r w:rsidR="003528B7">
        <w:t>rily</w:t>
      </w:r>
      <w:r w:rsidR="00A85490">
        <w:t>, be</w:t>
      </w:r>
      <w:r w:rsidR="001725BB">
        <w:t xml:space="preserve"> expected to argue and defend in an appellate court</w:t>
      </w:r>
      <w:r w:rsidR="00794C42">
        <w:t xml:space="preserve">.  </w:t>
      </w:r>
    </w:p>
    <w:p w:rsidR="00794C42" w:rsidRDefault="00794C42" w:rsidP="00BC0528">
      <w:pPr>
        <w:ind w:firstLine="720"/>
        <w:jc w:val="both"/>
      </w:pPr>
    </w:p>
    <w:p w:rsidR="00794C42" w:rsidRDefault="00794C42" w:rsidP="00124811">
      <w:pPr>
        <w:spacing w:line="360" w:lineRule="auto"/>
        <w:ind w:firstLine="720"/>
        <w:jc w:val="both"/>
      </w:pPr>
      <w:r>
        <w:t xml:space="preserve">I find no merit in the </w:t>
      </w:r>
      <w:r w:rsidR="005466A9">
        <w:t xml:space="preserve">point </w:t>
      </w:r>
      <w:r w:rsidR="005466A9" w:rsidRPr="005466A9">
        <w:rPr>
          <w:i/>
        </w:rPr>
        <w:t>in limine</w:t>
      </w:r>
      <w:r w:rsidR="003528B7">
        <w:t>, which</w:t>
      </w:r>
      <w:r w:rsidR="005466A9">
        <w:t xml:space="preserve"> is accordingly dismissed.</w:t>
      </w:r>
    </w:p>
    <w:p w:rsidR="00572F45" w:rsidRDefault="00572F45" w:rsidP="00BC0528">
      <w:pPr>
        <w:ind w:firstLine="720"/>
        <w:jc w:val="both"/>
      </w:pPr>
    </w:p>
    <w:p w:rsidR="00572F45" w:rsidRDefault="00572F45" w:rsidP="00124811">
      <w:pPr>
        <w:spacing w:line="360" w:lineRule="auto"/>
        <w:ind w:firstLine="720"/>
        <w:jc w:val="both"/>
      </w:pPr>
      <w:r>
        <w:t xml:space="preserve">I now turn to the </w:t>
      </w:r>
      <w:r w:rsidR="001C4AF5">
        <w:t xml:space="preserve">merits of the application.  It raises 7 grounds of review, which I will deal with </w:t>
      </w:r>
      <w:r w:rsidR="001C4AF5" w:rsidRPr="00E337AB">
        <w:t xml:space="preserve">in </w:t>
      </w:r>
      <w:r w:rsidR="00E337AB">
        <w:t>the order in which they are presented</w:t>
      </w:r>
      <w:r w:rsidR="001C4AF5">
        <w:t>.</w:t>
      </w:r>
    </w:p>
    <w:p w:rsidR="007A6C1D" w:rsidRDefault="007A6C1D" w:rsidP="00BC0528">
      <w:pPr>
        <w:jc w:val="both"/>
      </w:pPr>
    </w:p>
    <w:p w:rsidR="007A6C1D" w:rsidRPr="00BC0528" w:rsidRDefault="00B5235D" w:rsidP="007A6C1D">
      <w:pPr>
        <w:spacing w:line="360" w:lineRule="auto"/>
        <w:jc w:val="both"/>
        <w:rPr>
          <w:u w:val="single"/>
        </w:rPr>
      </w:pPr>
      <w:r w:rsidRPr="00BC0528">
        <w:rPr>
          <w:u w:val="single"/>
        </w:rPr>
        <w:t>Ground 1</w:t>
      </w:r>
    </w:p>
    <w:p w:rsidR="00B5235D" w:rsidRDefault="00B5235D" w:rsidP="00BC0528">
      <w:pPr>
        <w:jc w:val="both"/>
      </w:pPr>
    </w:p>
    <w:p w:rsidR="009A4732" w:rsidRDefault="00B5235D" w:rsidP="009A4732">
      <w:pPr>
        <w:spacing w:line="360" w:lineRule="auto"/>
        <w:ind w:firstLine="720"/>
        <w:jc w:val="both"/>
      </w:pPr>
      <w:r>
        <w:lastRenderedPageBreak/>
        <w:t>The</w:t>
      </w:r>
      <w:r w:rsidR="003528B7">
        <w:t xml:space="preserve"> applicant avers that the</w:t>
      </w:r>
      <w:r w:rsidR="00EF0E4D">
        <w:t xml:space="preserve"> respondents’</w:t>
      </w:r>
      <w:r w:rsidR="00D852C9">
        <w:t xml:space="preserve"> </w:t>
      </w:r>
      <w:r w:rsidR="00EF0E4D">
        <w:t>appeal to the GDC was out of time and</w:t>
      </w:r>
      <w:r w:rsidR="009A4732">
        <w:t xml:space="preserve"> was therefore improperly before it. </w:t>
      </w:r>
    </w:p>
    <w:p w:rsidR="001C1732" w:rsidRDefault="001C1732" w:rsidP="00844EE0">
      <w:pPr>
        <w:ind w:firstLine="720"/>
        <w:jc w:val="both"/>
      </w:pPr>
    </w:p>
    <w:p w:rsidR="00AF288A" w:rsidRDefault="001C1732" w:rsidP="009A4732">
      <w:pPr>
        <w:spacing w:line="360" w:lineRule="auto"/>
        <w:ind w:firstLine="720"/>
        <w:jc w:val="both"/>
      </w:pPr>
      <w:r>
        <w:t xml:space="preserve">There </w:t>
      </w:r>
      <w:r w:rsidR="00B81D00">
        <w:t>is no elabor</w:t>
      </w:r>
      <w:r w:rsidR="00AE3A69">
        <w:t xml:space="preserve">ation on this ground for review.  It is not shown </w:t>
      </w:r>
      <w:r w:rsidR="00E65005">
        <w:t>w</w:t>
      </w:r>
      <w:r w:rsidR="00ED770A">
        <w:t xml:space="preserve">hat </w:t>
      </w:r>
      <w:r w:rsidR="00E65005">
        <w:t>timelines</w:t>
      </w:r>
      <w:r w:rsidR="00ED770A">
        <w:t xml:space="preserve"> were flouted.  In fact, no further </w:t>
      </w:r>
      <w:r w:rsidR="00715D24">
        <w:t xml:space="preserve">averments were made </w:t>
      </w:r>
      <w:r w:rsidR="00E65005">
        <w:t>under</w:t>
      </w:r>
      <w:r w:rsidR="00715D24">
        <w:t xml:space="preserve"> this ground.  The heads of argument did not </w:t>
      </w:r>
      <w:r w:rsidR="00E65005">
        <w:t>advert</w:t>
      </w:r>
      <w:r w:rsidR="0091076A">
        <w:t xml:space="preserve"> to it.  Neither did the oral submissions.  </w:t>
      </w:r>
      <w:r w:rsidR="00AF288A">
        <w:t>It seems it was abandoned, without the parties expressly saying so.</w:t>
      </w:r>
    </w:p>
    <w:p w:rsidR="00AF288A" w:rsidRDefault="00AF288A" w:rsidP="00E21249">
      <w:pPr>
        <w:ind w:firstLine="720"/>
        <w:jc w:val="both"/>
      </w:pPr>
    </w:p>
    <w:p w:rsidR="007D695A" w:rsidRDefault="00AF288A" w:rsidP="009A4732">
      <w:pPr>
        <w:spacing w:line="360" w:lineRule="auto"/>
        <w:ind w:firstLine="720"/>
        <w:jc w:val="both"/>
      </w:pPr>
      <w:r>
        <w:t xml:space="preserve">There being no submissions to consider, this ground for </w:t>
      </w:r>
      <w:r w:rsidR="00BB146B">
        <w:t>review is deemed to have been abandoned.</w:t>
      </w:r>
    </w:p>
    <w:p w:rsidR="007D695A" w:rsidRDefault="007D695A" w:rsidP="00844EE0">
      <w:pPr>
        <w:jc w:val="both"/>
      </w:pPr>
    </w:p>
    <w:p w:rsidR="007D695A" w:rsidRDefault="007D695A" w:rsidP="007D695A">
      <w:pPr>
        <w:spacing w:line="360" w:lineRule="auto"/>
        <w:jc w:val="both"/>
        <w:rPr>
          <w:u w:val="single"/>
        </w:rPr>
      </w:pPr>
      <w:r w:rsidRPr="00844EE0">
        <w:rPr>
          <w:u w:val="single"/>
        </w:rPr>
        <w:t>Ground 2</w:t>
      </w:r>
    </w:p>
    <w:p w:rsidR="00811189" w:rsidRPr="00844EE0" w:rsidRDefault="00811189" w:rsidP="00811189">
      <w:pPr>
        <w:jc w:val="both"/>
        <w:rPr>
          <w:u w:val="single"/>
        </w:rPr>
      </w:pPr>
    </w:p>
    <w:p w:rsidR="007D695A" w:rsidRDefault="00E65005" w:rsidP="00811189">
      <w:pPr>
        <w:spacing w:line="360" w:lineRule="auto"/>
        <w:ind w:firstLine="720"/>
        <w:jc w:val="both"/>
      </w:pPr>
      <w:r>
        <w:t>This ground</w:t>
      </w:r>
      <w:r w:rsidR="00797125">
        <w:t xml:space="preserve"> challenges the </w:t>
      </w:r>
      <w:r w:rsidR="00797125" w:rsidRPr="00CD3DD3">
        <w:rPr>
          <w:i/>
        </w:rPr>
        <w:t>locus standi</w:t>
      </w:r>
      <w:r w:rsidR="00797125">
        <w:t xml:space="preserve"> of the 1</w:t>
      </w:r>
      <w:r w:rsidR="00797125" w:rsidRPr="00797125">
        <w:rPr>
          <w:vertAlign w:val="superscript"/>
        </w:rPr>
        <w:t>st</w:t>
      </w:r>
      <w:r w:rsidR="00797125">
        <w:t xml:space="preserve"> Respondent </w:t>
      </w:r>
      <w:proofErr w:type="gramStart"/>
      <w:r w:rsidR="00797125" w:rsidRPr="00CD3DD3">
        <w:rPr>
          <w:i/>
        </w:rPr>
        <w:t>vis</w:t>
      </w:r>
      <w:proofErr w:type="gramEnd"/>
      <w:r w:rsidR="00797125" w:rsidRPr="00CD3DD3">
        <w:rPr>
          <w:i/>
        </w:rPr>
        <w:t xml:space="preserve"> avis</w:t>
      </w:r>
      <w:r w:rsidR="00797125">
        <w:t xml:space="preserve"> the 2</w:t>
      </w:r>
      <w:r w:rsidR="00797125" w:rsidRPr="00797125">
        <w:rPr>
          <w:vertAlign w:val="superscript"/>
        </w:rPr>
        <w:t>nd</w:t>
      </w:r>
      <w:r w:rsidR="00797125">
        <w:t>, 3</w:t>
      </w:r>
      <w:r w:rsidR="00797125" w:rsidRPr="00797125">
        <w:rPr>
          <w:vertAlign w:val="superscript"/>
        </w:rPr>
        <w:t>rd</w:t>
      </w:r>
      <w:r w:rsidR="00797125">
        <w:t xml:space="preserve"> and 4</w:t>
      </w:r>
      <w:r w:rsidR="00797125" w:rsidRPr="00797125">
        <w:rPr>
          <w:vertAlign w:val="superscript"/>
        </w:rPr>
        <w:t>th</w:t>
      </w:r>
      <w:r w:rsidR="00797125">
        <w:t xml:space="preserve"> Respondents.</w:t>
      </w:r>
    </w:p>
    <w:p w:rsidR="00797125" w:rsidRDefault="00797125" w:rsidP="00844EE0">
      <w:pPr>
        <w:jc w:val="both"/>
      </w:pPr>
    </w:p>
    <w:p w:rsidR="00726226" w:rsidRDefault="007D695A" w:rsidP="00ED26F9">
      <w:pPr>
        <w:spacing w:line="360" w:lineRule="auto"/>
        <w:ind w:firstLine="720"/>
        <w:jc w:val="both"/>
      </w:pPr>
      <w:r>
        <w:t xml:space="preserve">The remarks </w:t>
      </w:r>
      <w:r w:rsidR="00BC6507">
        <w:t xml:space="preserve">under Ground </w:t>
      </w:r>
      <w:r w:rsidR="00C20978">
        <w:t>1 equally apply under Ground 2</w:t>
      </w:r>
      <w:r w:rsidR="00CD3DD3">
        <w:t>.</w:t>
      </w:r>
      <w:r w:rsidR="00C20978">
        <w:t xml:space="preserve"> </w:t>
      </w:r>
      <w:r w:rsidR="00CD3DD3">
        <w:t>This</w:t>
      </w:r>
      <w:r w:rsidR="00C20978">
        <w:t xml:space="preserve"> issue was not p</w:t>
      </w:r>
      <w:r w:rsidR="001347E1">
        <w:t>ursued in the arguments submitted by the parties, both writte</w:t>
      </w:r>
      <w:r w:rsidR="002D202E">
        <w:t xml:space="preserve">n and oral.  There are no submissions on the basis of which the court can make an appropriate determination. </w:t>
      </w:r>
      <w:r w:rsidR="00726226">
        <w:t>This ground for review is, again, deemed to have been abandoned.</w:t>
      </w:r>
    </w:p>
    <w:p w:rsidR="00726226" w:rsidRDefault="00726226" w:rsidP="00D12E89">
      <w:pPr>
        <w:jc w:val="both"/>
      </w:pPr>
    </w:p>
    <w:p w:rsidR="00726226" w:rsidRDefault="00844EE0" w:rsidP="00726226">
      <w:pPr>
        <w:spacing w:line="360" w:lineRule="auto"/>
        <w:jc w:val="both"/>
        <w:rPr>
          <w:u w:val="single"/>
        </w:rPr>
      </w:pPr>
      <w:r>
        <w:rPr>
          <w:u w:val="single"/>
        </w:rPr>
        <w:t>Ground 3</w:t>
      </w:r>
    </w:p>
    <w:p w:rsidR="00844EE0" w:rsidRPr="00844EE0" w:rsidRDefault="00844EE0" w:rsidP="00844EE0">
      <w:pPr>
        <w:jc w:val="both"/>
        <w:rPr>
          <w:u w:val="single"/>
        </w:rPr>
      </w:pPr>
    </w:p>
    <w:p w:rsidR="00B5235D" w:rsidRDefault="00726226" w:rsidP="00726226">
      <w:pPr>
        <w:spacing w:line="360" w:lineRule="auto"/>
        <w:jc w:val="both"/>
      </w:pPr>
      <w:r>
        <w:tab/>
      </w:r>
      <w:r w:rsidR="00E46DCA">
        <w:t>There was some considerable argument under this ground</w:t>
      </w:r>
      <w:r w:rsidR="0082526D">
        <w:t>. T</w:t>
      </w:r>
      <w:r w:rsidR="001E7859">
        <w:t xml:space="preserve">he contention is that there was no determination by the employer, against which the respondents appealed.  Employment was </w:t>
      </w:r>
      <w:r w:rsidR="00564DD8">
        <w:t xml:space="preserve">terminated at the </w:t>
      </w:r>
      <w:r w:rsidR="005454C2">
        <w:t>respondents’ instance</w:t>
      </w:r>
      <w:r w:rsidR="00C63AAC">
        <w:t>, th</w:t>
      </w:r>
      <w:r w:rsidR="005454C2">
        <w:t>r</w:t>
      </w:r>
      <w:r w:rsidR="00C63AAC">
        <w:t xml:space="preserve">ough </w:t>
      </w:r>
      <w:r w:rsidR="005454C2">
        <w:t>resignation</w:t>
      </w:r>
      <w:r w:rsidR="00BF63C9">
        <w:t>.  The applicant averred in paragraph 3.1 of its heads of argument</w:t>
      </w:r>
      <w:r w:rsidR="00FB12CA">
        <w:t>;</w:t>
      </w:r>
    </w:p>
    <w:p w:rsidR="00FB12CA" w:rsidRDefault="00FB12CA" w:rsidP="00844EE0">
      <w:pPr>
        <w:jc w:val="both"/>
      </w:pPr>
    </w:p>
    <w:p w:rsidR="00666E74" w:rsidRPr="00844EE0" w:rsidRDefault="00FB12CA" w:rsidP="00844EE0">
      <w:pPr>
        <w:spacing w:line="276" w:lineRule="auto"/>
        <w:ind w:left="1440" w:hanging="720"/>
        <w:jc w:val="both"/>
        <w:rPr>
          <w:sz w:val="22"/>
          <w:szCs w:val="22"/>
        </w:rPr>
      </w:pPr>
      <w:r w:rsidRPr="00844EE0">
        <w:rPr>
          <w:sz w:val="22"/>
          <w:szCs w:val="22"/>
        </w:rPr>
        <w:t>“3.1</w:t>
      </w:r>
      <w:r w:rsidRPr="00844EE0">
        <w:rPr>
          <w:sz w:val="22"/>
          <w:szCs w:val="22"/>
        </w:rPr>
        <w:tab/>
        <w:t>It is common cause that the Respondents were not dismissed</w:t>
      </w:r>
      <w:r w:rsidR="00F449F8" w:rsidRPr="00844EE0">
        <w:rPr>
          <w:sz w:val="22"/>
          <w:szCs w:val="22"/>
        </w:rPr>
        <w:t xml:space="preserve">. They resigned and their letters to that effect are on the record.  One cannot then appeal against their own decision to terminate employment.  </w:t>
      </w:r>
      <w:r w:rsidR="00666E74" w:rsidRPr="00844EE0">
        <w:rPr>
          <w:sz w:val="22"/>
          <w:szCs w:val="22"/>
        </w:rPr>
        <w:t>Accordingly the appeal was improperly before the committee.”</w:t>
      </w:r>
    </w:p>
    <w:p w:rsidR="00666E74" w:rsidRDefault="00666E74" w:rsidP="006A16F3">
      <w:pPr>
        <w:jc w:val="both"/>
      </w:pPr>
    </w:p>
    <w:p w:rsidR="00FB12CA" w:rsidRDefault="00666E74" w:rsidP="00726226">
      <w:pPr>
        <w:spacing w:line="360" w:lineRule="auto"/>
        <w:jc w:val="both"/>
      </w:pPr>
      <w:r>
        <w:tab/>
        <w:t>On the other hand</w:t>
      </w:r>
      <w:r w:rsidR="000F02D0">
        <w:t xml:space="preserve">, the respondents averred that there was a determination, made by the Works Council, </w:t>
      </w:r>
      <w:r w:rsidR="007C24ED">
        <w:t>which gave rise to the appeal to the GDC.  This point is expressed</w:t>
      </w:r>
      <w:r w:rsidR="0082526D">
        <w:t xml:space="preserve"> </w:t>
      </w:r>
      <w:r w:rsidR="002A4441">
        <w:t>in paragraph 2.6 of the</w:t>
      </w:r>
      <w:r w:rsidR="007C24ED">
        <w:t xml:space="preserve"> respondent’s heads of argument; </w:t>
      </w:r>
    </w:p>
    <w:p w:rsidR="00C80AB4" w:rsidRDefault="00C80AB4" w:rsidP="006A16F3">
      <w:pPr>
        <w:jc w:val="both"/>
      </w:pPr>
    </w:p>
    <w:p w:rsidR="00C80AB4" w:rsidRPr="006A16F3" w:rsidRDefault="00C80AB4" w:rsidP="006A16F3">
      <w:pPr>
        <w:spacing w:line="276" w:lineRule="auto"/>
        <w:ind w:left="1440" w:hanging="720"/>
        <w:jc w:val="both"/>
        <w:rPr>
          <w:sz w:val="22"/>
          <w:szCs w:val="22"/>
        </w:rPr>
      </w:pPr>
      <w:r w:rsidRPr="006A16F3">
        <w:rPr>
          <w:sz w:val="22"/>
          <w:szCs w:val="22"/>
        </w:rPr>
        <w:t>“2.</w:t>
      </w:r>
      <w:r w:rsidR="00455830" w:rsidRPr="006A16F3">
        <w:rPr>
          <w:sz w:val="22"/>
          <w:szCs w:val="22"/>
        </w:rPr>
        <w:t>6.</w:t>
      </w:r>
      <w:r w:rsidR="00455830" w:rsidRPr="006A16F3">
        <w:rPr>
          <w:sz w:val="22"/>
          <w:szCs w:val="22"/>
        </w:rPr>
        <w:tab/>
        <w:t>Be that as it maybe it is submitted that the appeal to the NEC GDC was proper</w:t>
      </w:r>
      <w:r w:rsidR="00CD7891" w:rsidRPr="006A16F3">
        <w:rPr>
          <w:sz w:val="22"/>
          <w:szCs w:val="22"/>
        </w:rPr>
        <w:t xml:space="preserve"> because there was a decision which was made by the applicant’s works council.  Hence there was a valid appeal </w:t>
      </w:r>
      <w:r w:rsidR="00A500E4" w:rsidRPr="006A16F3">
        <w:rPr>
          <w:sz w:val="22"/>
          <w:szCs w:val="22"/>
        </w:rPr>
        <w:t xml:space="preserve">which was prompted by a decision which </w:t>
      </w:r>
      <w:r w:rsidR="00533058" w:rsidRPr="006A16F3">
        <w:rPr>
          <w:sz w:val="22"/>
          <w:szCs w:val="22"/>
        </w:rPr>
        <w:t>the</w:t>
      </w:r>
      <w:r w:rsidR="00A500E4" w:rsidRPr="006A16F3">
        <w:rPr>
          <w:sz w:val="22"/>
          <w:szCs w:val="22"/>
        </w:rPr>
        <w:t xml:space="preserve"> respondents were aggrieved with.”</w:t>
      </w:r>
    </w:p>
    <w:p w:rsidR="00A500E4" w:rsidRDefault="00A500E4" w:rsidP="006A16F3">
      <w:pPr>
        <w:jc w:val="both"/>
      </w:pPr>
    </w:p>
    <w:p w:rsidR="00A500E4" w:rsidRDefault="00E91BDF" w:rsidP="00726226">
      <w:pPr>
        <w:spacing w:line="360" w:lineRule="auto"/>
        <w:jc w:val="both"/>
      </w:pPr>
      <w:r>
        <w:tab/>
        <w:t xml:space="preserve">The record shows that, in its summary of the factual background to the matter, the GDC </w:t>
      </w:r>
      <w:r w:rsidR="006A16F3">
        <w:t>indicated</w:t>
      </w:r>
      <w:r w:rsidR="00507AEB">
        <w:t xml:space="preserve"> how the dispute came to it on appeal.  There was a complaint to the NEC by the respondents</w:t>
      </w:r>
      <w:r w:rsidR="00446B49">
        <w:t>,</w:t>
      </w:r>
      <w:r w:rsidR="00507AEB">
        <w:t xml:space="preserve"> </w:t>
      </w:r>
      <w:r w:rsidR="007C6234">
        <w:t>regarding their disputed resignat</w:t>
      </w:r>
      <w:r w:rsidR="004D7C0F">
        <w:t xml:space="preserve">ions.  The NEC advised the applicant of the </w:t>
      </w:r>
      <w:r w:rsidR="00D12E89">
        <w:t>complaint</w:t>
      </w:r>
      <w:r w:rsidR="004D7C0F">
        <w:t xml:space="preserve"> and that there was need to convene a Works Council</w:t>
      </w:r>
      <w:r w:rsidR="00BA1B5C">
        <w:t xml:space="preserve"> </w:t>
      </w:r>
      <w:r w:rsidR="00496E37">
        <w:t>meeting to hear the matter, in terms of the Tobacco Industry</w:t>
      </w:r>
      <w:r w:rsidR="00A2114D">
        <w:t xml:space="preserve"> Code of Conduct.  A Works Council meeting was then </w:t>
      </w:r>
      <w:r w:rsidR="00446B49">
        <w:t>convened</w:t>
      </w:r>
      <w:r w:rsidR="00A2114D">
        <w:t xml:space="preserve"> on 24 July 2015</w:t>
      </w:r>
      <w:r w:rsidR="00F14301">
        <w:t>.  The determination was that the resignations by the respondents were proper.  This</w:t>
      </w:r>
      <w:r w:rsidR="00A400AC">
        <w:t xml:space="preserve"> </w:t>
      </w:r>
      <w:r w:rsidR="00834C75">
        <w:t>important sequence of events is clearly captured on page 2 of the GDC</w:t>
      </w:r>
      <w:r w:rsidR="0086730B">
        <w:t xml:space="preserve"> determination as follows:</w:t>
      </w:r>
    </w:p>
    <w:p w:rsidR="0086730B" w:rsidRDefault="0086730B" w:rsidP="00EC522A">
      <w:pPr>
        <w:jc w:val="both"/>
      </w:pPr>
    </w:p>
    <w:p w:rsidR="0086730B" w:rsidRPr="00EC522A" w:rsidRDefault="0086730B" w:rsidP="00EC522A">
      <w:pPr>
        <w:spacing w:line="276" w:lineRule="auto"/>
        <w:ind w:left="720"/>
        <w:jc w:val="both"/>
        <w:rPr>
          <w:sz w:val="22"/>
          <w:szCs w:val="22"/>
        </w:rPr>
      </w:pPr>
      <w:r w:rsidRPr="00EC522A">
        <w:rPr>
          <w:sz w:val="22"/>
          <w:szCs w:val="22"/>
        </w:rPr>
        <w:t>“</w:t>
      </w:r>
      <w:r w:rsidR="00C95391" w:rsidRPr="00EC522A">
        <w:rPr>
          <w:sz w:val="22"/>
          <w:szCs w:val="22"/>
        </w:rPr>
        <w:t xml:space="preserve">The NEC wrote a letter to the respondent on 9 July 2015 advising that the NEC was in receipt of letters </w:t>
      </w:r>
      <w:r w:rsidR="00473624" w:rsidRPr="00EC522A">
        <w:rPr>
          <w:sz w:val="22"/>
          <w:szCs w:val="22"/>
        </w:rPr>
        <w:t>of complaint from th</w:t>
      </w:r>
      <w:r w:rsidR="00773D6F" w:rsidRPr="00EC522A">
        <w:rPr>
          <w:sz w:val="22"/>
          <w:szCs w:val="22"/>
        </w:rPr>
        <w:t>e</w:t>
      </w:r>
      <w:r w:rsidR="00473624" w:rsidRPr="00EC522A">
        <w:rPr>
          <w:sz w:val="22"/>
          <w:szCs w:val="22"/>
        </w:rPr>
        <w:t xml:space="preserve"> Trade Union on be</w:t>
      </w:r>
      <w:r w:rsidR="00773D6F" w:rsidRPr="00EC522A">
        <w:rPr>
          <w:sz w:val="22"/>
          <w:szCs w:val="22"/>
        </w:rPr>
        <w:t xml:space="preserve">half of the four appellants and the respondent needed </w:t>
      </w:r>
      <w:r w:rsidR="00C65139" w:rsidRPr="00EC522A">
        <w:rPr>
          <w:sz w:val="22"/>
          <w:szCs w:val="22"/>
        </w:rPr>
        <w:t>to convene a Works Council meeting to hear the matte</w:t>
      </w:r>
      <w:r w:rsidR="00F76C53" w:rsidRPr="00EC522A">
        <w:rPr>
          <w:sz w:val="22"/>
          <w:szCs w:val="22"/>
        </w:rPr>
        <w:t>r in terms of Statutory Instrument 322 of 1996 (Tobacco Industry Code of Conduct</w:t>
      </w:r>
      <w:r w:rsidR="00394110" w:rsidRPr="00EC522A">
        <w:rPr>
          <w:sz w:val="22"/>
          <w:szCs w:val="22"/>
        </w:rPr>
        <w:t xml:space="preserve">.  The respondent confirmed that a Works Council meeting was going to be </w:t>
      </w:r>
      <w:r w:rsidR="00005EBD" w:rsidRPr="00EC522A">
        <w:rPr>
          <w:sz w:val="22"/>
          <w:szCs w:val="22"/>
        </w:rPr>
        <w:t>convened</w:t>
      </w:r>
      <w:r w:rsidR="00394110" w:rsidRPr="00EC522A">
        <w:rPr>
          <w:sz w:val="22"/>
          <w:szCs w:val="22"/>
        </w:rPr>
        <w:t xml:space="preserve"> in an undated letter addressed to the </w:t>
      </w:r>
      <w:r w:rsidR="000D4BB5" w:rsidRPr="00EC522A">
        <w:rPr>
          <w:sz w:val="22"/>
          <w:szCs w:val="22"/>
        </w:rPr>
        <w:t xml:space="preserve">NEC Designated Agent.  </w:t>
      </w:r>
      <w:r w:rsidR="000D4BB5" w:rsidRPr="00C97FDC">
        <w:rPr>
          <w:sz w:val="22"/>
          <w:szCs w:val="22"/>
          <w:u w:val="single"/>
        </w:rPr>
        <w:t>A Works Council meeting was convened on 24 July 2015 and it was concluded, by way of a casting</w:t>
      </w:r>
      <w:r w:rsidR="00BF1842" w:rsidRPr="00C97FDC">
        <w:rPr>
          <w:sz w:val="22"/>
          <w:szCs w:val="22"/>
          <w:u w:val="single"/>
        </w:rPr>
        <w:t xml:space="preserve"> vote by the Works Council Chairman that the resignations by the four appellants will stand</w:t>
      </w:r>
      <w:r w:rsidR="009A5BE4" w:rsidRPr="00C97FDC">
        <w:rPr>
          <w:sz w:val="22"/>
          <w:szCs w:val="22"/>
          <w:u w:val="single"/>
        </w:rPr>
        <w:t>.  The verdict was communicated to the Trade Union representing the appellants on 6 August</w:t>
      </w:r>
      <w:r w:rsidR="00E74176" w:rsidRPr="00C97FDC">
        <w:rPr>
          <w:sz w:val="22"/>
          <w:szCs w:val="22"/>
          <w:u w:val="single"/>
        </w:rPr>
        <w:t xml:space="preserve"> 2015</w:t>
      </w:r>
      <w:r w:rsidR="00892416">
        <w:rPr>
          <w:sz w:val="22"/>
          <w:szCs w:val="22"/>
          <w:u w:val="single"/>
        </w:rPr>
        <w:t>.”</w:t>
      </w:r>
      <w:r w:rsidR="00E74176" w:rsidRPr="00EC522A">
        <w:rPr>
          <w:sz w:val="22"/>
          <w:szCs w:val="22"/>
        </w:rPr>
        <w:t xml:space="preserve"> </w:t>
      </w:r>
      <w:r w:rsidR="00C97FDC" w:rsidRPr="00892416">
        <w:t>(Underl</w:t>
      </w:r>
      <w:r w:rsidR="00892416" w:rsidRPr="00892416">
        <w:t>in</w:t>
      </w:r>
      <w:r w:rsidR="00C97FDC" w:rsidRPr="00892416">
        <w:t>ing added)</w:t>
      </w:r>
      <w:r w:rsidR="00C97FDC">
        <w:rPr>
          <w:sz w:val="22"/>
          <w:szCs w:val="22"/>
        </w:rPr>
        <w:t xml:space="preserve"> </w:t>
      </w:r>
    </w:p>
    <w:p w:rsidR="000B52C5" w:rsidRDefault="000B52C5" w:rsidP="00EC522A">
      <w:pPr>
        <w:jc w:val="both"/>
      </w:pPr>
    </w:p>
    <w:p w:rsidR="000B52C5" w:rsidRDefault="000B52C5" w:rsidP="00726226">
      <w:pPr>
        <w:spacing w:line="360" w:lineRule="auto"/>
        <w:jc w:val="both"/>
      </w:pPr>
      <w:r>
        <w:tab/>
        <w:t>The respondents were therefore aggrieved on the decision of the Works Council</w:t>
      </w:r>
      <w:r w:rsidR="000541E5">
        <w:t>, which held that they were not forced to resign.  In other words, i</w:t>
      </w:r>
      <w:r w:rsidR="001579EC">
        <w:t xml:space="preserve">t </w:t>
      </w:r>
      <w:r w:rsidR="00C97FDC">
        <w:t xml:space="preserve"> dismissed their claim or </w:t>
      </w:r>
      <w:r w:rsidR="001579EC">
        <w:t xml:space="preserve">complaint of </w:t>
      </w:r>
      <w:r w:rsidR="00AE4667">
        <w:t>constructive dismissal.  That is the decision that prompted their</w:t>
      </w:r>
      <w:r w:rsidR="007D1338">
        <w:t xml:space="preserve"> </w:t>
      </w:r>
      <w:r w:rsidR="0032740D">
        <w:t xml:space="preserve">appeal </w:t>
      </w:r>
      <w:r w:rsidR="007D1338">
        <w:t>to the GDC.  It is, in the circumstances, incorrect to say the appeal was improperly</w:t>
      </w:r>
      <w:r w:rsidR="0056372D">
        <w:t xml:space="preserve"> before the GDC.  Consequently, ground 3 cannot be upheld.</w:t>
      </w:r>
    </w:p>
    <w:p w:rsidR="00C90393" w:rsidRDefault="00C90393" w:rsidP="00EC522A">
      <w:pPr>
        <w:jc w:val="both"/>
      </w:pPr>
    </w:p>
    <w:p w:rsidR="00C90393" w:rsidRPr="00C90393" w:rsidRDefault="00C90393" w:rsidP="00726226">
      <w:pPr>
        <w:spacing w:line="360" w:lineRule="auto"/>
        <w:jc w:val="both"/>
        <w:rPr>
          <w:u w:val="single"/>
        </w:rPr>
      </w:pPr>
      <w:r w:rsidRPr="00C90393">
        <w:rPr>
          <w:u w:val="single"/>
        </w:rPr>
        <w:t>Ground 4, 5 and 6</w:t>
      </w:r>
    </w:p>
    <w:p w:rsidR="00C90393" w:rsidRDefault="00C90393" w:rsidP="00805A62">
      <w:pPr>
        <w:jc w:val="both"/>
      </w:pPr>
    </w:p>
    <w:p w:rsidR="00445BEC" w:rsidRDefault="00C90393" w:rsidP="00726226">
      <w:pPr>
        <w:spacing w:line="360" w:lineRule="auto"/>
        <w:jc w:val="both"/>
      </w:pPr>
      <w:r>
        <w:tab/>
        <w:t>These grounds will be considered together as they relate to the same issue.  The</w:t>
      </w:r>
      <w:r w:rsidR="001E2C82">
        <w:t xml:space="preserve"> issue raised by the applicant is that it was improper for the GDC to replace its initial determination</w:t>
      </w:r>
      <w:r w:rsidR="00445BEC">
        <w:t xml:space="preserve"> with a subsequent determination.</w:t>
      </w:r>
    </w:p>
    <w:p w:rsidR="00C90393" w:rsidRDefault="00445BEC" w:rsidP="00726226">
      <w:pPr>
        <w:spacing w:line="360" w:lineRule="auto"/>
        <w:jc w:val="both"/>
      </w:pPr>
      <w:r>
        <w:lastRenderedPageBreak/>
        <w:tab/>
        <w:t>The record shows two GDC determinations, dated 12 October 2015 and 29 October 2015.  The seco</w:t>
      </w:r>
      <w:r w:rsidR="004935C3">
        <w:t>nd determination</w:t>
      </w:r>
      <w:r w:rsidR="00464436">
        <w:t>,</w:t>
      </w:r>
      <w:r w:rsidR="004935C3">
        <w:t xml:space="preserve"> in a note </w:t>
      </w:r>
      <w:r w:rsidR="00464436">
        <w:t>prefixed</w:t>
      </w:r>
      <w:r w:rsidR="004935C3">
        <w:t xml:space="preserve"> </w:t>
      </w:r>
      <w:r w:rsidR="001C3A0F">
        <w:t>“</w:t>
      </w:r>
      <w:r w:rsidR="004935C3">
        <w:t>NB*</w:t>
      </w:r>
      <w:r w:rsidR="001C3A0F">
        <w:t>”</w:t>
      </w:r>
      <w:r w:rsidR="004935C3">
        <w:t xml:space="preserve">, is described as; </w:t>
      </w:r>
    </w:p>
    <w:p w:rsidR="00D60EA8" w:rsidRDefault="00D60EA8" w:rsidP="00D12E89">
      <w:pPr>
        <w:jc w:val="both"/>
      </w:pPr>
    </w:p>
    <w:p w:rsidR="00D60EA8" w:rsidRPr="00D12E89" w:rsidRDefault="00D60EA8" w:rsidP="00726226">
      <w:pPr>
        <w:spacing w:line="360" w:lineRule="auto"/>
        <w:jc w:val="both"/>
        <w:rPr>
          <w:sz w:val="22"/>
          <w:szCs w:val="22"/>
        </w:rPr>
      </w:pPr>
      <w:r>
        <w:tab/>
      </w:r>
      <w:r w:rsidRPr="00D12E89">
        <w:rPr>
          <w:sz w:val="22"/>
          <w:szCs w:val="22"/>
        </w:rPr>
        <w:t>“This is a replacement of the determination issued on 12 October 2015.”</w:t>
      </w:r>
    </w:p>
    <w:p w:rsidR="006759DE" w:rsidRDefault="006759DE" w:rsidP="00805A62">
      <w:pPr>
        <w:jc w:val="both"/>
      </w:pPr>
    </w:p>
    <w:p w:rsidR="00D60EA8" w:rsidRDefault="00D60EA8" w:rsidP="006759DE">
      <w:pPr>
        <w:spacing w:line="360" w:lineRule="auto"/>
        <w:ind w:firstLine="720"/>
        <w:jc w:val="both"/>
      </w:pPr>
      <w:r>
        <w:t>A perusal of the two determinations shows that they are exactly the same,</w:t>
      </w:r>
      <w:r w:rsidR="006E064A">
        <w:t xml:space="preserve"> </w:t>
      </w:r>
      <w:r w:rsidR="005E143C">
        <w:t xml:space="preserve">save </w:t>
      </w:r>
      <w:r w:rsidR="006E064A">
        <w:t xml:space="preserve">for </w:t>
      </w:r>
      <w:r w:rsidR="005E143C">
        <w:t>paragraph 2</w:t>
      </w:r>
      <w:r w:rsidR="0072198D">
        <w:t>.</w:t>
      </w:r>
      <w:r w:rsidR="005E143C">
        <w:t xml:space="preserve"> </w:t>
      </w:r>
      <w:r w:rsidR="006E064A">
        <w:t>It</w:t>
      </w:r>
      <w:r w:rsidR="006759DE">
        <w:t xml:space="preserve"> is only </w:t>
      </w:r>
      <w:r w:rsidR="0050349E">
        <w:t xml:space="preserve">paragraph 2 of </w:t>
      </w:r>
      <w:r w:rsidR="006759DE">
        <w:t>the operative part that was altered</w:t>
      </w:r>
      <w:r w:rsidR="00DA14D3">
        <w:t>.  In the first determination</w:t>
      </w:r>
      <w:r w:rsidR="003E029B">
        <w:t>, the operative part reads as follows:</w:t>
      </w:r>
    </w:p>
    <w:p w:rsidR="00196220" w:rsidRDefault="006F21D9" w:rsidP="00EC522A">
      <w:pPr>
        <w:ind w:firstLine="720"/>
        <w:jc w:val="both"/>
      </w:pPr>
      <w:r>
        <w:t xml:space="preserve">                           </w:t>
      </w:r>
      <w:r w:rsidR="00AD050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6220" w:rsidRPr="00E43CC8" w:rsidRDefault="00196220" w:rsidP="000D5384">
      <w:pPr>
        <w:spacing w:line="276" w:lineRule="auto"/>
        <w:ind w:firstLine="720"/>
        <w:jc w:val="both"/>
        <w:rPr>
          <w:sz w:val="22"/>
          <w:szCs w:val="22"/>
        </w:rPr>
      </w:pPr>
      <w:r w:rsidRPr="00E43CC8">
        <w:rPr>
          <w:sz w:val="22"/>
          <w:szCs w:val="22"/>
        </w:rPr>
        <w:t>“1.</w:t>
      </w:r>
      <w:r w:rsidRPr="00E43CC8">
        <w:rPr>
          <w:sz w:val="22"/>
          <w:szCs w:val="22"/>
        </w:rPr>
        <w:tab/>
        <w:t>The appeal succeeds.</w:t>
      </w:r>
    </w:p>
    <w:p w:rsidR="00196220" w:rsidRPr="00E43CC8" w:rsidRDefault="00196220" w:rsidP="000D5384">
      <w:pPr>
        <w:spacing w:line="276" w:lineRule="auto"/>
        <w:ind w:left="1440" w:hanging="648"/>
        <w:jc w:val="both"/>
        <w:rPr>
          <w:sz w:val="22"/>
          <w:szCs w:val="22"/>
        </w:rPr>
      </w:pPr>
      <w:r w:rsidRPr="00E43CC8">
        <w:rPr>
          <w:sz w:val="22"/>
          <w:szCs w:val="22"/>
        </w:rPr>
        <w:t>2.</w:t>
      </w:r>
      <w:r w:rsidR="00CA667D" w:rsidRPr="00E43CC8">
        <w:rPr>
          <w:sz w:val="22"/>
          <w:szCs w:val="22"/>
        </w:rPr>
        <w:tab/>
        <w:t>F. Nyarucha, T. Zacharia, T. Dzapasi and E. Mpakula are to be considered</w:t>
      </w:r>
      <w:r w:rsidR="000C21A3" w:rsidRPr="00E43CC8">
        <w:rPr>
          <w:sz w:val="22"/>
          <w:szCs w:val="22"/>
        </w:rPr>
        <w:t xml:space="preserve"> for employment in the 2016 season like any other season.”</w:t>
      </w:r>
    </w:p>
    <w:p w:rsidR="00D93545" w:rsidRDefault="00D93545" w:rsidP="00DD1BEA">
      <w:pPr>
        <w:jc w:val="both"/>
      </w:pPr>
    </w:p>
    <w:p w:rsidR="00D93545" w:rsidRDefault="00D93545" w:rsidP="00D93545">
      <w:pPr>
        <w:spacing w:line="360" w:lineRule="auto"/>
        <w:ind w:firstLine="720"/>
        <w:jc w:val="both"/>
      </w:pPr>
      <w:r>
        <w:t>In the second determination, the operative part reads as follows:</w:t>
      </w:r>
    </w:p>
    <w:p w:rsidR="00D93545" w:rsidRDefault="00D93545" w:rsidP="00EC522A">
      <w:pPr>
        <w:ind w:firstLine="720"/>
        <w:jc w:val="both"/>
      </w:pPr>
    </w:p>
    <w:p w:rsidR="00D93545" w:rsidRPr="00E43CC8" w:rsidRDefault="008E585D" w:rsidP="00E43CC8">
      <w:pPr>
        <w:spacing w:line="276" w:lineRule="auto"/>
        <w:ind w:firstLine="720"/>
        <w:jc w:val="both"/>
        <w:rPr>
          <w:sz w:val="22"/>
          <w:szCs w:val="22"/>
        </w:rPr>
      </w:pPr>
      <w:r w:rsidRPr="00E43CC8">
        <w:rPr>
          <w:sz w:val="22"/>
          <w:szCs w:val="22"/>
        </w:rPr>
        <w:t>“1.</w:t>
      </w:r>
      <w:r w:rsidRPr="00E43CC8">
        <w:rPr>
          <w:sz w:val="22"/>
          <w:szCs w:val="22"/>
        </w:rPr>
        <w:tab/>
        <w:t>The appeal succeeds.</w:t>
      </w:r>
    </w:p>
    <w:p w:rsidR="008E585D" w:rsidRPr="00E43CC8" w:rsidRDefault="008E585D" w:rsidP="00E43CC8">
      <w:pPr>
        <w:spacing w:line="276" w:lineRule="auto"/>
        <w:ind w:left="1440" w:hanging="648"/>
        <w:jc w:val="both"/>
        <w:rPr>
          <w:sz w:val="22"/>
          <w:szCs w:val="22"/>
        </w:rPr>
      </w:pPr>
      <w:r w:rsidRPr="00E43CC8">
        <w:rPr>
          <w:sz w:val="22"/>
          <w:szCs w:val="22"/>
        </w:rPr>
        <w:t>2.</w:t>
      </w:r>
      <w:r w:rsidRPr="00E43CC8">
        <w:rPr>
          <w:sz w:val="22"/>
          <w:szCs w:val="22"/>
        </w:rPr>
        <w:tab/>
        <w:t>Those appellants</w:t>
      </w:r>
      <w:r w:rsidR="00CC4402" w:rsidRPr="00E43CC8">
        <w:rPr>
          <w:sz w:val="22"/>
          <w:szCs w:val="22"/>
        </w:rPr>
        <w:t xml:space="preserve"> who were on seasonal contracts of employment are </w:t>
      </w:r>
      <w:r w:rsidR="006B56A2" w:rsidRPr="00E43CC8">
        <w:rPr>
          <w:sz w:val="22"/>
          <w:szCs w:val="22"/>
        </w:rPr>
        <w:t>to be considered for employment in the 2016 season like in any other season.</w:t>
      </w:r>
    </w:p>
    <w:p w:rsidR="002938C5" w:rsidRDefault="002938C5" w:rsidP="00E43CC8">
      <w:pPr>
        <w:spacing w:line="276" w:lineRule="auto"/>
        <w:ind w:left="1440" w:hanging="648"/>
        <w:jc w:val="both"/>
        <w:rPr>
          <w:sz w:val="22"/>
          <w:szCs w:val="22"/>
        </w:rPr>
      </w:pPr>
      <w:r w:rsidRPr="00E43CC8">
        <w:rPr>
          <w:sz w:val="22"/>
          <w:szCs w:val="22"/>
        </w:rPr>
        <w:t>3.</w:t>
      </w:r>
      <w:r w:rsidRPr="00E43CC8">
        <w:rPr>
          <w:sz w:val="22"/>
          <w:szCs w:val="22"/>
        </w:rPr>
        <w:tab/>
        <w:t>Those appellants who were on a contract without limit of time must be reinstated without loss of pay</w:t>
      </w:r>
      <w:r w:rsidR="00C7047C" w:rsidRPr="00E43CC8">
        <w:rPr>
          <w:sz w:val="22"/>
          <w:szCs w:val="22"/>
        </w:rPr>
        <w:t xml:space="preserve"> and benefits with effect from date of forced resignation or are to be paid damages in lieu of reinstatement.  </w:t>
      </w:r>
      <w:r w:rsidR="0042592E" w:rsidRPr="00E43CC8">
        <w:rPr>
          <w:sz w:val="22"/>
          <w:szCs w:val="22"/>
        </w:rPr>
        <w:t xml:space="preserve">If reinstatement is no longer possible then the parties are to agree on the damages failure of which they may refer the matter to the NEC </w:t>
      </w:r>
      <w:r w:rsidR="000D5384" w:rsidRPr="00E43CC8">
        <w:rPr>
          <w:sz w:val="22"/>
          <w:szCs w:val="22"/>
        </w:rPr>
        <w:t>Grievance and Disciplinary Committee for quantification of the damages.”</w:t>
      </w:r>
    </w:p>
    <w:p w:rsidR="00442D3A" w:rsidRDefault="00442D3A" w:rsidP="00442D3A">
      <w:pPr>
        <w:spacing w:line="276" w:lineRule="auto"/>
        <w:jc w:val="both"/>
        <w:rPr>
          <w:sz w:val="22"/>
          <w:szCs w:val="22"/>
        </w:rPr>
      </w:pPr>
    </w:p>
    <w:p w:rsidR="00442D3A" w:rsidRDefault="00570957" w:rsidP="007F5C4E">
      <w:pPr>
        <w:spacing w:line="360" w:lineRule="auto"/>
        <w:ind w:firstLine="720"/>
        <w:jc w:val="both"/>
      </w:pPr>
      <w:r>
        <w:t xml:space="preserve">Applicant’s </w:t>
      </w:r>
      <w:r w:rsidR="00D95A41">
        <w:t>grievance is that the GDC, having handed</w:t>
      </w:r>
      <w:r w:rsidR="00EC6488">
        <w:t xml:space="preserve"> down its award on 12 October 2015, no longer had the mandate t</w:t>
      </w:r>
      <w:r w:rsidR="00ED0778">
        <w:t>o</w:t>
      </w:r>
      <w:r w:rsidR="00EC6488">
        <w:t xml:space="preserve"> amend</w:t>
      </w:r>
      <w:r w:rsidR="00ED0778">
        <w:t xml:space="preserve"> and replace it with another award.  It was </w:t>
      </w:r>
      <w:r w:rsidR="00ED0778" w:rsidRPr="00061A68">
        <w:rPr>
          <w:i/>
        </w:rPr>
        <w:t>functus officio</w:t>
      </w:r>
      <w:r w:rsidR="00ED0778">
        <w:t xml:space="preserve">.  The amendment was not of the type that could be </w:t>
      </w:r>
      <w:r w:rsidR="00ED0778" w:rsidRPr="00FA50B8">
        <w:rPr>
          <w:i/>
        </w:rPr>
        <w:t>mero motu</w:t>
      </w:r>
      <w:r w:rsidR="00061A68">
        <w:t xml:space="preserve"> corrected as an error.  It substantially </w:t>
      </w:r>
      <w:r w:rsidR="007F5C4E">
        <w:t>changed the award.  That should not have been done without the applicant being given an opportunity to make representations.</w:t>
      </w:r>
    </w:p>
    <w:p w:rsidR="00B03CAB" w:rsidRDefault="00B03CAB" w:rsidP="00EC522A">
      <w:pPr>
        <w:ind w:firstLine="720"/>
        <w:jc w:val="both"/>
      </w:pPr>
    </w:p>
    <w:p w:rsidR="00B03CAB" w:rsidRDefault="00B03CAB" w:rsidP="007F5C4E">
      <w:pPr>
        <w:spacing w:line="360" w:lineRule="auto"/>
        <w:ind w:firstLine="720"/>
        <w:jc w:val="both"/>
      </w:pPr>
      <w:r>
        <w:t xml:space="preserve">The respondents, on the other hand, contended that there was an error in the initial award.  The </w:t>
      </w:r>
      <w:r w:rsidR="00E33442">
        <w:t>status of the affected employees was not the same.  Some were seasonal employees and others were permanent</w:t>
      </w:r>
      <w:r w:rsidR="00F548DA">
        <w:t xml:space="preserve"> employees.  The</w:t>
      </w:r>
      <w:r w:rsidR="00594061">
        <w:t xml:space="preserve"> </w:t>
      </w:r>
      <w:r w:rsidR="00FC3F97">
        <w:t>award had to distinguish thes</w:t>
      </w:r>
      <w:r w:rsidR="00983285">
        <w:t>e categories, as the consequences would be different f</w:t>
      </w:r>
      <w:r w:rsidR="00DF0023">
        <w:t>or each category.</w:t>
      </w:r>
    </w:p>
    <w:p w:rsidR="000D4F9E" w:rsidRDefault="000D4F9E" w:rsidP="00DD1BEA">
      <w:pPr>
        <w:ind w:firstLine="720"/>
        <w:jc w:val="both"/>
      </w:pPr>
    </w:p>
    <w:p w:rsidR="000D4F9E" w:rsidRDefault="000D4F9E" w:rsidP="007F5C4E">
      <w:pPr>
        <w:spacing w:line="360" w:lineRule="auto"/>
        <w:ind w:firstLine="720"/>
        <w:jc w:val="both"/>
      </w:pPr>
      <w:r>
        <w:lastRenderedPageBreak/>
        <w:t xml:space="preserve">Both parties made reference to the case of </w:t>
      </w:r>
      <w:r w:rsidRPr="00216944">
        <w:rPr>
          <w:i/>
        </w:rPr>
        <w:t>Mutehw</w:t>
      </w:r>
      <w:r w:rsidR="00216944" w:rsidRPr="00216944">
        <w:rPr>
          <w:i/>
        </w:rPr>
        <w:t>a</w:t>
      </w:r>
      <w:r w:rsidR="00216944">
        <w:t xml:space="preserve"> v </w:t>
      </w:r>
      <w:r w:rsidR="00216944" w:rsidRPr="00216944">
        <w:rPr>
          <w:i/>
        </w:rPr>
        <w:t>Mutehwa &amp; Another</w:t>
      </w:r>
      <w:r w:rsidR="00216944">
        <w:t xml:space="preserve"> 2001 (2) SA 193, which was cited with </w:t>
      </w:r>
      <w:r w:rsidR="00C64F13">
        <w:t xml:space="preserve">approval by the Zimbabwean Supreme Court in </w:t>
      </w:r>
      <w:r w:rsidR="00C64F13" w:rsidRPr="005F22A2">
        <w:rPr>
          <w:i/>
        </w:rPr>
        <w:t>Austin Munyi</w:t>
      </w:r>
      <w:r w:rsidR="00D43CF7" w:rsidRPr="005F22A2">
        <w:rPr>
          <w:i/>
        </w:rPr>
        <w:t>m</w:t>
      </w:r>
      <w:r w:rsidR="00E70357">
        <w:rPr>
          <w:i/>
        </w:rPr>
        <w:t>o</w:t>
      </w:r>
      <w:r w:rsidR="00D43CF7">
        <w:t xml:space="preserve"> v </w:t>
      </w:r>
      <w:r w:rsidR="00D43CF7" w:rsidRPr="005F22A2">
        <w:rPr>
          <w:i/>
        </w:rPr>
        <w:t>Elizabeth Tauro</w:t>
      </w:r>
      <w:r w:rsidR="00D43CF7">
        <w:t xml:space="preserve"> SC 41/13.  The respondents made particular reference to the remarks of the Supreme Court, which</w:t>
      </w:r>
      <w:r w:rsidR="000C69ED">
        <w:t xml:space="preserve"> </w:t>
      </w:r>
      <w:r w:rsidR="009504D9">
        <w:t>wer</w:t>
      </w:r>
      <w:r w:rsidR="000C69ED">
        <w:t>e that</w:t>
      </w:r>
      <w:r w:rsidR="00E74EF1">
        <w:t>;</w:t>
      </w:r>
    </w:p>
    <w:p w:rsidR="00E74EF1" w:rsidRDefault="00E74EF1" w:rsidP="006B4ECE">
      <w:pPr>
        <w:ind w:firstLine="720"/>
        <w:jc w:val="both"/>
      </w:pPr>
    </w:p>
    <w:p w:rsidR="00E74EF1" w:rsidRPr="00CD5A0D" w:rsidRDefault="00E74EF1" w:rsidP="0074656F">
      <w:pPr>
        <w:spacing w:line="276" w:lineRule="auto"/>
        <w:ind w:left="720"/>
        <w:jc w:val="both"/>
      </w:pPr>
      <w:r w:rsidRPr="0074656F">
        <w:rPr>
          <w:sz w:val="22"/>
          <w:szCs w:val="22"/>
        </w:rPr>
        <w:t xml:space="preserve">“… </w:t>
      </w:r>
      <w:proofErr w:type="gramStart"/>
      <w:r w:rsidRPr="00CD5A0D">
        <w:rPr>
          <w:sz w:val="22"/>
          <w:szCs w:val="22"/>
          <w:u w:val="single"/>
        </w:rPr>
        <w:t>the</w:t>
      </w:r>
      <w:proofErr w:type="gramEnd"/>
      <w:r w:rsidRPr="00CD5A0D">
        <w:rPr>
          <w:sz w:val="22"/>
          <w:szCs w:val="22"/>
          <w:u w:val="single"/>
        </w:rPr>
        <w:t xml:space="preserve"> error should appear on the record but only in cases where the </w:t>
      </w:r>
      <w:r w:rsidR="00FD7C98" w:rsidRPr="00CD5A0D">
        <w:rPr>
          <w:sz w:val="22"/>
          <w:szCs w:val="22"/>
          <w:u w:val="single"/>
        </w:rPr>
        <w:t xml:space="preserve">Court acts </w:t>
      </w:r>
      <w:r w:rsidR="00FD7C98" w:rsidRPr="00CD5A0D">
        <w:rPr>
          <w:i/>
          <w:sz w:val="22"/>
          <w:szCs w:val="22"/>
          <w:u w:val="single"/>
        </w:rPr>
        <w:t>mero motu</w:t>
      </w:r>
      <w:r w:rsidR="00FD7C98" w:rsidRPr="00CD5A0D">
        <w:rPr>
          <w:sz w:val="22"/>
          <w:szCs w:val="22"/>
          <w:u w:val="single"/>
        </w:rPr>
        <w:t xml:space="preserve"> or on the basis of an oral application </w:t>
      </w:r>
      <w:r w:rsidR="00F8193C" w:rsidRPr="00CD5A0D">
        <w:rPr>
          <w:sz w:val="22"/>
          <w:szCs w:val="22"/>
          <w:u w:val="single"/>
        </w:rPr>
        <w:t xml:space="preserve">made from the Bar for rescission or variation of the order.  </w:t>
      </w:r>
      <w:r w:rsidR="00794351" w:rsidRPr="00CD5A0D">
        <w:rPr>
          <w:sz w:val="22"/>
          <w:szCs w:val="22"/>
          <w:u w:val="single"/>
        </w:rPr>
        <w:t xml:space="preserve">For obvious </w:t>
      </w:r>
      <w:r w:rsidR="00F1724C" w:rsidRPr="00CD5A0D">
        <w:rPr>
          <w:sz w:val="22"/>
          <w:szCs w:val="22"/>
          <w:u w:val="single"/>
        </w:rPr>
        <w:t>reasons</w:t>
      </w:r>
      <w:r w:rsidR="00794351" w:rsidRPr="00CD5A0D">
        <w:rPr>
          <w:sz w:val="22"/>
          <w:szCs w:val="22"/>
          <w:u w:val="single"/>
        </w:rPr>
        <w:t xml:space="preserve">, in such cases the Court would have before it the record </w:t>
      </w:r>
      <w:r w:rsidR="00F1724C" w:rsidRPr="00CD5A0D">
        <w:rPr>
          <w:sz w:val="22"/>
          <w:szCs w:val="22"/>
          <w:u w:val="single"/>
        </w:rPr>
        <w:t>of the proceedings only</w:t>
      </w:r>
      <w:r w:rsidR="00F1724C" w:rsidRPr="0074656F">
        <w:rPr>
          <w:sz w:val="22"/>
          <w:szCs w:val="22"/>
        </w:rPr>
        <w:t>.  The same interpretation cannot, in my respectful view, apply to cases where</w:t>
      </w:r>
      <w:r w:rsidR="009D37C2" w:rsidRPr="0074656F">
        <w:rPr>
          <w:sz w:val="22"/>
          <w:szCs w:val="22"/>
        </w:rPr>
        <w:t xml:space="preserve"> the Court is called upon to act on the basis of a written application by a party whose rights are affected by an order granted in its absence.  In the latter instance the Court would</w:t>
      </w:r>
      <w:r w:rsidR="00E0096E" w:rsidRPr="0074656F">
        <w:rPr>
          <w:sz w:val="22"/>
          <w:szCs w:val="22"/>
        </w:rPr>
        <w:t xml:space="preserve"> have before it only the record of the proceedings but also facts set out in the affidavits </w:t>
      </w:r>
      <w:r w:rsidR="00AE66AF">
        <w:rPr>
          <w:sz w:val="22"/>
          <w:szCs w:val="22"/>
        </w:rPr>
        <w:t>filed of</w:t>
      </w:r>
      <w:r w:rsidR="004C4D63" w:rsidRPr="0074656F">
        <w:rPr>
          <w:sz w:val="22"/>
          <w:szCs w:val="22"/>
        </w:rPr>
        <w:t xml:space="preserve"> record.  Such facts cannot simply be ignored and it is not irregular to adopt</w:t>
      </w:r>
      <w:r w:rsidR="006D5926" w:rsidRPr="0074656F">
        <w:rPr>
          <w:sz w:val="22"/>
          <w:szCs w:val="22"/>
        </w:rPr>
        <w:t xml:space="preserve"> such a procedure in seeking rescission.  In fact, it might be necessary to do so in </w:t>
      </w:r>
      <w:r w:rsidR="00172580" w:rsidRPr="0074656F">
        <w:rPr>
          <w:sz w:val="22"/>
          <w:szCs w:val="22"/>
        </w:rPr>
        <w:t xml:space="preserve">cases such as the present, where no error could be picked up </w:t>
      </w:r>
      <w:r w:rsidR="00172580" w:rsidRPr="00017A13">
        <w:rPr>
          <w:i/>
          <w:sz w:val="22"/>
          <w:szCs w:val="22"/>
        </w:rPr>
        <w:t>ex facie</w:t>
      </w:r>
      <w:r w:rsidR="00172580" w:rsidRPr="0074656F">
        <w:rPr>
          <w:sz w:val="22"/>
          <w:szCs w:val="22"/>
        </w:rPr>
        <w:t xml:space="preserve"> the record itself.  In </w:t>
      </w:r>
      <w:r w:rsidR="00974454" w:rsidRPr="0074656F">
        <w:rPr>
          <w:sz w:val="22"/>
          <w:szCs w:val="22"/>
        </w:rPr>
        <w:t>my view, the failure to show that the error appears on the record of the proceedings before Kruger AJ cannot</w:t>
      </w:r>
      <w:r w:rsidR="0066293B" w:rsidRPr="0074656F">
        <w:rPr>
          <w:sz w:val="22"/>
          <w:szCs w:val="22"/>
        </w:rPr>
        <w:t xml:space="preserve"> constitute a bar to the applicant being successful under</w:t>
      </w:r>
      <w:r w:rsidR="00A71A0B" w:rsidRPr="0074656F">
        <w:rPr>
          <w:sz w:val="22"/>
          <w:szCs w:val="22"/>
        </w:rPr>
        <w:t xml:space="preserve"> Rule 42 (1) (a).  It is not a requirement of the Rule that the error appear on the record before rescission can be granted.  Therefore, I do not, with respect</w:t>
      </w:r>
      <w:r w:rsidR="00017A13">
        <w:rPr>
          <w:sz w:val="22"/>
          <w:szCs w:val="22"/>
        </w:rPr>
        <w:t>, agree</w:t>
      </w:r>
      <w:r w:rsidR="00C00B99" w:rsidRPr="0074656F">
        <w:rPr>
          <w:sz w:val="22"/>
          <w:szCs w:val="22"/>
        </w:rPr>
        <w:t xml:space="preserve"> with </w:t>
      </w:r>
      <w:r w:rsidR="00D12E89" w:rsidRPr="0074656F">
        <w:rPr>
          <w:sz w:val="22"/>
          <w:szCs w:val="22"/>
        </w:rPr>
        <w:t>Erasmus</w:t>
      </w:r>
      <w:r w:rsidR="00C00B99" w:rsidRPr="0074656F">
        <w:rPr>
          <w:sz w:val="22"/>
          <w:szCs w:val="22"/>
        </w:rPr>
        <w:t xml:space="preserve"> J’s conclusion that the Rule </w:t>
      </w:r>
      <w:r w:rsidR="00F64559" w:rsidRPr="0074656F">
        <w:rPr>
          <w:sz w:val="22"/>
          <w:szCs w:val="22"/>
        </w:rPr>
        <w:t xml:space="preserve">requires the applicant to prove the existence of an error appearing on the record and that the Court considering rescission </w:t>
      </w:r>
      <w:r w:rsidR="002437A7" w:rsidRPr="0074656F">
        <w:rPr>
          <w:sz w:val="22"/>
          <w:szCs w:val="22"/>
        </w:rPr>
        <w:t>is</w:t>
      </w:r>
      <w:r w:rsidR="00911313" w:rsidRPr="0074656F">
        <w:rPr>
          <w:sz w:val="22"/>
          <w:szCs w:val="22"/>
        </w:rPr>
        <w:t>, like an appeal Court, confined to the record of the proceedings.”</w:t>
      </w:r>
      <w:r w:rsidR="00CD5A0D">
        <w:rPr>
          <w:sz w:val="22"/>
          <w:szCs w:val="22"/>
        </w:rPr>
        <w:t xml:space="preserve"> </w:t>
      </w:r>
      <w:r w:rsidR="00D02836">
        <w:t>(Underlining added)</w:t>
      </w:r>
    </w:p>
    <w:p w:rsidR="009504D9" w:rsidRDefault="009504D9" w:rsidP="006B4ECE">
      <w:pPr>
        <w:ind w:firstLine="720"/>
        <w:jc w:val="both"/>
      </w:pPr>
    </w:p>
    <w:p w:rsidR="009504D9" w:rsidRDefault="009504D9" w:rsidP="002F0E37">
      <w:pPr>
        <w:spacing w:line="360" w:lineRule="auto"/>
        <w:ind w:firstLine="720"/>
        <w:jc w:val="both"/>
      </w:pPr>
      <w:r>
        <w:t>The remarks by the Supreme Court, were</w:t>
      </w:r>
      <w:r w:rsidR="00876BAF">
        <w:t xml:space="preserve"> </w:t>
      </w:r>
      <w:r w:rsidR="00B55A66">
        <w:t>in relation to the question of whether the error sought to be corrected is one that appears on the record only or from facts set out</w:t>
      </w:r>
      <w:r w:rsidR="00373885">
        <w:t xml:space="preserve"> in affidavits accompanying an application for rescission.  It then held that </w:t>
      </w:r>
      <w:r w:rsidR="00E1070F">
        <w:t>rescission</w:t>
      </w:r>
      <w:r w:rsidR="00373885">
        <w:t xml:space="preserve"> of judgment could be granted even if the error </w:t>
      </w:r>
      <w:r w:rsidR="00287E26">
        <w:t xml:space="preserve">in question was not </w:t>
      </w:r>
      <w:r w:rsidR="00287E26" w:rsidRPr="00287E26">
        <w:rPr>
          <w:i/>
        </w:rPr>
        <w:t>ex facie</w:t>
      </w:r>
      <w:r w:rsidR="00287E26">
        <w:t xml:space="preserve"> the record.</w:t>
      </w:r>
    </w:p>
    <w:p w:rsidR="00AC1F58" w:rsidRDefault="00AC1F58" w:rsidP="00DE312D">
      <w:pPr>
        <w:ind w:firstLine="720"/>
        <w:jc w:val="both"/>
      </w:pPr>
    </w:p>
    <w:p w:rsidR="00AC1F58" w:rsidRDefault="00AC1F58" w:rsidP="007F5C4E">
      <w:pPr>
        <w:spacing w:line="360" w:lineRule="auto"/>
        <w:ind w:firstLine="720"/>
        <w:jc w:val="both"/>
      </w:pPr>
      <w:r>
        <w:t xml:space="preserve">In the instant case, it seems to me the issue of the status of the respondents is </w:t>
      </w:r>
      <w:r w:rsidR="002145A5">
        <w:t>one not in dispute.  It is clear, ex facie the re</w:t>
      </w:r>
      <w:r w:rsidR="002B23D2">
        <w:t>cord, some were seasonal workers and others were permanent workers.  The question rather, should be whether the amendment that was</w:t>
      </w:r>
      <w:r w:rsidR="00800D9E">
        <w:t xml:space="preserve"> </w:t>
      </w:r>
      <w:r w:rsidR="00D12E89">
        <w:t>made</w:t>
      </w:r>
      <w:r w:rsidR="00800D9E">
        <w:t xml:space="preserve"> could be done </w:t>
      </w:r>
      <w:r w:rsidR="00685998" w:rsidRPr="007F7C5E">
        <w:rPr>
          <w:i/>
        </w:rPr>
        <w:t>mero motu</w:t>
      </w:r>
      <w:r w:rsidR="00685998">
        <w:t>.</w:t>
      </w:r>
    </w:p>
    <w:p w:rsidR="00506259" w:rsidRDefault="00506259" w:rsidP="00DE312D">
      <w:pPr>
        <w:ind w:firstLine="720"/>
        <w:jc w:val="both"/>
      </w:pPr>
    </w:p>
    <w:p w:rsidR="00C8655D" w:rsidRDefault="00870703" w:rsidP="00BA1D6C">
      <w:pPr>
        <w:spacing w:line="360" w:lineRule="auto"/>
        <w:jc w:val="both"/>
      </w:pPr>
      <w:r>
        <w:tab/>
        <w:t xml:space="preserve">Where the error is </w:t>
      </w:r>
      <w:r w:rsidRPr="00870703">
        <w:rPr>
          <w:i/>
        </w:rPr>
        <w:t>ex facie</w:t>
      </w:r>
      <w:r>
        <w:t xml:space="preserve"> the record, a </w:t>
      </w:r>
      <w:r w:rsidRPr="007F7C5E">
        <w:rPr>
          <w:i/>
        </w:rPr>
        <w:t>mero motu</w:t>
      </w:r>
      <w:r>
        <w:t xml:space="preserve"> amendment is permissible</w:t>
      </w:r>
      <w:r w:rsidR="00B925DD">
        <w:t>.</w:t>
      </w:r>
      <w:r w:rsidR="007F7C5E">
        <w:t xml:space="preserve"> </w:t>
      </w:r>
      <w:r w:rsidR="00F150AA">
        <w:t xml:space="preserve">This </w:t>
      </w:r>
      <w:r w:rsidR="007F7C5E">
        <w:t xml:space="preserve">is clear from the emphasised </w:t>
      </w:r>
      <w:r w:rsidR="00F150AA">
        <w:t>portion</w:t>
      </w:r>
      <w:r w:rsidR="007F7C5E">
        <w:t xml:space="preserve"> of the passage from the </w:t>
      </w:r>
      <w:proofErr w:type="spellStart"/>
      <w:r w:rsidR="00F150AA">
        <w:rPr>
          <w:i/>
        </w:rPr>
        <w:t>Mu</w:t>
      </w:r>
      <w:r w:rsidR="00A64FA3" w:rsidRPr="00071364">
        <w:rPr>
          <w:i/>
        </w:rPr>
        <w:t>nyimo</w:t>
      </w:r>
      <w:proofErr w:type="spellEnd"/>
      <w:r w:rsidR="00A64FA3">
        <w:t xml:space="preserve"> case, </w:t>
      </w:r>
      <w:r w:rsidR="00A64FA3" w:rsidRPr="00071364">
        <w:rPr>
          <w:i/>
        </w:rPr>
        <w:t>supra</w:t>
      </w:r>
      <w:r w:rsidR="00A64FA3">
        <w:t xml:space="preserve">.  Such a </w:t>
      </w:r>
      <w:r w:rsidR="00A64FA3" w:rsidRPr="00A64FA3">
        <w:rPr>
          <w:i/>
        </w:rPr>
        <w:t>mero motu</w:t>
      </w:r>
      <w:r w:rsidR="00A64FA3">
        <w:t xml:space="preserve"> </w:t>
      </w:r>
      <w:r w:rsidR="002F28C4">
        <w:t xml:space="preserve">amendment will, of </w:t>
      </w:r>
      <w:r w:rsidR="00F150AA">
        <w:t>course</w:t>
      </w:r>
      <w:r w:rsidR="002F28C4">
        <w:t xml:space="preserve">, </w:t>
      </w:r>
      <w:r w:rsidR="00071364">
        <w:t xml:space="preserve">depend </w:t>
      </w:r>
      <w:r w:rsidR="002E279C">
        <w:t>on the nature of the error sought to be amended.</w:t>
      </w:r>
    </w:p>
    <w:p w:rsidR="002E279C" w:rsidRDefault="002E279C" w:rsidP="00183FEC">
      <w:pPr>
        <w:jc w:val="both"/>
      </w:pPr>
    </w:p>
    <w:p w:rsidR="00594C50" w:rsidRDefault="002E279C" w:rsidP="00BA1D6C">
      <w:pPr>
        <w:spacing w:line="360" w:lineRule="auto"/>
        <w:jc w:val="both"/>
      </w:pPr>
      <w:r>
        <w:tab/>
        <w:t xml:space="preserve">Once it is accepted as an established fact, that there was a mixture of permanent and seasonal </w:t>
      </w:r>
      <w:r w:rsidR="00557EBA">
        <w:t xml:space="preserve">workers, </w:t>
      </w:r>
      <w:r w:rsidR="001E5646">
        <w:t>consequences would</w:t>
      </w:r>
      <w:r w:rsidR="007B5762">
        <w:t>,</w:t>
      </w:r>
      <w:r w:rsidR="001E5646">
        <w:t xml:space="preserve"> inevitably, be different. Once the GDC</w:t>
      </w:r>
      <w:r w:rsidR="001957D4">
        <w:t xml:space="preserve"> </w:t>
      </w:r>
      <w:r w:rsidR="004E4C70">
        <w:t xml:space="preserve">allowed the appeal, as it did, the resultant effect was a reversion to the status </w:t>
      </w:r>
      <w:r w:rsidR="004E4C70" w:rsidRPr="004E4C70">
        <w:rPr>
          <w:i/>
        </w:rPr>
        <w:t>quo ante</w:t>
      </w:r>
      <w:r w:rsidR="004E4C70">
        <w:t>.</w:t>
      </w:r>
      <w:r w:rsidR="00DF336E">
        <w:t xml:space="preserve"> The status </w:t>
      </w:r>
      <w:r w:rsidR="00DF336E" w:rsidRPr="00DF336E">
        <w:rPr>
          <w:i/>
        </w:rPr>
        <w:t>quo ante</w:t>
      </w:r>
      <w:r w:rsidR="00DF336E">
        <w:t xml:space="preserve"> would be the employment</w:t>
      </w:r>
      <w:r w:rsidR="00470D4E">
        <w:t xml:space="preserve"> of the dismissed employees.  However,</w:t>
      </w:r>
      <w:r w:rsidR="0084302F">
        <w:t xml:space="preserve"> the conditions of such employment would be different, depending on whether the employee</w:t>
      </w:r>
      <w:r w:rsidR="007052A8">
        <w:t xml:space="preserve"> was on a seasonal</w:t>
      </w:r>
      <w:r w:rsidR="00F00E3A">
        <w:t xml:space="preserve"> contract or permanent contract </w:t>
      </w:r>
      <w:r w:rsidR="008B79A8">
        <w:t xml:space="preserve">of employment. </w:t>
      </w:r>
      <w:r w:rsidR="007B5762">
        <w:t>The GDC</w:t>
      </w:r>
      <w:r w:rsidR="008B79A8">
        <w:t xml:space="preserve"> was </w:t>
      </w:r>
      <w:r w:rsidR="007B5762">
        <w:t>correcting</w:t>
      </w:r>
      <w:r w:rsidR="008B79A8">
        <w:t xml:space="preserve"> </w:t>
      </w:r>
      <w:r w:rsidR="00677FBA">
        <w:t>a</w:t>
      </w:r>
      <w:r w:rsidR="008B79A8">
        <w:t xml:space="preserve">n </w:t>
      </w:r>
      <w:r w:rsidR="00D13BD6">
        <w:t>absurdity in its initial</w:t>
      </w:r>
      <w:r w:rsidR="00677FBA">
        <w:t xml:space="preserve"> determination as submitted I paragraph 4.3</w:t>
      </w:r>
      <w:r w:rsidR="00CC10F2">
        <w:t xml:space="preserve"> of respondents’ heads of argument;</w:t>
      </w:r>
    </w:p>
    <w:p w:rsidR="00594C50" w:rsidRDefault="00594C50" w:rsidP="000C18B9">
      <w:pPr>
        <w:jc w:val="both"/>
      </w:pPr>
    </w:p>
    <w:p w:rsidR="002E279C" w:rsidRPr="000C18B9" w:rsidRDefault="001470DC" w:rsidP="000C18B9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“Taking into account th</w:t>
      </w:r>
      <w:r w:rsidR="007F36FF">
        <w:rPr>
          <w:sz w:val="22"/>
          <w:szCs w:val="22"/>
        </w:rPr>
        <w:t>at the Tribunal had observed that</w:t>
      </w:r>
      <w:r>
        <w:rPr>
          <w:sz w:val="22"/>
          <w:szCs w:val="22"/>
        </w:rPr>
        <w:t xml:space="preserve"> some of the employees were on permanent employment and others were seasonal workers it made no sense for them to be lumped into </w:t>
      </w:r>
      <w:r w:rsidR="00C05254">
        <w:rPr>
          <w:sz w:val="22"/>
          <w:szCs w:val="22"/>
        </w:rPr>
        <w:t>one basket for them to be considered for the next season of 2016 when some were employed on a permanent basis.”</w:t>
      </w:r>
    </w:p>
    <w:p w:rsidR="00130184" w:rsidRDefault="00130184" w:rsidP="00183FEC">
      <w:pPr>
        <w:jc w:val="both"/>
      </w:pPr>
    </w:p>
    <w:p w:rsidR="0093273B" w:rsidRDefault="0093273B" w:rsidP="00BA1D6C">
      <w:pPr>
        <w:spacing w:line="360" w:lineRule="auto"/>
        <w:jc w:val="both"/>
      </w:pPr>
      <w:r>
        <w:tab/>
        <w:t xml:space="preserve">Having upheld the respondents’ appeal </w:t>
      </w:r>
      <w:r w:rsidR="003C3A41">
        <w:t>against their dismissal,</w:t>
      </w:r>
      <w:r w:rsidR="000C18B9">
        <w:t xml:space="preserve"> </w:t>
      </w:r>
      <w:r w:rsidR="003C3A41">
        <w:t>the</w:t>
      </w:r>
      <w:r w:rsidR="000C18B9">
        <w:t xml:space="preserve"> logical </w:t>
      </w:r>
      <w:proofErr w:type="gramStart"/>
      <w:r w:rsidR="000C18B9">
        <w:t>natural</w:t>
      </w:r>
      <w:r w:rsidR="00EB3B34">
        <w:t>,</w:t>
      </w:r>
      <w:proofErr w:type="gramEnd"/>
      <w:r w:rsidR="00EB3B34">
        <w:t xml:space="preserve"> and </w:t>
      </w:r>
      <w:r w:rsidR="003C3A41">
        <w:t>inevitable</w:t>
      </w:r>
      <w:r w:rsidR="00EB3B34">
        <w:t xml:space="preserve"> consequence of that decision was </w:t>
      </w:r>
      <w:r w:rsidR="00210C39">
        <w:t>their re-employment</w:t>
      </w:r>
      <w:r w:rsidR="003C3A41">
        <w:t>. P</w:t>
      </w:r>
      <w:r w:rsidR="00210C39">
        <w:t xml:space="preserve">aragraph 1, which </w:t>
      </w:r>
      <w:r w:rsidR="003C3A41">
        <w:t xml:space="preserve">is </w:t>
      </w:r>
      <w:r w:rsidR="00210C39">
        <w:t xml:space="preserve">the same in both determinations of the GDC, is </w:t>
      </w:r>
      <w:r w:rsidR="00C436DA">
        <w:t xml:space="preserve">what really constitutes the decision of the GDC.  That decision was to allow the appeal. </w:t>
      </w:r>
      <w:r w:rsidR="00A45E98">
        <w:t xml:space="preserve"> The subsequent paragraphs are </w:t>
      </w:r>
      <w:r w:rsidR="00EE5A32">
        <w:t>an inescapable</w:t>
      </w:r>
      <w:r w:rsidR="00A45E98">
        <w:t xml:space="preserve"> consequence of that decision.  </w:t>
      </w:r>
      <w:r w:rsidR="00E825DE">
        <w:t xml:space="preserve"> The correction, in my view, was done to properly reflect that consequence. </w:t>
      </w:r>
      <w:r w:rsidR="00D416A4">
        <w:t>It cannot be said to be an alteration of the substance of the decision.</w:t>
      </w:r>
    </w:p>
    <w:p w:rsidR="00D416A4" w:rsidRDefault="00D416A4" w:rsidP="00183FEC">
      <w:pPr>
        <w:jc w:val="both"/>
      </w:pPr>
    </w:p>
    <w:p w:rsidR="00D416A4" w:rsidRDefault="00D416A4" w:rsidP="00BA1D6C">
      <w:pPr>
        <w:spacing w:line="360" w:lineRule="auto"/>
        <w:jc w:val="both"/>
      </w:pPr>
      <w:r>
        <w:tab/>
        <w:t xml:space="preserve">Even if the GDC had simply determined </w:t>
      </w:r>
      <w:r w:rsidR="000833C3">
        <w:t xml:space="preserve">“The appeal succeeds”, without </w:t>
      </w:r>
      <w:r w:rsidR="008E443B">
        <w:t>adding the subsequent paragraphs, applicant would still be faced with the same consequences.  On the basis of that determination</w:t>
      </w:r>
      <w:r w:rsidR="00CC4A2F">
        <w:t>, the respondents would be</w:t>
      </w:r>
      <w:r w:rsidR="008E443B">
        <w:t xml:space="preserve"> </w:t>
      </w:r>
      <w:r w:rsidR="00CC4A2F">
        <w:t>entitled to approach the applicant fo</w:t>
      </w:r>
      <w:r w:rsidR="00DA5F93">
        <w:t xml:space="preserve">r re-employment, in their respective </w:t>
      </w:r>
      <w:r w:rsidR="009B05DD">
        <w:t>capacities.</w:t>
      </w:r>
      <w:r w:rsidR="00DA5F93">
        <w:t xml:space="preserve"> In other</w:t>
      </w:r>
      <w:r w:rsidR="006A5F67">
        <w:t xml:space="preserve"> words</w:t>
      </w:r>
      <w:r w:rsidR="009B05DD">
        <w:t>,</w:t>
      </w:r>
      <w:r w:rsidR="006A5F67">
        <w:t xml:space="preserve"> what the GDC did was to simply clarify the consequences flowing </w:t>
      </w:r>
      <w:r w:rsidR="000B247E">
        <w:t>from its decision, not to alter its substance.  In the circumstances, there is merit in t</w:t>
      </w:r>
      <w:r w:rsidR="000E2614">
        <w:t xml:space="preserve">he respondents’ contention that the </w:t>
      </w:r>
      <w:r w:rsidR="000E2614" w:rsidRPr="00DC7CC3">
        <w:rPr>
          <w:i/>
        </w:rPr>
        <w:t>mero motu</w:t>
      </w:r>
      <w:r w:rsidR="000E2614">
        <w:t xml:space="preserve"> </w:t>
      </w:r>
      <w:r w:rsidR="00DC7CC3">
        <w:t>correction of the GDC determination was properly made.</w:t>
      </w:r>
    </w:p>
    <w:p w:rsidR="00244BE0" w:rsidRDefault="00244BE0" w:rsidP="00183FEC">
      <w:pPr>
        <w:jc w:val="both"/>
      </w:pPr>
    </w:p>
    <w:p w:rsidR="00244BE0" w:rsidRPr="009036B5" w:rsidRDefault="00244BE0" w:rsidP="00BA1D6C">
      <w:pPr>
        <w:spacing w:line="360" w:lineRule="auto"/>
        <w:jc w:val="both"/>
        <w:rPr>
          <w:u w:val="single"/>
        </w:rPr>
      </w:pPr>
      <w:r w:rsidRPr="009036B5">
        <w:rPr>
          <w:u w:val="single"/>
        </w:rPr>
        <w:t>Ground 7</w:t>
      </w:r>
    </w:p>
    <w:p w:rsidR="00244BE0" w:rsidRDefault="00244BE0" w:rsidP="009036B5">
      <w:pPr>
        <w:jc w:val="both"/>
      </w:pPr>
    </w:p>
    <w:p w:rsidR="00244BE0" w:rsidRDefault="00244BE0" w:rsidP="00BA1D6C">
      <w:pPr>
        <w:spacing w:line="360" w:lineRule="auto"/>
        <w:jc w:val="both"/>
      </w:pPr>
      <w:r>
        <w:lastRenderedPageBreak/>
        <w:tab/>
        <w:t xml:space="preserve">Under this ground </w:t>
      </w:r>
      <w:r w:rsidR="001706DF">
        <w:t xml:space="preserve">for review, the applicant is alleging bias on the part of the GDC Chairman.  The allegation of </w:t>
      </w:r>
      <w:r w:rsidR="00590656">
        <w:t>bias</w:t>
      </w:r>
      <w:r w:rsidR="001706DF">
        <w:t xml:space="preserve"> is premised on the </w:t>
      </w:r>
      <w:r w:rsidR="00C50C70">
        <w:t>averments made in grounds for review 4, 5 and 6.  These have</w:t>
      </w:r>
      <w:r w:rsidR="00EC14A3">
        <w:t xml:space="preserve"> been considered above, and have not been upheld.  If the basis of the alleged</w:t>
      </w:r>
      <w:r w:rsidR="008E584C">
        <w:t xml:space="preserve"> bias has been found to be without merit, ground 7 cannot be upheld.</w:t>
      </w:r>
    </w:p>
    <w:p w:rsidR="008E584C" w:rsidRDefault="008E584C" w:rsidP="009036B5">
      <w:pPr>
        <w:jc w:val="both"/>
      </w:pPr>
    </w:p>
    <w:p w:rsidR="008E584C" w:rsidRDefault="008E584C" w:rsidP="00BA1D6C">
      <w:pPr>
        <w:spacing w:line="360" w:lineRule="auto"/>
        <w:jc w:val="both"/>
      </w:pPr>
      <w:r>
        <w:t>In the cir</w:t>
      </w:r>
      <w:r w:rsidR="003209D5">
        <w:t xml:space="preserve">cumstances, the application for review cannot succeed.  It is accordingly ordered that; </w:t>
      </w:r>
    </w:p>
    <w:p w:rsidR="003209D5" w:rsidRDefault="003209D5" w:rsidP="009036B5">
      <w:pPr>
        <w:jc w:val="both"/>
      </w:pPr>
    </w:p>
    <w:p w:rsidR="003209D5" w:rsidRDefault="003209D5" w:rsidP="003209D5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application for review be and is hereby dismissed.</w:t>
      </w:r>
    </w:p>
    <w:p w:rsidR="003209D5" w:rsidRDefault="009B05DD" w:rsidP="003209D5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applicant shall</w:t>
      </w:r>
      <w:r w:rsidR="008D2E0F">
        <w:t xml:space="preserve"> bear the respondents’ costs.</w:t>
      </w:r>
    </w:p>
    <w:p w:rsidR="00CF4546" w:rsidRDefault="00CF4546" w:rsidP="00CF4546">
      <w:pPr>
        <w:spacing w:line="360" w:lineRule="auto"/>
        <w:jc w:val="both"/>
      </w:pPr>
    </w:p>
    <w:p w:rsidR="00CF4546" w:rsidRDefault="00CF4546" w:rsidP="00CF4546">
      <w:pPr>
        <w:spacing w:line="360" w:lineRule="auto"/>
        <w:jc w:val="both"/>
      </w:pPr>
    </w:p>
    <w:p w:rsidR="00CF4546" w:rsidRDefault="00CF4546" w:rsidP="00CF4546">
      <w:pPr>
        <w:spacing w:line="360" w:lineRule="auto"/>
        <w:jc w:val="both"/>
      </w:pPr>
      <w:r w:rsidRPr="009036B5">
        <w:rPr>
          <w:i/>
        </w:rPr>
        <w:t>C Kuhuni Attorneys</w:t>
      </w:r>
      <w:r>
        <w:t>, applicant’s legal practitioners</w:t>
      </w:r>
    </w:p>
    <w:p w:rsidR="001D3EC0" w:rsidRPr="00442D3A" w:rsidRDefault="001D3EC0" w:rsidP="00CF4546">
      <w:pPr>
        <w:spacing w:line="360" w:lineRule="auto"/>
        <w:jc w:val="both"/>
      </w:pPr>
      <w:r w:rsidRPr="009036B5">
        <w:rPr>
          <w:i/>
        </w:rPr>
        <w:t>Matsikidze and Mucheche</w:t>
      </w:r>
      <w:r>
        <w:t>, respondents’ legal practitioners</w:t>
      </w:r>
    </w:p>
    <w:sectPr w:rsidR="001D3EC0" w:rsidRPr="00442D3A" w:rsidSect="00DC3F85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70" w:rsidRDefault="00B11370" w:rsidP="00DC3F85">
      <w:r>
        <w:separator/>
      </w:r>
    </w:p>
  </w:endnote>
  <w:endnote w:type="continuationSeparator" w:id="0">
    <w:p w:rsidR="00B11370" w:rsidRDefault="00B11370" w:rsidP="00DC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6805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2614" w:rsidRDefault="000E26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3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2614" w:rsidRDefault="000E2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70" w:rsidRDefault="00B11370" w:rsidP="00DC3F85">
      <w:r>
        <w:separator/>
      </w:r>
    </w:p>
  </w:footnote>
  <w:footnote w:type="continuationSeparator" w:id="0">
    <w:p w:rsidR="00B11370" w:rsidRDefault="00B11370" w:rsidP="00DC3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14" w:rsidRPr="00DC3F85" w:rsidRDefault="000E2614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137303">
      <w:rPr>
        <w:lang w:val="en-ZW"/>
      </w:rPr>
      <w:t>658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121C"/>
    <w:multiLevelType w:val="hybridMultilevel"/>
    <w:tmpl w:val="501CBA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4F"/>
    <w:rsid w:val="00005EBD"/>
    <w:rsid w:val="000130A1"/>
    <w:rsid w:val="00013BF3"/>
    <w:rsid w:val="00017A13"/>
    <w:rsid w:val="00046BD9"/>
    <w:rsid w:val="000541E5"/>
    <w:rsid w:val="00061A68"/>
    <w:rsid w:val="0006258D"/>
    <w:rsid w:val="00071364"/>
    <w:rsid w:val="000833C3"/>
    <w:rsid w:val="00087573"/>
    <w:rsid w:val="00095A5F"/>
    <w:rsid w:val="000B1F02"/>
    <w:rsid w:val="000B247E"/>
    <w:rsid w:val="000B52C5"/>
    <w:rsid w:val="000C18B9"/>
    <w:rsid w:val="000C21A3"/>
    <w:rsid w:val="000C286B"/>
    <w:rsid w:val="000C69ED"/>
    <w:rsid w:val="000D4BB5"/>
    <w:rsid w:val="000D4F9E"/>
    <w:rsid w:val="000D5384"/>
    <w:rsid w:val="000E2614"/>
    <w:rsid w:val="000E4DBD"/>
    <w:rsid w:val="000F02D0"/>
    <w:rsid w:val="001102D3"/>
    <w:rsid w:val="00110D6B"/>
    <w:rsid w:val="001139CC"/>
    <w:rsid w:val="00114FC2"/>
    <w:rsid w:val="00124811"/>
    <w:rsid w:val="00130137"/>
    <w:rsid w:val="00130184"/>
    <w:rsid w:val="001347E1"/>
    <w:rsid w:val="00137303"/>
    <w:rsid w:val="001470DC"/>
    <w:rsid w:val="001579EC"/>
    <w:rsid w:val="001706DF"/>
    <w:rsid w:val="00172580"/>
    <w:rsid w:val="001725BB"/>
    <w:rsid w:val="00181422"/>
    <w:rsid w:val="00183FEC"/>
    <w:rsid w:val="001957D4"/>
    <w:rsid w:val="00196220"/>
    <w:rsid w:val="001A65D0"/>
    <w:rsid w:val="001B6566"/>
    <w:rsid w:val="001C1732"/>
    <w:rsid w:val="001C29D0"/>
    <w:rsid w:val="001C3A0F"/>
    <w:rsid w:val="001C4AF5"/>
    <w:rsid w:val="001D1E5E"/>
    <w:rsid w:val="001D3EC0"/>
    <w:rsid w:val="001D53E5"/>
    <w:rsid w:val="001D5546"/>
    <w:rsid w:val="001E2C82"/>
    <w:rsid w:val="001E4B45"/>
    <w:rsid w:val="001E5646"/>
    <w:rsid w:val="001E7859"/>
    <w:rsid w:val="00210C39"/>
    <w:rsid w:val="002145A5"/>
    <w:rsid w:val="002155FC"/>
    <w:rsid w:val="00216944"/>
    <w:rsid w:val="00223C64"/>
    <w:rsid w:val="00240321"/>
    <w:rsid w:val="002437A7"/>
    <w:rsid w:val="00244BE0"/>
    <w:rsid w:val="00267D1D"/>
    <w:rsid w:val="00274637"/>
    <w:rsid w:val="00274754"/>
    <w:rsid w:val="00287E26"/>
    <w:rsid w:val="002938C5"/>
    <w:rsid w:val="002A4441"/>
    <w:rsid w:val="002A6FED"/>
    <w:rsid w:val="002A7FEF"/>
    <w:rsid w:val="002B23D2"/>
    <w:rsid w:val="002B4473"/>
    <w:rsid w:val="002C7F9C"/>
    <w:rsid w:val="002D132D"/>
    <w:rsid w:val="002D202E"/>
    <w:rsid w:val="002E279C"/>
    <w:rsid w:val="002F0E37"/>
    <w:rsid w:val="002F2050"/>
    <w:rsid w:val="002F28C4"/>
    <w:rsid w:val="002F2CDA"/>
    <w:rsid w:val="003010D8"/>
    <w:rsid w:val="003209D5"/>
    <w:rsid w:val="0032607B"/>
    <w:rsid w:val="0032740D"/>
    <w:rsid w:val="003528B7"/>
    <w:rsid w:val="00373885"/>
    <w:rsid w:val="0037727E"/>
    <w:rsid w:val="003870BA"/>
    <w:rsid w:val="00391D78"/>
    <w:rsid w:val="00394110"/>
    <w:rsid w:val="003A2AF3"/>
    <w:rsid w:val="003A43E7"/>
    <w:rsid w:val="003C3A41"/>
    <w:rsid w:val="003C3AE4"/>
    <w:rsid w:val="003D2BDC"/>
    <w:rsid w:val="003D5825"/>
    <w:rsid w:val="003E029B"/>
    <w:rsid w:val="003F7AA1"/>
    <w:rsid w:val="0042592E"/>
    <w:rsid w:val="004315F5"/>
    <w:rsid w:val="00435A02"/>
    <w:rsid w:val="00442D3A"/>
    <w:rsid w:val="00443985"/>
    <w:rsid w:val="00443B21"/>
    <w:rsid w:val="00445BEC"/>
    <w:rsid w:val="00446B49"/>
    <w:rsid w:val="00455830"/>
    <w:rsid w:val="00455D4C"/>
    <w:rsid w:val="00464436"/>
    <w:rsid w:val="00470D4E"/>
    <w:rsid w:val="0047271F"/>
    <w:rsid w:val="00473624"/>
    <w:rsid w:val="004935C3"/>
    <w:rsid w:val="00496B08"/>
    <w:rsid w:val="00496E37"/>
    <w:rsid w:val="004A146F"/>
    <w:rsid w:val="004A7141"/>
    <w:rsid w:val="004C4D63"/>
    <w:rsid w:val="004D7C0F"/>
    <w:rsid w:val="004E224F"/>
    <w:rsid w:val="004E4C70"/>
    <w:rsid w:val="005000B5"/>
    <w:rsid w:val="0050349E"/>
    <w:rsid w:val="00506259"/>
    <w:rsid w:val="00506C0D"/>
    <w:rsid w:val="00507AEB"/>
    <w:rsid w:val="00533058"/>
    <w:rsid w:val="005454C2"/>
    <w:rsid w:val="005466A9"/>
    <w:rsid w:val="00555839"/>
    <w:rsid w:val="00557EBA"/>
    <w:rsid w:val="0056372D"/>
    <w:rsid w:val="00564DD8"/>
    <w:rsid w:val="00565A9F"/>
    <w:rsid w:val="00570957"/>
    <w:rsid w:val="005710BA"/>
    <w:rsid w:val="00572F45"/>
    <w:rsid w:val="005817C0"/>
    <w:rsid w:val="0058260D"/>
    <w:rsid w:val="00584437"/>
    <w:rsid w:val="00584AA2"/>
    <w:rsid w:val="00585E71"/>
    <w:rsid w:val="00590656"/>
    <w:rsid w:val="00594061"/>
    <w:rsid w:val="00594C50"/>
    <w:rsid w:val="005A1421"/>
    <w:rsid w:val="005B01A9"/>
    <w:rsid w:val="005C653A"/>
    <w:rsid w:val="005E086E"/>
    <w:rsid w:val="005E143C"/>
    <w:rsid w:val="005E355B"/>
    <w:rsid w:val="005F22A2"/>
    <w:rsid w:val="005F2370"/>
    <w:rsid w:val="005F7AFA"/>
    <w:rsid w:val="0061498D"/>
    <w:rsid w:val="00636F2D"/>
    <w:rsid w:val="0066293B"/>
    <w:rsid w:val="006644E1"/>
    <w:rsid w:val="00666E74"/>
    <w:rsid w:val="00670351"/>
    <w:rsid w:val="0067198D"/>
    <w:rsid w:val="006754EF"/>
    <w:rsid w:val="006759DE"/>
    <w:rsid w:val="00677FBA"/>
    <w:rsid w:val="00685998"/>
    <w:rsid w:val="00691C49"/>
    <w:rsid w:val="006A16F3"/>
    <w:rsid w:val="006A1C50"/>
    <w:rsid w:val="006A5F67"/>
    <w:rsid w:val="006B3C7D"/>
    <w:rsid w:val="006B4ECE"/>
    <w:rsid w:val="006B56A2"/>
    <w:rsid w:val="006D5926"/>
    <w:rsid w:val="006D72F1"/>
    <w:rsid w:val="006D75CE"/>
    <w:rsid w:val="006E064A"/>
    <w:rsid w:val="006F21D9"/>
    <w:rsid w:val="007052A8"/>
    <w:rsid w:val="00715D24"/>
    <w:rsid w:val="0072198D"/>
    <w:rsid w:val="00726015"/>
    <w:rsid w:val="00726226"/>
    <w:rsid w:val="007370AB"/>
    <w:rsid w:val="00741540"/>
    <w:rsid w:val="0074656F"/>
    <w:rsid w:val="00746FE5"/>
    <w:rsid w:val="00766034"/>
    <w:rsid w:val="00773D6F"/>
    <w:rsid w:val="00777D24"/>
    <w:rsid w:val="00794351"/>
    <w:rsid w:val="00794C42"/>
    <w:rsid w:val="00797125"/>
    <w:rsid w:val="00797540"/>
    <w:rsid w:val="007A6C1D"/>
    <w:rsid w:val="007B5762"/>
    <w:rsid w:val="007C24ED"/>
    <w:rsid w:val="007C6234"/>
    <w:rsid w:val="007D05E3"/>
    <w:rsid w:val="007D1338"/>
    <w:rsid w:val="007D3FEE"/>
    <w:rsid w:val="007D4374"/>
    <w:rsid w:val="007D695A"/>
    <w:rsid w:val="007E23F6"/>
    <w:rsid w:val="007E6684"/>
    <w:rsid w:val="007F36FF"/>
    <w:rsid w:val="007F5C4E"/>
    <w:rsid w:val="007F7C5E"/>
    <w:rsid w:val="00800D9E"/>
    <w:rsid w:val="00805A62"/>
    <w:rsid w:val="00811189"/>
    <w:rsid w:val="008175D0"/>
    <w:rsid w:val="0082504E"/>
    <w:rsid w:val="0082526D"/>
    <w:rsid w:val="008264A9"/>
    <w:rsid w:val="00834C75"/>
    <w:rsid w:val="0084302F"/>
    <w:rsid w:val="00844EE0"/>
    <w:rsid w:val="00856966"/>
    <w:rsid w:val="00861B6E"/>
    <w:rsid w:val="0086730B"/>
    <w:rsid w:val="00870703"/>
    <w:rsid w:val="00876BAF"/>
    <w:rsid w:val="008826ED"/>
    <w:rsid w:val="00892416"/>
    <w:rsid w:val="008B79A8"/>
    <w:rsid w:val="008D2457"/>
    <w:rsid w:val="008D2E0F"/>
    <w:rsid w:val="008E2A93"/>
    <w:rsid w:val="008E443B"/>
    <w:rsid w:val="008E584C"/>
    <w:rsid w:val="008E585D"/>
    <w:rsid w:val="008F5E61"/>
    <w:rsid w:val="0090061E"/>
    <w:rsid w:val="009036B5"/>
    <w:rsid w:val="0091076A"/>
    <w:rsid w:val="00911313"/>
    <w:rsid w:val="00930DE0"/>
    <w:rsid w:val="0093273B"/>
    <w:rsid w:val="00941373"/>
    <w:rsid w:val="009504D9"/>
    <w:rsid w:val="00956FAD"/>
    <w:rsid w:val="00956FB7"/>
    <w:rsid w:val="00974454"/>
    <w:rsid w:val="00981CA9"/>
    <w:rsid w:val="00983285"/>
    <w:rsid w:val="00997B0B"/>
    <w:rsid w:val="009A0945"/>
    <w:rsid w:val="009A4732"/>
    <w:rsid w:val="009A5BE4"/>
    <w:rsid w:val="009B05DD"/>
    <w:rsid w:val="009B7A95"/>
    <w:rsid w:val="009C3F44"/>
    <w:rsid w:val="009D30E3"/>
    <w:rsid w:val="009D37C2"/>
    <w:rsid w:val="009E1669"/>
    <w:rsid w:val="009E5E84"/>
    <w:rsid w:val="00A13A10"/>
    <w:rsid w:val="00A2114D"/>
    <w:rsid w:val="00A3071A"/>
    <w:rsid w:val="00A35A7A"/>
    <w:rsid w:val="00A400AC"/>
    <w:rsid w:val="00A45E98"/>
    <w:rsid w:val="00A500E4"/>
    <w:rsid w:val="00A5154A"/>
    <w:rsid w:val="00A525FC"/>
    <w:rsid w:val="00A64FA3"/>
    <w:rsid w:val="00A65938"/>
    <w:rsid w:val="00A71A0B"/>
    <w:rsid w:val="00A76EC5"/>
    <w:rsid w:val="00A85490"/>
    <w:rsid w:val="00A902C9"/>
    <w:rsid w:val="00A90672"/>
    <w:rsid w:val="00A92EF2"/>
    <w:rsid w:val="00A97C2C"/>
    <w:rsid w:val="00AA3DB9"/>
    <w:rsid w:val="00AC1F58"/>
    <w:rsid w:val="00AD0502"/>
    <w:rsid w:val="00AD485A"/>
    <w:rsid w:val="00AE3A69"/>
    <w:rsid w:val="00AE4667"/>
    <w:rsid w:val="00AE66AF"/>
    <w:rsid w:val="00AE79A5"/>
    <w:rsid w:val="00AF288A"/>
    <w:rsid w:val="00B0387B"/>
    <w:rsid w:val="00B03CAB"/>
    <w:rsid w:val="00B0594D"/>
    <w:rsid w:val="00B11370"/>
    <w:rsid w:val="00B22255"/>
    <w:rsid w:val="00B5235D"/>
    <w:rsid w:val="00B54DA7"/>
    <w:rsid w:val="00B55A66"/>
    <w:rsid w:val="00B56611"/>
    <w:rsid w:val="00B77545"/>
    <w:rsid w:val="00B81D00"/>
    <w:rsid w:val="00B925DD"/>
    <w:rsid w:val="00B96BC6"/>
    <w:rsid w:val="00BA1B5C"/>
    <w:rsid w:val="00BA1D6C"/>
    <w:rsid w:val="00BA66EA"/>
    <w:rsid w:val="00BB146B"/>
    <w:rsid w:val="00BC0528"/>
    <w:rsid w:val="00BC6507"/>
    <w:rsid w:val="00BC65D1"/>
    <w:rsid w:val="00BE389E"/>
    <w:rsid w:val="00BF1842"/>
    <w:rsid w:val="00BF63C9"/>
    <w:rsid w:val="00C00B99"/>
    <w:rsid w:val="00C02ED9"/>
    <w:rsid w:val="00C05254"/>
    <w:rsid w:val="00C13CE0"/>
    <w:rsid w:val="00C20978"/>
    <w:rsid w:val="00C436DA"/>
    <w:rsid w:val="00C50C70"/>
    <w:rsid w:val="00C63AAC"/>
    <w:rsid w:val="00C64F13"/>
    <w:rsid w:val="00C65139"/>
    <w:rsid w:val="00C7047C"/>
    <w:rsid w:val="00C72D01"/>
    <w:rsid w:val="00C80AB4"/>
    <w:rsid w:val="00C8655D"/>
    <w:rsid w:val="00C90393"/>
    <w:rsid w:val="00C945E7"/>
    <w:rsid w:val="00C95391"/>
    <w:rsid w:val="00C97FDC"/>
    <w:rsid w:val="00CA2798"/>
    <w:rsid w:val="00CA667D"/>
    <w:rsid w:val="00CC10F2"/>
    <w:rsid w:val="00CC4402"/>
    <w:rsid w:val="00CC4A2F"/>
    <w:rsid w:val="00CD3DD3"/>
    <w:rsid w:val="00CD5A0D"/>
    <w:rsid w:val="00CD7891"/>
    <w:rsid w:val="00CE4AB6"/>
    <w:rsid w:val="00CF4546"/>
    <w:rsid w:val="00D01251"/>
    <w:rsid w:val="00D02836"/>
    <w:rsid w:val="00D12E89"/>
    <w:rsid w:val="00D13BD6"/>
    <w:rsid w:val="00D14863"/>
    <w:rsid w:val="00D32B95"/>
    <w:rsid w:val="00D34D6C"/>
    <w:rsid w:val="00D36237"/>
    <w:rsid w:val="00D412F6"/>
    <w:rsid w:val="00D416A4"/>
    <w:rsid w:val="00D43CF7"/>
    <w:rsid w:val="00D45158"/>
    <w:rsid w:val="00D45740"/>
    <w:rsid w:val="00D509D4"/>
    <w:rsid w:val="00D560CF"/>
    <w:rsid w:val="00D60EA8"/>
    <w:rsid w:val="00D61905"/>
    <w:rsid w:val="00D817BD"/>
    <w:rsid w:val="00D852C9"/>
    <w:rsid w:val="00D93545"/>
    <w:rsid w:val="00D95A41"/>
    <w:rsid w:val="00D96DF4"/>
    <w:rsid w:val="00DA14D3"/>
    <w:rsid w:val="00DA5F93"/>
    <w:rsid w:val="00DB0A6C"/>
    <w:rsid w:val="00DB53DF"/>
    <w:rsid w:val="00DC3B9E"/>
    <w:rsid w:val="00DC3F85"/>
    <w:rsid w:val="00DC7CC3"/>
    <w:rsid w:val="00DD1BEA"/>
    <w:rsid w:val="00DE11C5"/>
    <w:rsid w:val="00DE312D"/>
    <w:rsid w:val="00DF0023"/>
    <w:rsid w:val="00DF336E"/>
    <w:rsid w:val="00E0096E"/>
    <w:rsid w:val="00E01F71"/>
    <w:rsid w:val="00E1070F"/>
    <w:rsid w:val="00E16858"/>
    <w:rsid w:val="00E21249"/>
    <w:rsid w:val="00E33442"/>
    <w:rsid w:val="00E337AB"/>
    <w:rsid w:val="00E410F4"/>
    <w:rsid w:val="00E437FE"/>
    <w:rsid w:val="00E43CC8"/>
    <w:rsid w:val="00E44772"/>
    <w:rsid w:val="00E46DCA"/>
    <w:rsid w:val="00E50AFF"/>
    <w:rsid w:val="00E65005"/>
    <w:rsid w:val="00E70357"/>
    <w:rsid w:val="00E73DF8"/>
    <w:rsid w:val="00E74176"/>
    <w:rsid w:val="00E74EF1"/>
    <w:rsid w:val="00E75093"/>
    <w:rsid w:val="00E7764E"/>
    <w:rsid w:val="00E8209D"/>
    <w:rsid w:val="00E825DE"/>
    <w:rsid w:val="00E91BDF"/>
    <w:rsid w:val="00E97AD6"/>
    <w:rsid w:val="00EB3B34"/>
    <w:rsid w:val="00EC0A34"/>
    <w:rsid w:val="00EC14A3"/>
    <w:rsid w:val="00EC522A"/>
    <w:rsid w:val="00EC6488"/>
    <w:rsid w:val="00EC7784"/>
    <w:rsid w:val="00ED0778"/>
    <w:rsid w:val="00ED26F9"/>
    <w:rsid w:val="00ED30D4"/>
    <w:rsid w:val="00ED770A"/>
    <w:rsid w:val="00EE5A32"/>
    <w:rsid w:val="00EF0E4D"/>
    <w:rsid w:val="00F00E3A"/>
    <w:rsid w:val="00F14301"/>
    <w:rsid w:val="00F150AA"/>
    <w:rsid w:val="00F1724C"/>
    <w:rsid w:val="00F21B64"/>
    <w:rsid w:val="00F2742D"/>
    <w:rsid w:val="00F449F8"/>
    <w:rsid w:val="00F548DA"/>
    <w:rsid w:val="00F5500A"/>
    <w:rsid w:val="00F57C15"/>
    <w:rsid w:val="00F64559"/>
    <w:rsid w:val="00F67B78"/>
    <w:rsid w:val="00F76C53"/>
    <w:rsid w:val="00F7755B"/>
    <w:rsid w:val="00F8193C"/>
    <w:rsid w:val="00F94B6F"/>
    <w:rsid w:val="00FA50B8"/>
    <w:rsid w:val="00FB12CA"/>
    <w:rsid w:val="00FB7D27"/>
    <w:rsid w:val="00FC3F97"/>
    <w:rsid w:val="00FC5620"/>
    <w:rsid w:val="00FC643D"/>
    <w:rsid w:val="00FD7C98"/>
    <w:rsid w:val="00FE1D56"/>
    <w:rsid w:val="00FF176C"/>
    <w:rsid w:val="00FF2A06"/>
    <w:rsid w:val="00FF3A1F"/>
    <w:rsid w:val="00FF5B2A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4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24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3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F85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3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F85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209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61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1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4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24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3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F85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3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F85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209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61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1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F0960-E2E2-44DF-9766-3DFC4538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2016-10-11T12:40:00Z</cp:lastPrinted>
  <dcterms:created xsi:type="dcterms:W3CDTF">2016-10-18T13:34:00Z</dcterms:created>
  <dcterms:modified xsi:type="dcterms:W3CDTF">2016-10-18T13:34:00Z</dcterms:modified>
</cp:coreProperties>
</file>