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8B912" w14:textId="4E5687C3" w:rsidR="00ED3979" w:rsidRPr="004A5256" w:rsidRDefault="00825C1B" w:rsidP="00160AF0">
      <w:pPr>
        <w:spacing w:after="0" w:line="240" w:lineRule="auto"/>
        <w:jc w:val="both"/>
        <w:rPr>
          <w:rFonts w:ascii="Times New Roman" w:hAnsi="Times New Roman" w:cs="Times New Roman"/>
          <w:sz w:val="24"/>
          <w:szCs w:val="24"/>
          <w:lang w:val="fr-CA"/>
        </w:rPr>
      </w:pPr>
      <w:r w:rsidRPr="004A5256">
        <w:rPr>
          <w:rFonts w:ascii="Times New Roman" w:hAnsi="Times New Roman" w:cs="Times New Roman"/>
          <w:sz w:val="24"/>
          <w:szCs w:val="24"/>
          <w:lang w:val="fr-CA"/>
        </w:rPr>
        <w:t>TRIANGLE</w:t>
      </w:r>
      <w:r w:rsidR="00ED3979" w:rsidRPr="004A5256">
        <w:rPr>
          <w:rFonts w:ascii="Times New Roman" w:hAnsi="Times New Roman" w:cs="Times New Roman"/>
          <w:sz w:val="24"/>
          <w:szCs w:val="24"/>
          <w:lang w:val="fr-CA"/>
        </w:rPr>
        <w:t xml:space="preserve"> (PVT) LTD</w:t>
      </w:r>
      <w:r w:rsidR="00AD56A2">
        <w:rPr>
          <w:rFonts w:ascii="Times New Roman" w:hAnsi="Times New Roman" w:cs="Times New Roman"/>
          <w:sz w:val="24"/>
          <w:szCs w:val="24"/>
          <w:lang w:val="fr-CA"/>
        </w:rPr>
        <w:t xml:space="preserve">                                                     </w:t>
      </w:r>
    </w:p>
    <w:p w14:paraId="5EBA02A9" w14:textId="0F6234B1" w:rsidR="00ED3979" w:rsidRPr="004A5256" w:rsidRDefault="00825C1B" w:rsidP="00160AF0">
      <w:pPr>
        <w:spacing w:after="0" w:line="240" w:lineRule="auto"/>
        <w:jc w:val="both"/>
        <w:rPr>
          <w:rFonts w:ascii="Times New Roman" w:hAnsi="Times New Roman" w:cs="Times New Roman"/>
          <w:sz w:val="24"/>
          <w:szCs w:val="24"/>
          <w:lang w:val="fr-CA"/>
        </w:rPr>
      </w:pPr>
      <w:r w:rsidRPr="004A5256">
        <w:rPr>
          <w:rFonts w:ascii="Times New Roman" w:hAnsi="Times New Roman" w:cs="Times New Roman"/>
          <w:sz w:val="24"/>
          <w:szCs w:val="24"/>
          <w:lang w:val="fr-CA"/>
        </w:rPr>
        <w:t xml:space="preserve">versus </w:t>
      </w:r>
    </w:p>
    <w:p w14:paraId="09BACFFE" w14:textId="77777777" w:rsidR="00ED3979" w:rsidRPr="004A5256" w:rsidRDefault="00ED3979" w:rsidP="00160AF0">
      <w:pPr>
        <w:spacing w:after="0" w:line="240" w:lineRule="auto"/>
        <w:jc w:val="both"/>
        <w:rPr>
          <w:rFonts w:ascii="Times New Roman" w:hAnsi="Times New Roman" w:cs="Times New Roman"/>
          <w:sz w:val="24"/>
          <w:szCs w:val="24"/>
          <w:lang w:val="fr-CA"/>
        </w:rPr>
      </w:pPr>
      <w:r w:rsidRPr="004A5256">
        <w:rPr>
          <w:rFonts w:ascii="Times New Roman" w:hAnsi="Times New Roman" w:cs="Times New Roman"/>
          <w:sz w:val="24"/>
          <w:szCs w:val="24"/>
          <w:lang w:val="fr-CA"/>
        </w:rPr>
        <w:t xml:space="preserve">ERNEST </w:t>
      </w:r>
      <w:r w:rsidR="00825C1B" w:rsidRPr="004A5256">
        <w:rPr>
          <w:rFonts w:ascii="Times New Roman" w:hAnsi="Times New Roman" w:cs="Times New Roman"/>
          <w:sz w:val="24"/>
          <w:szCs w:val="24"/>
          <w:lang w:val="fr-CA"/>
        </w:rPr>
        <w:t>ESTON</w:t>
      </w:r>
    </w:p>
    <w:p w14:paraId="28244502" w14:textId="3D04C343" w:rsidR="00ED3979"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ED3979" w:rsidRPr="004A5256">
        <w:rPr>
          <w:rFonts w:ascii="Times New Roman" w:hAnsi="Times New Roman" w:cs="Times New Roman"/>
          <w:sz w:val="24"/>
          <w:szCs w:val="24"/>
        </w:rPr>
        <w:t xml:space="preserve">nd </w:t>
      </w:r>
    </w:p>
    <w:p w14:paraId="0F0C5DCD" w14:textId="77777777" w:rsidR="00ED3979" w:rsidRPr="004A5256" w:rsidRDefault="00ED397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ANDRIES J BOSCH</w:t>
      </w:r>
    </w:p>
    <w:p w14:paraId="45069F43" w14:textId="7CD14C4A" w:rsidR="00ED3979"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ED3979" w:rsidRPr="004A5256">
        <w:rPr>
          <w:rFonts w:ascii="Times New Roman" w:hAnsi="Times New Roman" w:cs="Times New Roman"/>
          <w:sz w:val="24"/>
          <w:szCs w:val="24"/>
        </w:rPr>
        <w:t xml:space="preserve">nd </w:t>
      </w:r>
    </w:p>
    <w:p w14:paraId="7D230F37" w14:textId="77777777" w:rsidR="00ED3979" w:rsidRPr="004A5256" w:rsidRDefault="00ED397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ESTATE LATE AB MORAR</w:t>
      </w:r>
    </w:p>
    <w:p w14:paraId="210BAD15" w14:textId="544B5B29" w:rsidR="00ED3979"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ED3979" w:rsidRPr="004A5256">
        <w:rPr>
          <w:rFonts w:ascii="Times New Roman" w:hAnsi="Times New Roman" w:cs="Times New Roman"/>
          <w:sz w:val="24"/>
          <w:szCs w:val="24"/>
        </w:rPr>
        <w:t xml:space="preserve">nd </w:t>
      </w:r>
    </w:p>
    <w:p w14:paraId="00DB5C5D" w14:textId="77777777"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EPHRAIM GAVAZA</w:t>
      </w:r>
    </w:p>
    <w:p w14:paraId="0870682B" w14:textId="3357CD82"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6FDB9810" w14:textId="77777777"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ANDRE J VAN RENSBURG</w:t>
      </w:r>
    </w:p>
    <w:p w14:paraId="4B2CCBB9" w14:textId="4E5A73D4"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116687AE" w14:textId="77777777"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RAPHAEL T KATIDZA</w:t>
      </w:r>
    </w:p>
    <w:p w14:paraId="51FFD966" w14:textId="417A7BEF"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5A611977" w14:textId="68715EB1"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LIVINGSTONE</w:t>
      </w:r>
      <w:r w:rsidR="000B45C8">
        <w:rPr>
          <w:rFonts w:ascii="Times New Roman" w:hAnsi="Times New Roman" w:cs="Times New Roman"/>
          <w:sz w:val="24"/>
          <w:szCs w:val="24"/>
        </w:rPr>
        <w:t xml:space="preserve"> </w:t>
      </w:r>
      <w:r w:rsidRPr="004A5256">
        <w:rPr>
          <w:rFonts w:ascii="Times New Roman" w:hAnsi="Times New Roman" w:cs="Times New Roman"/>
          <w:sz w:val="24"/>
          <w:szCs w:val="24"/>
        </w:rPr>
        <w:t>MABIKA</w:t>
      </w:r>
    </w:p>
    <w:p w14:paraId="0CC88E6D" w14:textId="44479566"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4EDD0E9A" w14:textId="66151DB3"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DAVID I MACINTOSH</w:t>
      </w:r>
    </w:p>
    <w:p w14:paraId="3FF08B38" w14:textId="05E45E8A"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6622D030" w14:textId="1FBEF056"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IAN MIDDLETON</w:t>
      </w:r>
    </w:p>
    <w:p w14:paraId="34F1C596" w14:textId="6A7A3619"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721DD5E7" w14:textId="05FD5A39" w:rsidR="00D14000" w:rsidRPr="004A5256" w:rsidRDefault="00D14000"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ONIAS MUSHORIWA</w:t>
      </w:r>
    </w:p>
    <w:p w14:paraId="36A72FF3" w14:textId="6BC2D8C6" w:rsidR="00D14000" w:rsidRPr="004A5256"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a</w:t>
      </w:r>
      <w:r w:rsidR="00D14000" w:rsidRPr="004A5256">
        <w:rPr>
          <w:rFonts w:ascii="Times New Roman" w:hAnsi="Times New Roman" w:cs="Times New Roman"/>
          <w:sz w:val="24"/>
          <w:szCs w:val="24"/>
        </w:rPr>
        <w:t xml:space="preserve">nd </w:t>
      </w:r>
    </w:p>
    <w:p w14:paraId="4EC6FEAF" w14:textId="76664053" w:rsidR="003A67F9" w:rsidRDefault="003A67F9"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FUNGAI G MUTASA N.O.</w:t>
      </w:r>
    </w:p>
    <w:p w14:paraId="2DBC4301" w14:textId="77777777" w:rsidR="00160AF0" w:rsidRDefault="00160AF0" w:rsidP="00160AF0">
      <w:pPr>
        <w:spacing w:after="0" w:line="240" w:lineRule="auto"/>
        <w:jc w:val="both"/>
        <w:rPr>
          <w:rFonts w:ascii="Times New Roman" w:hAnsi="Times New Roman" w:cs="Times New Roman"/>
          <w:sz w:val="24"/>
          <w:szCs w:val="24"/>
        </w:rPr>
      </w:pPr>
    </w:p>
    <w:p w14:paraId="52FC7CBE" w14:textId="77777777" w:rsidR="00160AF0" w:rsidRPr="004A5256" w:rsidRDefault="00160AF0" w:rsidP="00160AF0">
      <w:pPr>
        <w:spacing w:after="0" w:line="240" w:lineRule="auto"/>
        <w:jc w:val="both"/>
        <w:rPr>
          <w:rFonts w:ascii="Times New Roman" w:hAnsi="Times New Roman" w:cs="Times New Roman"/>
          <w:sz w:val="24"/>
          <w:szCs w:val="24"/>
        </w:rPr>
      </w:pPr>
    </w:p>
    <w:p w14:paraId="6A278C45" w14:textId="77777777" w:rsidR="007009CF" w:rsidRPr="004A5256" w:rsidRDefault="007009CF" w:rsidP="00160AF0">
      <w:pPr>
        <w:spacing w:after="0" w:line="240" w:lineRule="auto"/>
        <w:jc w:val="both"/>
        <w:rPr>
          <w:rFonts w:ascii="Times New Roman" w:hAnsi="Times New Roman" w:cs="Times New Roman"/>
          <w:sz w:val="24"/>
          <w:szCs w:val="24"/>
        </w:rPr>
      </w:pPr>
    </w:p>
    <w:p w14:paraId="672CE386" w14:textId="3814B58B" w:rsidR="007009CF" w:rsidRPr="004A5256" w:rsidRDefault="007009CF"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HIGH COURT OF ZIMBABWE</w:t>
      </w:r>
    </w:p>
    <w:p w14:paraId="50134A2F" w14:textId="1AE5157F" w:rsidR="007009CF" w:rsidRPr="00160AF0" w:rsidRDefault="007009CF" w:rsidP="00160AF0">
      <w:pPr>
        <w:spacing w:after="0" w:line="240" w:lineRule="auto"/>
        <w:jc w:val="both"/>
        <w:rPr>
          <w:rFonts w:ascii="Times New Roman" w:hAnsi="Times New Roman" w:cs="Times New Roman"/>
          <w:b/>
          <w:bCs/>
          <w:sz w:val="24"/>
          <w:szCs w:val="24"/>
        </w:rPr>
      </w:pPr>
      <w:r w:rsidRPr="00160AF0">
        <w:rPr>
          <w:rFonts w:ascii="Times New Roman" w:hAnsi="Times New Roman" w:cs="Times New Roman"/>
          <w:b/>
          <w:bCs/>
          <w:sz w:val="24"/>
          <w:szCs w:val="24"/>
        </w:rPr>
        <w:t>MANYANGADZE J</w:t>
      </w:r>
    </w:p>
    <w:p w14:paraId="183B5D23" w14:textId="472DDD93" w:rsidR="007009CF" w:rsidRDefault="007009CF" w:rsidP="00160AF0">
      <w:pPr>
        <w:spacing w:after="0" w:line="240" w:lineRule="auto"/>
        <w:jc w:val="both"/>
        <w:rPr>
          <w:rFonts w:ascii="Times New Roman" w:hAnsi="Times New Roman" w:cs="Times New Roman"/>
          <w:sz w:val="24"/>
          <w:szCs w:val="24"/>
        </w:rPr>
      </w:pPr>
      <w:r w:rsidRPr="004A5256">
        <w:rPr>
          <w:rFonts w:ascii="Times New Roman" w:hAnsi="Times New Roman" w:cs="Times New Roman"/>
          <w:sz w:val="24"/>
          <w:szCs w:val="24"/>
        </w:rPr>
        <w:t>HARARE, 14 October 2024 &amp; 17 March 2025</w:t>
      </w:r>
    </w:p>
    <w:p w14:paraId="2F2BD5B3" w14:textId="77777777" w:rsidR="00160AF0" w:rsidRPr="004A5256" w:rsidRDefault="00160AF0" w:rsidP="00160AF0">
      <w:pPr>
        <w:spacing w:after="0" w:line="240" w:lineRule="auto"/>
        <w:jc w:val="both"/>
        <w:rPr>
          <w:rFonts w:ascii="Times New Roman" w:hAnsi="Times New Roman" w:cs="Times New Roman"/>
          <w:sz w:val="24"/>
          <w:szCs w:val="24"/>
        </w:rPr>
      </w:pPr>
    </w:p>
    <w:p w14:paraId="5EE696A5" w14:textId="77777777" w:rsidR="007009CF" w:rsidRPr="004A5256" w:rsidRDefault="007009CF" w:rsidP="00160AF0">
      <w:pPr>
        <w:spacing w:after="0" w:line="240" w:lineRule="auto"/>
        <w:jc w:val="both"/>
        <w:rPr>
          <w:rFonts w:ascii="Times New Roman" w:hAnsi="Times New Roman" w:cs="Times New Roman"/>
          <w:b/>
          <w:bCs/>
          <w:sz w:val="24"/>
          <w:szCs w:val="24"/>
        </w:rPr>
      </w:pPr>
    </w:p>
    <w:p w14:paraId="372A8349" w14:textId="611F67FF" w:rsidR="007009CF" w:rsidRDefault="007009CF" w:rsidP="00160AF0">
      <w:pPr>
        <w:spacing w:after="0" w:line="240" w:lineRule="auto"/>
        <w:jc w:val="both"/>
        <w:rPr>
          <w:rFonts w:ascii="Times New Roman" w:hAnsi="Times New Roman" w:cs="Times New Roman"/>
          <w:b/>
          <w:bCs/>
          <w:sz w:val="24"/>
          <w:szCs w:val="24"/>
        </w:rPr>
      </w:pPr>
      <w:r w:rsidRPr="004A5256">
        <w:rPr>
          <w:rFonts w:ascii="Times New Roman" w:hAnsi="Times New Roman" w:cs="Times New Roman"/>
          <w:b/>
          <w:bCs/>
          <w:sz w:val="24"/>
          <w:szCs w:val="24"/>
        </w:rPr>
        <w:t xml:space="preserve">Opposed </w:t>
      </w:r>
      <w:r w:rsidR="00160AF0">
        <w:rPr>
          <w:rFonts w:ascii="Times New Roman" w:hAnsi="Times New Roman" w:cs="Times New Roman"/>
          <w:b/>
          <w:bCs/>
          <w:sz w:val="24"/>
          <w:szCs w:val="24"/>
        </w:rPr>
        <w:t>A</w:t>
      </w:r>
      <w:r w:rsidRPr="004A5256">
        <w:rPr>
          <w:rFonts w:ascii="Times New Roman" w:hAnsi="Times New Roman" w:cs="Times New Roman"/>
          <w:b/>
          <w:bCs/>
          <w:sz w:val="24"/>
          <w:szCs w:val="24"/>
        </w:rPr>
        <w:t>pplication</w:t>
      </w:r>
    </w:p>
    <w:p w14:paraId="2B7D5E53" w14:textId="77777777" w:rsidR="00160AF0" w:rsidRPr="004A5256" w:rsidRDefault="00160AF0" w:rsidP="00160AF0">
      <w:pPr>
        <w:spacing w:after="0" w:line="240" w:lineRule="auto"/>
        <w:jc w:val="both"/>
        <w:rPr>
          <w:rFonts w:ascii="Times New Roman" w:hAnsi="Times New Roman" w:cs="Times New Roman"/>
          <w:b/>
          <w:bCs/>
          <w:sz w:val="24"/>
          <w:szCs w:val="24"/>
        </w:rPr>
      </w:pPr>
    </w:p>
    <w:p w14:paraId="11ECB907" w14:textId="77777777" w:rsidR="007009CF" w:rsidRPr="004A5256" w:rsidRDefault="007009CF" w:rsidP="00160AF0">
      <w:pPr>
        <w:spacing w:after="0" w:line="240" w:lineRule="auto"/>
        <w:jc w:val="both"/>
        <w:rPr>
          <w:rFonts w:ascii="Times New Roman" w:hAnsi="Times New Roman" w:cs="Times New Roman"/>
          <w:i/>
          <w:iCs/>
          <w:sz w:val="24"/>
          <w:szCs w:val="24"/>
        </w:rPr>
      </w:pPr>
    </w:p>
    <w:p w14:paraId="5B31CDA1" w14:textId="26C6A930" w:rsidR="007009CF" w:rsidRPr="004A5256" w:rsidRDefault="007009CF" w:rsidP="00160AF0">
      <w:pPr>
        <w:spacing w:after="0" w:line="240" w:lineRule="auto"/>
        <w:rPr>
          <w:rFonts w:ascii="Times New Roman" w:hAnsi="Times New Roman" w:cs="Times New Roman"/>
          <w:sz w:val="24"/>
          <w:szCs w:val="24"/>
        </w:rPr>
      </w:pPr>
      <w:r w:rsidRPr="00160AF0">
        <w:rPr>
          <w:rFonts w:ascii="Times New Roman" w:hAnsi="Times New Roman" w:cs="Times New Roman"/>
          <w:sz w:val="24"/>
          <w:szCs w:val="24"/>
        </w:rPr>
        <w:t>Adv</w:t>
      </w:r>
      <w:r w:rsidRPr="004A5256">
        <w:rPr>
          <w:rFonts w:ascii="Times New Roman" w:hAnsi="Times New Roman" w:cs="Times New Roman"/>
          <w:i/>
          <w:iCs/>
          <w:sz w:val="24"/>
          <w:szCs w:val="24"/>
        </w:rPr>
        <w:t xml:space="preserve"> T Zhuwarara</w:t>
      </w:r>
      <w:r w:rsidRPr="004A5256">
        <w:rPr>
          <w:rFonts w:ascii="Times New Roman" w:hAnsi="Times New Roman" w:cs="Times New Roman"/>
          <w:sz w:val="24"/>
          <w:szCs w:val="24"/>
        </w:rPr>
        <w:t>, for the applicant</w:t>
      </w:r>
    </w:p>
    <w:p w14:paraId="2628DADB" w14:textId="618EB7FC" w:rsidR="008A7E01" w:rsidRPr="004A5256" w:rsidRDefault="008A7E01" w:rsidP="00160AF0">
      <w:pPr>
        <w:spacing w:after="0" w:line="240" w:lineRule="auto"/>
        <w:rPr>
          <w:rFonts w:ascii="Times New Roman" w:hAnsi="Times New Roman" w:cs="Times New Roman"/>
          <w:sz w:val="24"/>
          <w:szCs w:val="24"/>
        </w:rPr>
      </w:pPr>
      <w:r w:rsidRPr="00160AF0">
        <w:rPr>
          <w:rFonts w:ascii="Times New Roman" w:hAnsi="Times New Roman" w:cs="Times New Roman"/>
          <w:sz w:val="24"/>
          <w:szCs w:val="24"/>
        </w:rPr>
        <w:t xml:space="preserve">Adv </w:t>
      </w:r>
      <w:r w:rsidRPr="004A5256">
        <w:rPr>
          <w:rFonts w:ascii="Times New Roman" w:hAnsi="Times New Roman" w:cs="Times New Roman"/>
          <w:i/>
          <w:iCs/>
          <w:sz w:val="24"/>
          <w:szCs w:val="24"/>
        </w:rPr>
        <w:t>F Mahere</w:t>
      </w:r>
      <w:r w:rsidRPr="004A5256">
        <w:rPr>
          <w:rFonts w:ascii="Times New Roman" w:hAnsi="Times New Roman" w:cs="Times New Roman"/>
          <w:sz w:val="24"/>
          <w:szCs w:val="24"/>
        </w:rPr>
        <w:t>, for the 1</w:t>
      </w:r>
      <w:r w:rsidR="00BE1620">
        <w:rPr>
          <w:rFonts w:ascii="Times New Roman" w:hAnsi="Times New Roman" w:cs="Times New Roman"/>
          <w:sz w:val="24"/>
          <w:szCs w:val="24"/>
          <w:vertAlign w:val="superscript"/>
        </w:rPr>
        <w:t>st</w:t>
      </w:r>
      <w:r w:rsidRPr="004A5256">
        <w:rPr>
          <w:rFonts w:ascii="Times New Roman" w:hAnsi="Times New Roman" w:cs="Times New Roman"/>
          <w:sz w:val="24"/>
          <w:szCs w:val="24"/>
        </w:rPr>
        <w:t xml:space="preserve"> -10</w:t>
      </w:r>
      <w:r w:rsidR="00BE1620">
        <w:rPr>
          <w:rFonts w:ascii="Times New Roman" w:hAnsi="Times New Roman" w:cs="Times New Roman"/>
          <w:sz w:val="24"/>
          <w:szCs w:val="24"/>
          <w:vertAlign w:val="superscript"/>
        </w:rPr>
        <w:t>th</w:t>
      </w:r>
      <w:r w:rsidRPr="004A5256">
        <w:rPr>
          <w:rFonts w:ascii="Times New Roman" w:hAnsi="Times New Roman" w:cs="Times New Roman"/>
          <w:sz w:val="24"/>
          <w:szCs w:val="24"/>
        </w:rPr>
        <w:t xml:space="preserve"> respondents</w:t>
      </w:r>
    </w:p>
    <w:p w14:paraId="06E2996B" w14:textId="13EF8262" w:rsidR="00160AF0" w:rsidRDefault="00160AF0">
      <w:pPr>
        <w:rPr>
          <w:rFonts w:ascii="Times New Roman" w:hAnsi="Times New Roman" w:cs="Times New Roman"/>
          <w:sz w:val="24"/>
          <w:szCs w:val="24"/>
        </w:rPr>
      </w:pPr>
    </w:p>
    <w:p w14:paraId="7FB87789" w14:textId="77777777" w:rsidR="00160AF0" w:rsidRPr="004A5256" w:rsidRDefault="00160AF0">
      <w:pPr>
        <w:rPr>
          <w:rFonts w:ascii="Times New Roman" w:hAnsi="Times New Roman" w:cs="Times New Roman"/>
          <w:sz w:val="24"/>
          <w:szCs w:val="24"/>
        </w:rPr>
      </w:pPr>
    </w:p>
    <w:p w14:paraId="10E8F7FE" w14:textId="77777777" w:rsidR="00160AF0" w:rsidRDefault="00825C1B" w:rsidP="00160AF0">
      <w:pPr>
        <w:spacing w:after="0" w:line="360" w:lineRule="auto"/>
        <w:ind w:firstLine="720"/>
        <w:jc w:val="both"/>
        <w:rPr>
          <w:rFonts w:ascii="Times New Roman" w:hAnsi="Times New Roman" w:cs="Times New Roman"/>
          <w:sz w:val="24"/>
          <w:szCs w:val="24"/>
        </w:rPr>
      </w:pPr>
      <w:r w:rsidRPr="00160AF0">
        <w:rPr>
          <w:rFonts w:ascii="Times New Roman" w:hAnsi="Times New Roman" w:cs="Times New Roman"/>
          <w:sz w:val="24"/>
          <w:szCs w:val="24"/>
        </w:rPr>
        <w:t xml:space="preserve">MANYANGADZE J:  </w:t>
      </w:r>
      <w:r w:rsidR="00F951F9" w:rsidRPr="00160AF0">
        <w:rPr>
          <w:rFonts w:ascii="Times New Roman" w:hAnsi="Times New Roman" w:cs="Times New Roman"/>
          <w:sz w:val="24"/>
          <w:szCs w:val="24"/>
        </w:rPr>
        <w:t>This is an application for a declarat</w:t>
      </w:r>
      <w:r w:rsidR="008A7E01" w:rsidRPr="00160AF0">
        <w:rPr>
          <w:rFonts w:ascii="Times New Roman" w:hAnsi="Times New Roman" w:cs="Times New Roman"/>
          <w:sz w:val="24"/>
          <w:szCs w:val="24"/>
        </w:rPr>
        <w:t>u</w:t>
      </w:r>
      <w:r w:rsidR="00F951F9" w:rsidRPr="00160AF0">
        <w:rPr>
          <w:rFonts w:ascii="Times New Roman" w:hAnsi="Times New Roman" w:cs="Times New Roman"/>
          <w:sz w:val="24"/>
          <w:szCs w:val="24"/>
        </w:rPr>
        <w:t>r, in which the applicant seeks an order declaring that its indebtedness to the respondents has been fully extinguished. The application arises out of a Labour Co</w:t>
      </w:r>
      <w:r w:rsidR="00D1233B" w:rsidRPr="00160AF0">
        <w:rPr>
          <w:rFonts w:ascii="Times New Roman" w:hAnsi="Times New Roman" w:cs="Times New Roman"/>
          <w:sz w:val="24"/>
          <w:szCs w:val="24"/>
        </w:rPr>
        <w:t>urt judgment, LC/MS/09/18, handed down on 7 June 2018, in terms of which the applicant was ordered to pay the respondents certain benefits accruing from their contract of employment with the applicant.</w:t>
      </w:r>
    </w:p>
    <w:p w14:paraId="0B096CB0" w14:textId="5E342129" w:rsidR="00D1233B" w:rsidRPr="00160AF0" w:rsidRDefault="00D1233B" w:rsidP="00160AF0">
      <w:pPr>
        <w:spacing w:after="0" w:line="360" w:lineRule="auto"/>
        <w:ind w:firstLine="720"/>
        <w:jc w:val="both"/>
        <w:rPr>
          <w:rFonts w:ascii="Times New Roman" w:hAnsi="Times New Roman" w:cs="Times New Roman"/>
          <w:sz w:val="24"/>
          <w:szCs w:val="24"/>
        </w:rPr>
      </w:pPr>
      <w:r w:rsidRPr="00160AF0">
        <w:rPr>
          <w:rFonts w:ascii="Times New Roman" w:hAnsi="Times New Roman" w:cs="Times New Roman"/>
          <w:sz w:val="24"/>
          <w:szCs w:val="24"/>
        </w:rPr>
        <w:t>The operative part of the Labour Court judgment reads as follows:</w:t>
      </w:r>
    </w:p>
    <w:p w14:paraId="1E5FB64E" w14:textId="77777777" w:rsidR="00A41D6C" w:rsidRPr="00160AF0" w:rsidRDefault="00A41D6C" w:rsidP="00160AF0">
      <w:pPr>
        <w:spacing w:line="360" w:lineRule="auto"/>
        <w:jc w:val="both"/>
        <w:rPr>
          <w:rFonts w:ascii="Times New Roman" w:hAnsi="Times New Roman" w:cs="Times New Roman"/>
          <w:sz w:val="24"/>
          <w:szCs w:val="24"/>
        </w:rPr>
      </w:pPr>
    </w:p>
    <w:p w14:paraId="39E65E3E" w14:textId="186BC688" w:rsidR="00F12294" w:rsidRPr="00160AF0" w:rsidRDefault="002B5E93" w:rsidP="00160AF0">
      <w:pPr>
        <w:pStyle w:val="ListParagraph"/>
        <w:spacing w:line="240" w:lineRule="auto"/>
        <w:jc w:val="both"/>
        <w:rPr>
          <w:rFonts w:ascii="Times New Roman" w:hAnsi="Times New Roman" w:cs="Times New Roman"/>
        </w:rPr>
      </w:pPr>
      <w:r w:rsidRPr="00160AF0">
        <w:rPr>
          <w:rFonts w:ascii="Times New Roman" w:hAnsi="Times New Roman" w:cs="Times New Roman"/>
        </w:rPr>
        <w:lastRenderedPageBreak/>
        <w:t>“</w:t>
      </w:r>
      <w:r w:rsidR="00160AF0" w:rsidRPr="00160AF0">
        <w:rPr>
          <w:rFonts w:ascii="Times New Roman" w:hAnsi="Times New Roman" w:cs="Times New Roman"/>
        </w:rPr>
        <w:t xml:space="preserve">1. </w:t>
      </w:r>
      <w:r w:rsidR="00F12294" w:rsidRPr="00160AF0">
        <w:rPr>
          <w:rFonts w:ascii="Times New Roman" w:hAnsi="Times New Roman" w:cs="Times New Roman"/>
        </w:rPr>
        <w:t xml:space="preserve">The </w:t>
      </w:r>
      <w:r w:rsidR="00160AF0">
        <w:rPr>
          <w:rFonts w:ascii="Times New Roman" w:hAnsi="Times New Roman" w:cs="Times New Roman"/>
        </w:rPr>
        <w:t>first</w:t>
      </w:r>
      <w:r w:rsidR="00C46351" w:rsidRPr="00160AF0">
        <w:rPr>
          <w:rFonts w:ascii="Times New Roman" w:hAnsi="Times New Roman" w:cs="Times New Roman"/>
        </w:rPr>
        <w:t xml:space="preserve"> </w:t>
      </w:r>
      <w:r w:rsidR="007B1306" w:rsidRPr="00160AF0">
        <w:rPr>
          <w:rFonts w:ascii="Times New Roman" w:hAnsi="Times New Roman" w:cs="Times New Roman"/>
        </w:rPr>
        <w:t>R</w:t>
      </w:r>
      <w:r w:rsidR="00C46351" w:rsidRPr="00160AF0">
        <w:rPr>
          <w:rFonts w:ascii="Times New Roman" w:hAnsi="Times New Roman" w:cs="Times New Roman"/>
        </w:rPr>
        <w:t>espondent be and is hereby directed to immediately cease the unlawful withholding of Claimants’ compensation and incorporate the compensation due to the Claimants into their Zimbabwe Cash Packages</w:t>
      </w:r>
      <w:r w:rsidR="007B1306" w:rsidRPr="00160AF0">
        <w:rPr>
          <w:rFonts w:ascii="Times New Roman" w:hAnsi="Times New Roman" w:cs="Times New Roman"/>
        </w:rPr>
        <w:t xml:space="preserve">. For A. J. Bosh and I Middleton the </w:t>
      </w:r>
      <w:r w:rsidR="00160AF0">
        <w:rPr>
          <w:rFonts w:ascii="Times New Roman" w:hAnsi="Times New Roman" w:cs="Times New Roman"/>
        </w:rPr>
        <w:t xml:space="preserve">first </w:t>
      </w:r>
      <w:r w:rsidR="007B1306" w:rsidRPr="00160AF0">
        <w:rPr>
          <w:rFonts w:ascii="Times New Roman" w:hAnsi="Times New Roman" w:cs="Times New Roman"/>
        </w:rPr>
        <w:t>Respondent shall appropriately compensate them into their cash packages given that they have now retired.</w:t>
      </w:r>
    </w:p>
    <w:p w14:paraId="39DF121E" w14:textId="7A03A2D8" w:rsidR="007B1306" w:rsidRPr="00160AF0" w:rsidRDefault="00160AF0" w:rsidP="00160AF0">
      <w:pPr>
        <w:pStyle w:val="ListParagraph"/>
        <w:spacing w:line="240" w:lineRule="auto"/>
        <w:jc w:val="both"/>
        <w:rPr>
          <w:rFonts w:ascii="Times New Roman" w:hAnsi="Times New Roman" w:cs="Times New Roman"/>
        </w:rPr>
      </w:pPr>
      <w:r w:rsidRPr="00160AF0">
        <w:rPr>
          <w:rFonts w:ascii="Times New Roman" w:hAnsi="Times New Roman" w:cs="Times New Roman"/>
        </w:rPr>
        <w:t xml:space="preserve">2. </w:t>
      </w:r>
      <w:r w:rsidR="007B1306" w:rsidRPr="00160AF0">
        <w:rPr>
          <w:rFonts w:ascii="Times New Roman" w:hAnsi="Times New Roman" w:cs="Times New Roman"/>
        </w:rPr>
        <w:t xml:space="preserve">The </w:t>
      </w:r>
      <w:r>
        <w:rPr>
          <w:rFonts w:ascii="Times New Roman" w:hAnsi="Times New Roman" w:cs="Times New Roman"/>
        </w:rPr>
        <w:t>first</w:t>
      </w:r>
      <w:r w:rsidR="007B1306" w:rsidRPr="00160AF0">
        <w:rPr>
          <w:rFonts w:ascii="Times New Roman" w:hAnsi="Times New Roman" w:cs="Times New Roman"/>
        </w:rPr>
        <w:t xml:space="preserve"> Respondent pays each of the Claimants the arrear compensation due to them from </w:t>
      </w:r>
      <w:r w:rsidR="008F7B5D" w:rsidRPr="00160AF0">
        <w:rPr>
          <w:rFonts w:ascii="Times New Roman" w:hAnsi="Times New Roman" w:cs="Times New Roman"/>
        </w:rPr>
        <w:t>March</w:t>
      </w:r>
      <w:r w:rsidR="007B1306" w:rsidRPr="00160AF0">
        <w:rPr>
          <w:rFonts w:ascii="Times New Roman" w:hAnsi="Times New Roman" w:cs="Times New Roman"/>
        </w:rPr>
        <w:t xml:space="preserve"> 2011 to end of September 2015</w:t>
      </w:r>
      <w:r w:rsidR="002B5E93" w:rsidRPr="00160AF0">
        <w:rPr>
          <w:rFonts w:ascii="Times New Roman" w:hAnsi="Times New Roman" w:cs="Times New Roman"/>
        </w:rPr>
        <w:t xml:space="preserve"> </w:t>
      </w:r>
      <w:r w:rsidR="007B1306" w:rsidRPr="00160AF0">
        <w:rPr>
          <w:rFonts w:ascii="Times New Roman" w:hAnsi="Times New Roman" w:cs="Times New Roman"/>
        </w:rPr>
        <w:t>as follows</w:t>
      </w:r>
      <w:r w:rsidR="008F7B5D" w:rsidRPr="00160AF0">
        <w:rPr>
          <w:rFonts w:ascii="Times New Roman" w:hAnsi="Times New Roman" w:cs="Times New Roman"/>
        </w:rPr>
        <w:t xml:space="preserve">: </w:t>
      </w:r>
    </w:p>
    <w:p w14:paraId="4DF5E185" w14:textId="7F4F0AD8" w:rsidR="008F7B5D" w:rsidRPr="00160AF0" w:rsidRDefault="008F7B5D" w:rsidP="00160AF0">
      <w:pPr>
        <w:spacing w:line="240" w:lineRule="auto"/>
        <w:jc w:val="both"/>
        <w:rPr>
          <w:rFonts w:ascii="Times New Roman" w:hAnsi="Times New Roman" w:cs="Times New Roman"/>
        </w:rPr>
      </w:pPr>
      <w:r w:rsidRPr="00160AF0">
        <w:rPr>
          <w:rFonts w:ascii="Times New Roman" w:hAnsi="Times New Roman" w:cs="Times New Roman"/>
        </w:rPr>
        <w:t xml:space="preserve">             (</w:t>
      </w:r>
      <w:r w:rsidRPr="00160AF0">
        <w:rPr>
          <w:rFonts w:ascii="Times New Roman" w:hAnsi="Times New Roman" w:cs="Times New Roman"/>
          <w:i/>
          <w:iCs/>
        </w:rPr>
        <w:t>List of the amounts specified in United States dollars for each of the 10 Claimants</w:t>
      </w:r>
      <w:r w:rsidRPr="00160AF0">
        <w:rPr>
          <w:rFonts w:ascii="Times New Roman" w:hAnsi="Times New Roman" w:cs="Times New Roman"/>
        </w:rPr>
        <w:t>)</w:t>
      </w:r>
    </w:p>
    <w:p w14:paraId="4FFEB44F" w14:textId="0D806324" w:rsidR="008F7B5D" w:rsidRPr="00160AF0" w:rsidRDefault="008F7B5D" w:rsidP="00160AF0">
      <w:pPr>
        <w:pStyle w:val="ListParagraph"/>
        <w:numPr>
          <w:ilvl w:val="0"/>
          <w:numId w:val="1"/>
        </w:numPr>
        <w:spacing w:line="240" w:lineRule="auto"/>
        <w:jc w:val="both"/>
        <w:rPr>
          <w:rFonts w:ascii="Times New Roman" w:hAnsi="Times New Roman" w:cs="Times New Roman"/>
        </w:rPr>
      </w:pPr>
      <w:r w:rsidRPr="00160AF0">
        <w:rPr>
          <w:rFonts w:ascii="Times New Roman" w:hAnsi="Times New Roman" w:cs="Times New Roman"/>
        </w:rPr>
        <w:t xml:space="preserve">The amounts above should be </w:t>
      </w:r>
      <w:r w:rsidR="00975860" w:rsidRPr="00160AF0">
        <w:rPr>
          <w:rFonts w:ascii="Times New Roman" w:hAnsi="Times New Roman" w:cs="Times New Roman"/>
        </w:rPr>
        <w:t xml:space="preserve">paid without any additional tax losses by the Claimants and </w:t>
      </w:r>
      <w:r w:rsidR="00160AF0">
        <w:rPr>
          <w:rFonts w:ascii="Times New Roman" w:hAnsi="Times New Roman" w:cs="Times New Roman"/>
        </w:rPr>
        <w:t xml:space="preserve">second </w:t>
      </w:r>
      <w:r w:rsidR="00975860" w:rsidRPr="00160AF0">
        <w:rPr>
          <w:rFonts w:ascii="Times New Roman" w:hAnsi="Times New Roman" w:cs="Times New Roman"/>
        </w:rPr>
        <w:t xml:space="preserve">Respondent arising by reason of the Respondent’s wrongful actions therein. The </w:t>
      </w:r>
      <w:r w:rsidR="00160AF0">
        <w:rPr>
          <w:rFonts w:ascii="Times New Roman" w:hAnsi="Times New Roman" w:cs="Times New Roman"/>
        </w:rPr>
        <w:t xml:space="preserve">first </w:t>
      </w:r>
      <w:r w:rsidR="00975860" w:rsidRPr="00160AF0">
        <w:rPr>
          <w:rFonts w:ascii="Times New Roman" w:hAnsi="Times New Roman" w:cs="Times New Roman"/>
        </w:rPr>
        <w:t xml:space="preserve">Respondent </w:t>
      </w:r>
      <w:r w:rsidR="002B5E93" w:rsidRPr="00160AF0">
        <w:rPr>
          <w:rFonts w:ascii="Times New Roman" w:hAnsi="Times New Roman" w:cs="Times New Roman"/>
        </w:rPr>
        <w:t>shall bear</w:t>
      </w:r>
      <w:r w:rsidR="00975860" w:rsidRPr="00160AF0">
        <w:rPr>
          <w:rFonts w:ascii="Times New Roman" w:hAnsi="Times New Roman" w:cs="Times New Roman"/>
        </w:rPr>
        <w:t xml:space="preserve"> such tax losses by compensating the Claimants and the </w:t>
      </w:r>
      <w:r w:rsidR="00160AF0">
        <w:rPr>
          <w:rFonts w:ascii="Times New Roman" w:hAnsi="Times New Roman" w:cs="Times New Roman"/>
        </w:rPr>
        <w:t>second</w:t>
      </w:r>
      <w:r w:rsidR="00975860" w:rsidRPr="00160AF0">
        <w:rPr>
          <w:rFonts w:ascii="Times New Roman" w:hAnsi="Times New Roman" w:cs="Times New Roman"/>
        </w:rPr>
        <w:t xml:space="preserve"> Respondent accordingly.</w:t>
      </w:r>
    </w:p>
    <w:p w14:paraId="630D0DDF" w14:textId="283BAF18" w:rsidR="00975860" w:rsidRPr="00160AF0" w:rsidRDefault="00975860" w:rsidP="00160AF0">
      <w:pPr>
        <w:pStyle w:val="ListParagraph"/>
        <w:numPr>
          <w:ilvl w:val="0"/>
          <w:numId w:val="1"/>
        </w:numPr>
        <w:spacing w:line="240" w:lineRule="auto"/>
        <w:jc w:val="both"/>
        <w:rPr>
          <w:rFonts w:ascii="Times New Roman" w:hAnsi="Times New Roman" w:cs="Times New Roman"/>
        </w:rPr>
      </w:pPr>
      <w:r w:rsidRPr="00160AF0">
        <w:rPr>
          <w:rFonts w:ascii="Times New Roman" w:hAnsi="Times New Roman" w:cs="Times New Roman"/>
        </w:rPr>
        <w:t xml:space="preserve">The </w:t>
      </w:r>
      <w:r w:rsidR="00160AF0">
        <w:rPr>
          <w:rFonts w:ascii="Times New Roman" w:hAnsi="Times New Roman" w:cs="Times New Roman"/>
        </w:rPr>
        <w:t>first</w:t>
      </w:r>
      <w:r w:rsidRPr="00160AF0">
        <w:rPr>
          <w:rFonts w:ascii="Times New Roman" w:hAnsi="Times New Roman" w:cs="Times New Roman"/>
        </w:rPr>
        <w:t xml:space="preserve"> Respondent shall pay the stated amounts with interest at 5% per annum from March 2011 to </w:t>
      </w:r>
      <w:r w:rsidR="002B5E93" w:rsidRPr="00160AF0">
        <w:rPr>
          <w:rFonts w:ascii="Times New Roman" w:hAnsi="Times New Roman" w:cs="Times New Roman"/>
        </w:rPr>
        <w:t>date</w:t>
      </w:r>
      <w:r w:rsidRPr="00160AF0">
        <w:rPr>
          <w:rFonts w:ascii="Times New Roman" w:hAnsi="Times New Roman" w:cs="Times New Roman"/>
        </w:rPr>
        <w:t xml:space="preserve"> of full payment</w:t>
      </w:r>
      <w:r w:rsidR="002B5E93" w:rsidRPr="00160AF0">
        <w:rPr>
          <w:rFonts w:ascii="Times New Roman" w:hAnsi="Times New Roman" w:cs="Times New Roman"/>
        </w:rPr>
        <w:t>.</w:t>
      </w:r>
    </w:p>
    <w:p w14:paraId="778A485E" w14:textId="0959A978" w:rsidR="002B5E93" w:rsidRPr="00160AF0" w:rsidRDefault="002B5E93" w:rsidP="00160AF0">
      <w:pPr>
        <w:pStyle w:val="ListParagraph"/>
        <w:numPr>
          <w:ilvl w:val="0"/>
          <w:numId w:val="1"/>
        </w:numPr>
        <w:spacing w:line="240" w:lineRule="auto"/>
        <w:jc w:val="both"/>
        <w:rPr>
          <w:rFonts w:ascii="Times New Roman" w:hAnsi="Times New Roman" w:cs="Times New Roman"/>
        </w:rPr>
      </w:pPr>
      <w:r w:rsidRPr="00160AF0">
        <w:rPr>
          <w:rFonts w:ascii="Times New Roman" w:hAnsi="Times New Roman" w:cs="Times New Roman"/>
        </w:rPr>
        <w:t xml:space="preserve">The </w:t>
      </w:r>
      <w:r w:rsidR="00160AF0">
        <w:rPr>
          <w:rFonts w:ascii="Times New Roman" w:hAnsi="Times New Roman" w:cs="Times New Roman"/>
        </w:rPr>
        <w:t xml:space="preserve">first </w:t>
      </w:r>
      <w:r w:rsidRPr="00160AF0">
        <w:rPr>
          <w:rFonts w:ascii="Times New Roman" w:hAnsi="Times New Roman" w:cs="Times New Roman"/>
        </w:rPr>
        <w:t>Respondent shall bear Claimants’ costs on an attorney-client scale.”</w:t>
      </w:r>
    </w:p>
    <w:p w14:paraId="5DED5DDB" w14:textId="77777777" w:rsidR="00A41D6C" w:rsidRPr="00160AF0" w:rsidRDefault="00A41D6C" w:rsidP="00160AF0">
      <w:pPr>
        <w:pStyle w:val="ListParagraph"/>
        <w:spacing w:line="360" w:lineRule="auto"/>
        <w:jc w:val="both"/>
        <w:rPr>
          <w:rFonts w:ascii="Times New Roman" w:hAnsi="Times New Roman" w:cs="Times New Roman"/>
          <w:sz w:val="24"/>
          <w:szCs w:val="24"/>
        </w:rPr>
      </w:pPr>
    </w:p>
    <w:p w14:paraId="0803BB3A" w14:textId="3C6AD4E0" w:rsidR="002B5E93" w:rsidRPr="00160AF0" w:rsidRDefault="007B30D8" w:rsidP="00160AF0">
      <w:pPr>
        <w:spacing w:after="0" w:line="360" w:lineRule="auto"/>
        <w:ind w:firstLine="720"/>
        <w:jc w:val="both"/>
        <w:rPr>
          <w:rFonts w:ascii="Times New Roman" w:hAnsi="Times New Roman" w:cs="Times New Roman"/>
          <w:sz w:val="24"/>
          <w:szCs w:val="24"/>
        </w:rPr>
      </w:pPr>
      <w:r w:rsidRPr="00160AF0">
        <w:rPr>
          <w:rFonts w:ascii="Times New Roman" w:hAnsi="Times New Roman" w:cs="Times New Roman"/>
          <w:sz w:val="24"/>
          <w:szCs w:val="24"/>
        </w:rPr>
        <w:t>The amounts listed in paragraph 2 of the judgment range from US$95 477,05 to US$183 842,94.</w:t>
      </w:r>
      <w:r w:rsidR="00F8349C" w:rsidRPr="00160AF0">
        <w:rPr>
          <w:rFonts w:ascii="Times New Roman" w:hAnsi="Times New Roman" w:cs="Times New Roman"/>
          <w:sz w:val="24"/>
          <w:szCs w:val="24"/>
        </w:rPr>
        <w:t xml:space="preserve"> The </w:t>
      </w:r>
      <w:r w:rsidR="00160AF0">
        <w:rPr>
          <w:rFonts w:ascii="Times New Roman" w:hAnsi="Times New Roman" w:cs="Times New Roman"/>
          <w:sz w:val="24"/>
          <w:szCs w:val="24"/>
        </w:rPr>
        <w:t>first</w:t>
      </w:r>
      <w:r w:rsidR="008275C8" w:rsidRPr="00160AF0">
        <w:rPr>
          <w:rFonts w:ascii="Times New Roman" w:hAnsi="Times New Roman" w:cs="Times New Roman"/>
          <w:sz w:val="24"/>
          <w:szCs w:val="24"/>
        </w:rPr>
        <w:t xml:space="preserve"> to the </w:t>
      </w:r>
      <w:r w:rsidR="00160AF0">
        <w:rPr>
          <w:rFonts w:ascii="Times New Roman" w:hAnsi="Times New Roman" w:cs="Times New Roman"/>
          <w:sz w:val="24"/>
          <w:szCs w:val="24"/>
        </w:rPr>
        <w:t xml:space="preserve">tenth </w:t>
      </w:r>
      <w:r w:rsidR="00F8349C" w:rsidRPr="00160AF0">
        <w:rPr>
          <w:rFonts w:ascii="Times New Roman" w:hAnsi="Times New Roman" w:cs="Times New Roman"/>
          <w:sz w:val="24"/>
          <w:szCs w:val="24"/>
        </w:rPr>
        <w:t>respondents</w:t>
      </w:r>
      <w:r w:rsidR="008275C8" w:rsidRPr="00160AF0">
        <w:rPr>
          <w:rFonts w:ascii="Times New Roman" w:hAnsi="Times New Roman" w:cs="Times New Roman"/>
          <w:sz w:val="24"/>
          <w:szCs w:val="24"/>
        </w:rPr>
        <w:t xml:space="preserve"> (“the respondents”)</w:t>
      </w:r>
      <w:r w:rsidR="00F8349C" w:rsidRPr="00160AF0">
        <w:rPr>
          <w:rFonts w:ascii="Times New Roman" w:hAnsi="Times New Roman" w:cs="Times New Roman"/>
          <w:sz w:val="24"/>
          <w:szCs w:val="24"/>
        </w:rPr>
        <w:t xml:space="preserve"> are former managerial level employees of the applicant. </w:t>
      </w:r>
      <w:r w:rsidR="00384730" w:rsidRPr="00160AF0">
        <w:rPr>
          <w:rFonts w:ascii="Times New Roman" w:hAnsi="Times New Roman" w:cs="Times New Roman"/>
          <w:sz w:val="24"/>
          <w:szCs w:val="24"/>
        </w:rPr>
        <w:t>Respondents</w:t>
      </w:r>
      <w:r w:rsidR="00F8349C" w:rsidRPr="00160AF0">
        <w:rPr>
          <w:rFonts w:ascii="Times New Roman" w:hAnsi="Times New Roman" w:cs="Times New Roman"/>
          <w:sz w:val="24"/>
          <w:szCs w:val="24"/>
        </w:rPr>
        <w:t xml:space="preserve"> 1, 4 and 10 are still employed by the applicant.</w:t>
      </w:r>
    </w:p>
    <w:p w14:paraId="6C112611" w14:textId="77777777" w:rsidR="00166148" w:rsidRPr="00160AF0" w:rsidRDefault="00384730" w:rsidP="00160AF0">
      <w:pPr>
        <w:spacing w:after="0" w:line="360" w:lineRule="auto"/>
        <w:ind w:firstLine="720"/>
        <w:jc w:val="both"/>
        <w:rPr>
          <w:rFonts w:ascii="Times New Roman" w:hAnsi="Times New Roman" w:cs="Times New Roman"/>
          <w:sz w:val="24"/>
          <w:szCs w:val="24"/>
        </w:rPr>
      </w:pPr>
      <w:r w:rsidRPr="00160AF0">
        <w:rPr>
          <w:rFonts w:ascii="Times New Roman" w:hAnsi="Times New Roman" w:cs="Times New Roman"/>
          <w:sz w:val="24"/>
          <w:szCs w:val="24"/>
        </w:rPr>
        <w:t>The applicant, in June 2022, made a payment in RTGS dollars, which was the local currency at the time, in fulfilment of its obligations under the judgment.</w:t>
      </w:r>
      <w:r w:rsidR="003C5E70" w:rsidRPr="00160AF0">
        <w:rPr>
          <w:rFonts w:ascii="Times New Roman" w:hAnsi="Times New Roman" w:cs="Times New Roman"/>
          <w:sz w:val="24"/>
          <w:szCs w:val="24"/>
        </w:rPr>
        <w:t xml:space="preserve"> The payment was on a ratio of one--to-one, based on Statutory Instrument 33 of 2019.</w:t>
      </w:r>
      <w:r w:rsidR="00166148" w:rsidRPr="00160AF0">
        <w:rPr>
          <w:rFonts w:ascii="Times New Roman" w:hAnsi="Times New Roman" w:cs="Times New Roman"/>
          <w:sz w:val="24"/>
          <w:szCs w:val="24"/>
        </w:rPr>
        <w:t xml:space="preserve"> </w:t>
      </w:r>
    </w:p>
    <w:p w14:paraId="1B3A2C55" w14:textId="77777777" w:rsidR="00160AF0" w:rsidRDefault="00166148" w:rsidP="00160AF0">
      <w:pPr>
        <w:spacing w:after="0" w:line="360" w:lineRule="auto"/>
        <w:ind w:firstLine="720"/>
        <w:jc w:val="both"/>
        <w:rPr>
          <w:rFonts w:ascii="Times New Roman" w:hAnsi="Times New Roman" w:cs="Times New Roman"/>
          <w:sz w:val="24"/>
          <w:szCs w:val="24"/>
        </w:rPr>
      </w:pPr>
      <w:r w:rsidRPr="00160AF0">
        <w:rPr>
          <w:rFonts w:ascii="Times New Roman" w:hAnsi="Times New Roman" w:cs="Times New Roman"/>
          <w:sz w:val="24"/>
          <w:szCs w:val="24"/>
        </w:rPr>
        <w:t xml:space="preserve">The respondents filed an application for the registration of the Labour Court judgment under Case No.   HCH 7234/22. The application was struck off the roll, per </w:t>
      </w:r>
      <w:r w:rsidR="00160AF0" w:rsidRPr="00160AF0">
        <w:rPr>
          <w:rFonts w:ascii="Times New Roman" w:hAnsi="Times New Roman" w:cs="Times New Roman"/>
          <w:smallCaps/>
          <w:sz w:val="24"/>
          <w:szCs w:val="24"/>
        </w:rPr>
        <w:t>deme</w:t>
      </w:r>
      <w:r w:rsidR="00160AF0" w:rsidRPr="00160AF0">
        <w:rPr>
          <w:rFonts w:ascii="Times New Roman" w:hAnsi="Times New Roman" w:cs="Times New Roman"/>
          <w:sz w:val="24"/>
          <w:szCs w:val="24"/>
        </w:rPr>
        <w:t xml:space="preserve"> </w:t>
      </w:r>
      <w:r w:rsidRPr="00160AF0">
        <w:rPr>
          <w:rFonts w:ascii="Times New Roman" w:hAnsi="Times New Roman" w:cs="Times New Roman"/>
          <w:sz w:val="24"/>
          <w:szCs w:val="24"/>
        </w:rPr>
        <w:t>J on 23 November 2023</w:t>
      </w:r>
      <w:r w:rsidR="00160AF0">
        <w:rPr>
          <w:rFonts w:ascii="Times New Roman" w:hAnsi="Times New Roman" w:cs="Times New Roman"/>
          <w:sz w:val="24"/>
          <w:szCs w:val="24"/>
        </w:rPr>
        <w:t>.</w:t>
      </w:r>
    </w:p>
    <w:p w14:paraId="6FE4EA29" w14:textId="172F8C0D" w:rsidR="003865A7" w:rsidRPr="00160AF0" w:rsidRDefault="008845D3" w:rsidP="00160AF0">
      <w:pPr>
        <w:spacing w:after="0" w:line="360" w:lineRule="auto"/>
        <w:ind w:firstLine="720"/>
        <w:jc w:val="both"/>
        <w:rPr>
          <w:rFonts w:ascii="Times New Roman" w:hAnsi="Times New Roman" w:cs="Times New Roman"/>
          <w:sz w:val="24"/>
          <w:szCs w:val="24"/>
        </w:rPr>
      </w:pPr>
      <w:r w:rsidRPr="00160AF0">
        <w:rPr>
          <w:rFonts w:ascii="Times New Roman" w:hAnsi="Times New Roman" w:cs="Times New Roman"/>
          <w:sz w:val="24"/>
          <w:szCs w:val="24"/>
        </w:rPr>
        <w:t xml:space="preserve"> The applicant asserts that th</w:t>
      </w:r>
      <w:r w:rsidR="008275C8" w:rsidRPr="00160AF0">
        <w:rPr>
          <w:rFonts w:ascii="Times New Roman" w:hAnsi="Times New Roman" w:cs="Times New Roman"/>
          <w:sz w:val="24"/>
          <w:szCs w:val="24"/>
        </w:rPr>
        <w:t>e</w:t>
      </w:r>
      <w:r w:rsidRPr="00160AF0">
        <w:rPr>
          <w:rFonts w:ascii="Times New Roman" w:hAnsi="Times New Roman" w:cs="Times New Roman"/>
          <w:sz w:val="24"/>
          <w:szCs w:val="24"/>
        </w:rPr>
        <w:t xml:space="preserve"> payment </w:t>
      </w:r>
      <w:r w:rsidR="008275C8" w:rsidRPr="00160AF0">
        <w:rPr>
          <w:rFonts w:ascii="Times New Roman" w:hAnsi="Times New Roman" w:cs="Times New Roman"/>
          <w:sz w:val="24"/>
          <w:szCs w:val="24"/>
        </w:rPr>
        <w:t xml:space="preserve">it made in June 2022 </w:t>
      </w:r>
      <w:r w:rsidRPr="00160AF0">
        <w:rPr>
          <w:rFonts w:ascii="Times New Roman" w:hAnsi="Times New Roman" w:cs="Times New Roman"/>
          <w:sz w:val="24"/>
          <w:szCs w:val="24"/>
        </w:rPr>
        <w:t>constitutes full and final settlement of its liability to the respondents. In the instant application, it seeks a declaratory order to that effect.  The order it seeks is stated as follows:</w:t>
      </w:r>
    </w:p>
    <w:p w14:paraId="267615A3" w14:textId="0178A55C" w:rsidR="008845D3" w:rsidRPr="00160AF0" w:rsidRDefault="008845D3" w:rsidP="00160AF0">
      <w:pPr>
        <w:spacing w:line="240" w:lineRule="auto"/>
        <w:ind w:firstLine="720"/>
        <w:jc w:val="both"/>
        <w:rPr>
          <w:rFonts w:ascii="Times New Roman" w:hAnsi="Times New Roman" w:cs="Times New Roman"/>
        </w:rPr>
      </w:pPr>
      <w:r w:rsidRPr="00160AF0">
        <w:rPr>
          <w:rFonts w:ascii="Times New Roman" w:hAnsi="Times New Roman" w:cs="Times New Roman"/>
        </w:rPr>
        <w:t>“</w:t>
      </w:r>
      <w:r w:rsidR="00E32E7A" w:rsidRPr="00160AF0">
        <w:rPr>
          <w:rFonts w:ascii="Times New Roman" w:hAnsi="Times New Roman" w:cs="Times New Roman"/>
        </w:rPr>
        <w:t>1.  The court application for a declaratory order be and is hereby granted.</w:t>
      </w:r>
    </w:p>
    <w:p w14:paraId="337A603C" w14:textId="4851F203" w:rsidR="003865A7" w:rsidRPr="00160AF0" w:rsidRDefault="003865A7" w:rsidP="00160AF0">
      <w:pPr>
        <w:spacing w:line="240" w:lineRule="auto"/>
        <w:ind w:left="720"/>
        <w:jc w:val="both"/>
        <w:rPr>
          <w:rFonts w:ascii="Times New Roman" w:hAnsi="Times New Roman" w:cs="Times New Roman"/>
        </w:rPr>
      </w:pPr>
      <w:r w:rsidRPr="00160AF0">
        <w:rPr>
          <w:rFonts w:ascii="Times New Roman" w:hAnsi="Times New Roman" w:cs="Times New Roman"/>
        </w:rPr>
        <w:t xml:space="preserve"> </w:t>
      </w:r>
      <w:r w:rsidR="00E32E7A" w:rsidRPr="00160AF0">
        <w:rPr>
          <w:rFonts w:ascii="Times New Roman" w:hAnsi="Times New Roman" w:cs="Times New Roman"/>
        </w:rPr>
        <w:t xml:space="preserve">2.   The liability from the Labour Court </w:t>
      </w:r>
      <w:r w:rsidR="00160AF0" w:rsidRPr="00160AF0">
        <w:rPr>
          <w:rFonts w:ascii="Times New Roman" w:hAnsi="Times New Roman" w:cs="Times New Roman"/>
        </w:rPr>
        <w:t>Judgment LC</w:t>
      </w:r>
      <w:r w:rsidR="00E32E7A" w:rsidRPr="00160AF0">
        <w:rPr>
          <w:rFonts w:ascii="Times New Roman" w:hAnsi="Times New Roman" w:cs="Times New Roman"/>
        </w:rPr>
        <w:t xml:space="preserve"> /MS/09/18 dated 7 June 2018 be and is</w:t>
      </w:r>
      <w:r w:rsidRPr="00160AF0">
        <w:rPr>
          <w:rFonts w:ascii="Times New Roman" w:hAnsi="Times New Roman" w:cs="Times New Roman"/>
        </w:rPr>
        <w:t xml:space="preserve"> </w:t>
      </w:r>
      <w:r w:rsidR="00E32E7A" w:rsidRPr="00160AF0">
        <w:rPr>
          <w:rFonts w:ascii="Times New Roman" w:hAnsi="Times New Roman" w:cs="Times New Roman"/>
        </w:rPr>
        <w:t xml:space="preserve">hereby declared to be executable in RTGS Dollars at the rate of one-to-one to the United States Dollar in accordance with Section 4(1)(d) of Statutory Instrument </w:t>
      </w:r>
      <w:r w:rsidRPr="00160AF0">
        <w:rPr>
          <w:rFonts w:ascii="Times New Roman" w:hAnsi="Times New Roman" w:cs="Times New Roman"/>
        </w:rPr>
        <w:t>33 of 2019.</w:t>
      </w:r>
    </w:p>
    <w:p w14:paraId="2547A978" w14:textId="5B72BA60" w:rsidR="008275C8" w:rsidRPr="00160AF0" w:rsidRDefault="003865A7" w:rsidP="00160AF0">
      <w:pPr>
        <w:tabs>
          <w:tab w:val="left" w:pos="6263"/>
        </w:tabs>
        <w:spacing w:line="240" w:lineRule="auto"/>
        <w:jc w:val="both"/>
        <w:rPr>
          <w:rFonts w:ascii="Times New Roman" w:hAnsi="Times New Roman" w:cs="Times New Roman"/>
        </w:rPr>
      </w:pPr>
      <w:r w:rsidRPr="00160AF0">
        <w:rPr>
          <w:rFonts w:ascii="Times New Roman" w:hAnsi="Times New Roman" w:cs="Times New Roman"/>
        </w:rPr>
        <w:t xml:space="preserve">             </w:t>
      </w:r>
      <w:r w:rsidR="00160AF0">
        <w:rPr>
          <w:rFonts w:ascii="Times New Roman" w:hAnsi="Times New Roman" w:cs="Times New Roman"/>
        </w:rPr>
        <w:t xml:space="preserve"> </w:t>
      </w:r>
      <w:r w:rsidRPr="00160AF0">
        <w:rPr>
          <w:rFonts w:ascii="Times New Roman" w:hAnsi="Times New Roman" w:cs="Times New Roman"/>
        </w:rPr>
        <w:t xml:space="preserve">3.   The </w:t>
      </w:r>
      <w:r w:rsidR="00160AF0">
        <w:rPr>
          <w:rFonts w:ascii="Times New Roman" w:hAnsi="Times New Roman" w:cs="Times New Roman"/>
        </w:rPr>
        <w:t>first</w:t>
      </w:r>
      <w:r w:rsidRPr="00160AF0">
        <w:rPr>
          <w:rFonts w:ascii="Times New Roman" w:hAnsi="Times New Roman" w:cs="Times New Roman"/>
        </w:rPr>
        <w:t xml:space="preserve"> to </w:t>
      </w:r>
      <w:r w:rsidR="00160AF0">
        <w:rPr>
          <w:rFonts w:ascii="Times New Roman" w:hAnsi="Times New Roman" w:cs="Times New Roman"/>
        </w:rPr>
        <w:t xml:space="preserve">tenth </w:t>
      </w:r>
      <w:r w:rsidRPr="00160AF0">
        <w:rPr>
          <w:rFonts w:ascii="Times New Roman" w:hAnsi="Times New Roman" w:cs="Times New Roman"/>
        </w:rPr>
        <w:t>Respondents to pay costs of (</w:t>
      </w:r>
      <w:r w:rsidRPr="00160AF0">
        <w:rPr>
          <w:rFonts w:ascii="Times New Roman" w:hAnsi="Times New Roman" w:cs="Times New Roman"/>
          <w:i/>
          <w:iCs/>
        </w:rPr>
        <w:t>sic</w:t>
      </w:r>
      <w:r w:rsidR="00A41D6C" w:rsidRPr="00160AF0">
        <w:rPr>
          <w:rFonts w:ascii="Times New Roman" w:hAnsi="Times New Roman" w:cs="Times New Roman"/>
        </w:rPr>
        <w:t>).</w:t>
      </w:r>
      <w:r w:rsidR="00160AF0" w:rsidRPr="00160AF0">
        <w:rPr>
          <w:rFonts w:ascii="Times New Roman" w:hAnsi="Times New Roman" w:cs="Times New Roman"/>
        </w:rPr>
        <w:t>”</w:t>
      </w:r>
    </w:p>
    <w:p w14:paraId="3A3D190A" w14:textId="2254B7BA" w:rsidR="003865A7" w:rsidRPr="00160AF0" w:rsidRDefault="00160AF0" w:rsidP="00160AF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65A7" w:rsidRPr="00160AF0">
        <w:rPr>
          <w:rFonts w:ascii="Times New Roman" w:hAnsi="Times New Roman" w:cs="Times New Roman"/>
          <w:sz w:val="24"/>
          <w:szCs w:val="24"/>
        </w:rPr>
        <w:t xml:space="preserve">The respondents have raised a point </w:t>
      </w:r>
      <w:r w:rsidR="003865A7" w:rsidRPr="00160AF0">
        <w:rPr>
          <w:rFonts w:ascii="Times New Roman" w:hAnsi="Times New Roman" w:cs="Times New Roman"/>
          <w:i/>
          <w:iCs/>
          <w:sz w:val="24"/>
          <w:szCs w:val="24"/>
        </w:rPr>
        <w:t>in limine</w:t>
      </w:r>
      <w:r w:rsidR="003865A7" w:rsidRPr="00160AF0">
        <w:rPr>
          <w:rFonts w:ascii="Times New Roman" w:hAnsi="Times New Roman" w:cs="Times New Roman"/>
          <w:sz w:val="24"/>
          <w:szCs w:val="24"/>
        </w:rPr>
        <w:t xml:space="preserve"> to the effect that this court has no jurisdiction over the matter. This so because this is a purely labour dispute, </w:t>
      </w:r>
      <w:r w:rsidR="000D41E3" w:rsidRPr="00160AF0">
        <w:rPr>
          <w:rFonts w:ascii="Times New Roman" w:hAnsi="Times New Roman" w:cs="Times New Roman"/>
          <w:sz w:val="24"/>
          <w:szCs w:val="24"/>
        </w:rPr>
        <w:t xml:space="preserve">in respect of which the </w:t>
      </w:r>
      <w:r w:rsidR="008275C8" w:rsidRPr="00160AF0">
        <w:rPr>
          <w:rFonts w:ascii="Times New Roman" w:hAnsi="Times New Roman" w:cs="Times New Roman"/>
          <w:sz w:val="24"/>
          <w:szCs w:val="24"/>
        </w:rPr>
        <w:t>L</w:t>
      </w:r>
      <w:r w:rsidR="000D41E3" w:rsidRPr="00160AF0">
        <w:rPr>
          <w:rFonts w:ascii="Times New Roman" w:hAnsi="Times New Roman" w:cs="Times New Roman"/>
          <w:sz w:val="24"/>
          <w:szCs w:val="24"/>
        </w:rPr>
        <w:t xml:space="preserve">abour </w:t>
      </w:r>
      <w:r w:rsidR="008275C8" w:rsidRPr="00160AF0">
        <w:rPr>
          <w:rFonts w:ascii="Times New Roman" w:hAnsi="Times New Roman" w:cs="Times New Roman"/>
          <w:sz w:val="24"/>
          <w:szCs w:val="24"/>
        </w:rPr>
        <w:t>C</w:t>
      </w:r>
      <w:r w:rsidR="000D41E3" w:rsidRPr="00160AF0">
        <w:rPr>
          <w:rFonts w:ascii="Times New Roman" w:hAnsi="Times New Roman" w:cs="Times New Roman"/>
          <w:sz w:val="24"/>
          <w:szCs w:val="24"/>
        </w:rPr>
        <w:t>ourt has exclusive jurisdiction. In this regard,</w:t>
      </w:r>
      <w:r w:rsidR="008E77CF" w:rsidRPr="00160AF0">
        <w:rPr>
          <w:rFonts w:ascii="Times New Roman" w:hAnsi="Times New Roman" w:cs="Times New Roman"/>
          <w:sz w:val="24"/>
          <w:szCs w:val="24"/>
        </w:rPr>
        <w:t xml:space="preserve"> t</w:t>
      </w:r>
      <w:r w:rsidR="000D41E3" w:rsidRPr="00160AF0">
        <w:rPr>
          <w:rFonts w:ascii="Times New Roman" w:hAnsi="Times New Roman" w:cs="Times New Roman"/>
          <w:sz w:val="24"/>
          <w:szCs w:val="24"/>
        </w:rPr>
        <w:t>he respondents indicate that the Labour Court judgment has not been fully quantified</w:t>
      </w:r>
      <w:r w:rsidR="008E77CF" w:rsidRPr="00160AF0">
        <w:rPr>
          <w:rFonts w:ascii="Times New Roman" w:hAnsi="Times New Roman" w:cs="Times New Roman"/>
          <w:sz w:val="24"/>
          <w:szCs w:val="24"/>
        </w:rPr>
        <w:t xml:space="preserve">. When </w:t>
      </w:r>
      <w:r w:rsidRPr="00160AF0">
        <w:rPr>
          <w:rFonts w:ascii="Times New Roman" w:hAnsi="Times New Roman" w:cs="Times New Roman"/>
          <w:smallCaps/>
          <w:sz w:val="24"/>
          <w:szCs w:val="24"/>
        </w:rPr>
        <w:t>deme</w:t>
      </w:r>
      <w:r w:rsidRPr="00160AF0">
        <w:rPr>
          <w:rFonts w:ascii="Times New Roman" w:hAnsi="Times New Roman" w:cs="Times New Roman"/>
          <w:sz w:val="24"/>
          <w:szCs w:val="24"/>
        </w:rPr>
        <w:t xml:space="preserve"> </w:t>
      </w:r>
      <w:r w:rsidR="008E77CF" w:rsidRPr="00160AF0">
        <w:rPr>
          <w:rFonts w:ascii="Times New Roman" w:hAnsi="Times New Roman" w:cs="Times New Roman"/>
          <w:sz w:val="24"/>
          <w:szCs w:val="24"/>
        </w:rPr>
        <w:t xml:space="preserve">J struck off their application </w:t>
      </w:r>
      <w:r w:rsidR="008E77CF" w:rsidRPr="00160AF0">
        <w:rPr>
          <w:rFonts w:ascii="Times New Roman" w:hAnsi="Times New Roman" w:cs="Times New Roman"/>
          <w:sz w:val="24"/>
          <w:szCs w:val="24"/>
        </w:rPr>
        <w:lastRenderedPageBreak/>
        <w:t xml:space="preserve">from the roll, he gave directions that the respondents revert </w:t>
      </w:r>
      <w:r w:rsidR="000D41E3" w:rsidRPr="00160AF0">
        <w:rPr>
          <w:rFonts w:ascii="Times New Roman" w:hAnsi="Times New Roman" w:cs="Times New Roman"/>
          <w:sz w:val="24"/>
          <w:szCs w:val="24"/>
        </w:rPr>
        <w:t xml:space="preserve">to the Labour Court for such quantification. </w:t>
      </w:r>
    </w:p>
    <w:p w14:paraId="5FEA0B65" w14:textId="6D069D26" w:rsidR="000D41E3" w:rsidRPr="00160AF0" w:rsidRDefault="00160AF0" w:rsidP="00160AF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41E3" w:rsidRPr="00160AF0">
        <w:rPr>
          <w:rFonts w:ascii="Times New Roman" w:hAnsi="Times New Roman" w:cs="Times New Roman"/>
          <w:sz w:val="24"/>
          <w:szCs w:val="24"/>
        </w:rPr>
        <w:t xml:space="preserve">In response to the point raised </w:t>
      </w:r>
      <w:r w:rsidR="007E566E" w:rsidRPr="00160AF0">
        <w:rPr>
          <w:rFonts w:ascii="Times New Roman" w:hAnsi="Times New Roman" w:cs="Times New Roman"/>
          <w:sz w:val="24"/>
          <w:szCs w:val="24"/>
        </w:rPr>
        <w:t>by</w:t>
      </w:r>
      <w:r w:rsidR="000D41E3" w:rsidRPr="00160AF0">
        <w:rPr>
          <w:rFonts w:ascii="Times New Roman" w:hAnsi="Times New Roman" w:cs="Times New Roman"/>
          <w:sz w:val="24"/>
          <w:szCs w:val="24"/>
        </w:rPr>
        <w:t xml:space="preserve"> the respondents, the applicant contends that the </w:t>
      </w:r>
      <w:r w:rsidR="007E566E" w:rsidRPr="00160AF0">
        <w:rPr>
          <w:rFonts w:ascii="Times New Roman" w:hAnsi="Times New Roman" w:cs="Times New Roman"/>
          <w:sz w:val="24"/>
          <w:szCs w:val="24"/>
        </w:rPr>
        <w:t xml:space="preserve">High Court has jurisdiction over the matter.  The applicant seeks a declaratory order on a separate issue, which is the legal question of the applicability of SI 33/19 to the Labour Court Judgment. The applicant further avers that there is nothing pending at the Labour Court. The judgment rendered dealt fully with the question of the applicant’s liability towards the respondents. </w:t>
      </w:r>
      <w:r w:rsidR="00C33E8A" w:rsidRPr="00160AF0">
        <w:rPr>
          <w:rFonts w:ascii="Times New Roman" w:hAnsi="Times New Roman" w:cs="Times New Roman"/>
          <w:sz w:val="24"/>
          <w:szCs w:val="24"/>
        </w:rPr>
        <w:t>It</w:t>
      </w:r>
      <w:r w:rsidR="007E566E" w:rsidRPr="00160AF0">
        <w:rPr>
          <w:rFonts w:ascii="Times New Roman" w:hAnsi="Times New Roman" w:cs="Times New Roman"/>
          <w:sz w:val="24"/>
          <w:szCs w:val="24"/>
        </w:rPr>
        <w:t xml:space="preserve"> also quantified the liability and there is no basis for </w:t>
      </w:r>
      <w:r w:rsidR="00086DE0" w:rsidRPr="00160AF0">
        <w:rPr>
          <w:rFonts w:ascii="Times New Roman" w:hAnsi="Times New Roman" w:cs="Times New Roman"/>
          <w:sz w:val="24"/>
          <w:szCs w:val="24"/>
        </w:rPr>
        <w:t>further</w:t>
      </w:r>
      <w:r w:rsidR="007E566E" w:rsidRPr="00160AF0">
        <w:rPr>
          <w:rFonts w:ascii="Times New Roman" w:hAnsi="Times New Roman" w:cs="Times New Roman"/>
          <w:sz w:val="24"/>
          <w:szCs w:val="24"/>
        </w:rPr>
        <w:t xml:space="preserve"> quantification </w:t>
      </w:r>
      <w:r w:rsidR="00086DE0" w:rsidRPr="00160AF0">
        <w:rPr>
          <w:rFonts w:ascii="Times New Roman" w:hAnsi="Times New Roman" w:cs="Times New Roman"/>
          <w:sz w:val="24"/>
          <w:szCs w:val="24"/>
        </w:rPr>
        <w:t>as claimed by the respondents.</w:t>
      </w:r>
    </w:p>
    <w:p w14:paraId="25846F5D" w14:textId="77777777" w:rsidR="00160AF0" w:rsidRDefault="00160AF0" w:rsidP="00160AF0">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3E8A" w:rsidRPr="00160AF0">
        <w:rPr>
          <w:rFonts w:ascii="Times New Roman" w:hAnsi="Times New Roman" w:cs="Times New Roman"/>
          <w:sz w:val="24"/>
          <w:szCs w:val="24"/>
        </w:rPr>
        <w:t>The question of the exclusive jurisdiction of the Labour Court over labour matters has now been settled.  This jurisdiction is, first and foremost, derived from the Constit</w:t>
      </w:r>
      <w:r w:rsidR="00055ABD" w:rsidRPr="00160AF0">
        <w:rPr>
          <w:rFonts w:ascii="Times New Roman" w:hAnsi="Times New Roman" w:cs="Times New Roman"/>
          <w:sz w:val="24"/>
          <w:szCs w:val="24"/>
        </w:rPr>
        <w:t>ution itself, in s 172(2) and (3), which reads:</w:t>
      </w:r>
    </w:p>
    <w:p w14:paraId="641155E7" w14:textId="116C3336" w:rsidR="00055ABD" w:rsidRPr="00160AF0" w:rsidRDefault="00055ABD" w:rsidP="00160AF0">
      <w:pPr>
        <w:tabs>
          <w:tab w:val="left" w:pos="720"/>
        </w:tabs>
        <w:spacing w:line="240" w:lineRule="auto"/>
        <w:ind w:left="720"/>
        <w:jc w:val="both"/>
        <w:rPr>
          <w:rFonts w:ascii="Times New Roman" w:hAnsi="Times New Roman" w:cs="Times New Roman"/>
        </w:rPr>
      </w:pPr>
      <w:r w:rsidRPr="00160AF0">
        <w:rPr>
          <w:rFonts w:ascii="Times New Roman" w:hAnsi="Times New Roman" w:cs="Times New Roman"/>
        </w:rPr>
        <w:t>“(2</w:t>
      </w:r>
      <w:r w:rsidR="001532A1" w:rsidRPr="00160AF0">
        <w:rPr>
          <w:rFonts w:ascii="Times New Roman" w:hAnsi="Times New Roman" w:cs="Times New Roman"/>
        </w:rPr>
        <w:t xml:space="preserve">) </w:t>
      </w:r>
      <w:r w:rsidR="00AA434E" w:rsidRPr="00160AF0">
        <w:rPr>
          <w:rFonts w:ascii="Times New Roman" w:hAnsi="Times New Roman" w:cs="Times New Roman"/>
        </w:rPr>
        <w:t xml:space="preserve">  </w:t>
      </w:r>
      <w:r w:rsidR="001532A1" w:rsidRPr="00160AF0">
        <w:rPr>
          <w:rFonts w:ascii="Times New Roman" w:hAnsi="Times New Roman" w:cs="Times New Roman"/>
        </w:rPr>
        <w:t>The</w:t>
      </w:r>
      <w:r w:rsidRPr="00160AF0">
        <w:rPr>
          <w:rFonts w:ascii="Times New Roman" w:hAnsi="Times New Roman" w:cs="Times New Roman"/>
        </w:rPr>
        <w:t xml:space="preserve"> Labour Court has such jurisdiction over matters of </w:t>
      </w:r>
      <w:r w:rsidR="001532A1" w:rsidRPr="00160AF0">
        <w:rPr>
          <w:rFonts w:ascii="Times New Roman" w:hAnsi="Times New Roman" w:cs="Times New Roman"/>
        </w:rPr>
        <w:t xml:space="preserve">labour </w:t>
      </w:r>
      <w:r w:rsidR="00E2008E" w:rsidRPr="00160AF0">
        <w:rPr>
          <w:rFonts w:ascii="Times New Roman" w:hAnsi="Times New Roman" w:cs="Times New Roman"/>
        </w:rPr>
        <w:t>and employment</w:t>
      </w:r>
      <w:r w:rsidR="001532A1" w:rsidRPr="00160AF0">
        <w:rPr>
          <w:rFonts w:ascii="Times New Roman" w:hAnsi="Times New Roman" w:cs="Times New Roman"/>
        </w:rPr>
        <w:t xml:space="preserve"> as may be conferred upon it by an Act of Parliament. </w:t>
      </w:r>
    </w:p>
    <w:p w14:paraId="37BDDE4E" w14:textId="6E8EB814" w:rsidR="008E77CF" w:rsidRPr="00160AF0" w:rsidRDefault="001532A1" w:rsidP="00160AF0">
      <w:pPr>
        <w:tabs>
          <w:tab w:val="left" w:pos="720"/>
          <w:tab w:val="left" w:pos="810"/>
        </w:tabs>
        <w:spacing w:line="240" w:lineRule="auto"/>
        <w:ind w:left="720"/>
        <w:jc w:val="both"/>
        <w:rPr>
          <w:rFonts w:ascii="Times New Roman" w:hAnsi="Times New Roman" w:cs="Times New Roman"/>
        </w:rPr>
      </w:pPr>
      <w:r w:rsidRPr="00160AF0">
        <w:rPr>
          <w:rFonts w:ascii="Times New Roman" w:hAnsi="Times New Roman" w:cs="Times New Roman"/>
        </w:rPr>
        <w:t xml:space="preserve"> (3)   An Act of Parliament may provide for the exercise of jurisdiction by the Labour Court and for that purpose may confer the power to make rules of court.”</w:t>
      </w:r>
    </w:p>
    <w:p w14:paraId="2884D37A" w14:textId="77777777" w:rsidR="00160AF0" w:rsidRDefault="00160AF0" w:rsidP="00160AF0">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A434E" w:rsidRPr="00160AF0">
        <w:rPr>
          <w:rFonts w:ascii="Times New Roman" w:hAnsi="Times New Roman" w:cs="Times New Roman"/>
          <w:sz w:val="24"/>
          <w:szCs w:val="24"/>
        </w:rPr>
        <w:t xml:space="preserve">The Act of Parliament </w:t>
      </w:r>
      <w:r w:rsidR="008E77CF" w:rsidRPr="00160AF0">
        <w:rPr>
          <w:rFonts w:ascii="Times New Roman" w:hAnsi="Times New Roman" w:cs="Times New Roman"/>
          <w:sz w:val="24"/>
          <w:szCs w:val="24"/>
        </w:rPr>
        <w:t xml:space="preserve">which </w:t>
      </w:r>
      <w:r w:rsidR="00AA434E" w:rsidRPr="00160AF0">
        <w:rPr>
          <w:rFonts w:ascii="Times New Roman" w:hAnsi="Times New Roman" w:cs="Times New Roman"/>
          <w:sz w:val="24"/>
          <w:szCs w:val="24"/>
        </w:rPr>
        <w:t xml:space="preserve">specifically confers the powers referred to in the </w:t>
      </w:r>
      <w:r w:rsidR="008E77CF" w:rsidRPr="00160AF0">
        <w:rPr>
          <w:rFonts w:ascii="Times New Roman" w:hAnsi="Times New Roman" w:cs="Times New Roman"/>
          <w:sz w:val="24"/>
          <w:szCs w:val="24"/>
        </w:rPr>
        <w:t>C</w:t>
      </w:r>
      <w:r w:rsidR="00AA434E" w:rsidRPr="00160AF0">
        <w:rPr>
          <w:rFonts w:ascii="Times New Roman" w:hAnsi="Times New Roman" w:cs="Times New Roman"/>
          <w:sz w:val="24"/>
          <w:szCs w:val="24"/>
        </w:rPr>
        <w:t xml:space="preserve">onstitution is the Labour Act </w:t>
      </w:r>
      <w:r w:rsidR="00AA434E" w:rsidRPr="00E2008E">
        <w:rPr>
          <w:rFonts w:ascii="Times New Roman" w:hAnsi="Times New Roman" w:cs="Times New Roman"/>
          <w:sz w:val="24"/>
          <w:szCs w:val="24"/>
        </w:rPr>
        <w:t>[</w:t>
      </w:r>
      <w:r w:rsidR="00AA434E" w:rsidRPr="00160AF0">
        <w:rPr>
          <w:rFonts w:ascii="Times New Roman" w:hAnsi="Times New Roman" w:cs="Times New Roman"/>
          <w:i/>
          <w:iCs/>
          <w:sz w:val="24"/>
          <w:szCs w:val="24"/>
        </w:rPr>
        <w:t>Chapter 28:01</w:t>
      </w:r>
      <w:r w:rsidR="00AA434E" w:rsidRPr="00160AF0">
        <w:rPr>
          <w:rFonts w:ascii="Times New Roman" w:hAnsi="Times New Roman" w:cs="Times New Roman"/>
          <w:sz w:val="24"/>
          <w:szCs w:val="24"/>
        </w:rPr>
        <w:t>]. It provides</w:t>
      </w:r>
      <w:r w:rsidR="008E77CF" w:rsidRPr="00160AF0">
        <w:rPr>
          <w:rFonts w:ascii="Times New Roman" w:hAnsi="Times New Roman" w:cs="Times New Roman"/>
          <w:sz w:val="24"/>
          <w:szCs w:val="24"/>
        </w:rPr>
        <w:t>,</w:t>
      </w:r>
      <w:r w:rsidR="00AA434E" w:rsidRPr="00160AF0">
        <w:rPr>
          <w:rFonts w:ascii="Times New Roman" w:hAnsi="Times New Roman" w:cs="Times New Roman"/>
          <w:sz w:val="24"/>
          <w:szCs w:val="24"/>
        </w:rPr>
        <w:t xml:space="preserve"> in s </w:t>
      </w:r>
      <w:r w:rsidR="007F11BE" w:rsidRPr="00160AF0">
        <w:rPr>
          <w:rFonts w:ascii="Times New Roman" w:hAnsi="Times New Roman" w:cs="Times New Roman"/>
          <w:sz w:val="24"/>
          <w:szCs w:val="24"/>
        </w:rPr>
        <w:t>89 (6):</w:t>
      </w:r>
    </w:p>
    <w:p w14:paraId="766059FE" w14:textId="02A13FCF" w:rsidR="007F11BE" w:rsidRPr="00E2008E" w:rsidRDefault="007F11BE" w:rsidP="00E2008E">
      <w:pPr>
        <w:tabs>
          <w:tab w:val="left" w:pos="720"/>
          <w:tab w:val="left" w:pos="810"/>
        </w:tabs>
        <w:spacing w:line="240" w:lineRule="auto"/>
        <w:ind w:left="720"/>
        <w:jc w:val="both"/>
        <w:rPr>
          <w:rFonts w:ascii="Times New Roman" w:hAnsi="Times New Roman" w:cs="Times New Roman"/>
        </w:rPr>
      </w:pPr>
      <w:r w:rsidRPr="00E2008E">
        <w:rPr>
          <w:rFonts w:ascii="Times New Roman" w:hAnsi="Times New Roman" w:cs="Times New Roman"/>
        </w:rPr>
        <w:t>“No court, other than the Labour Court, shall have jurisdiction in the first instanc</w:t>
      </w:r>
      <w:r w:rsidR="00174184" w:rsidRPr="00E2008E">
        <w:rPr>
          <w:rFonts w:ascii="Times New Roman" w:hAnsi="Times New Roman" w:cs="Times New Roman"/>
        </w:rPr>
        <w:t xml:space="preserve">e </w:t>
      </w:r>
      <w:r w:rsidR="00E2008E" w:rsidRPr="00E2008E">
        <w:rPr>
          <w:rFonts w:ascii="Times New Roman" w:hAnsi="Times New Roman" w:cs="Times New Roman"/>
        </w:rPr>
        <w:t>to hear and</w:t>
      </w:r>
      <w:r w:rsidRPr="00E2008E">
        <w:rPr>
          <w:rFonts w:ascii="Times New Roman" w:hAnsi="Times New Roman" w:cs="Times New Roman"/>
        </w:rPr>
        <w:t xml:space="preserve"> determine any application, appeal or matter referred to in subsection (1).”</w:t>
      </w:r>
    </w:p>
    <w:p w14:paraId="37C974B1" w14:textId="511FDCC8" w:rsidR="005A30E4" w:rsidRPr="00160AF0" w:rsidRDefault="00E2008E" w:rsidP="00E2008E">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17119" w:rsidRPr="00160AF0">
        <w:rPr>
          <w:rFonts w:ascii="Times New Roman" w:hAnsi="Times New Roman" w:cs="Times New Roman"/>
          <w:sz w:val="24"/>
          <w:szCs w:val="24"/>
        </w:rPr>
        <w:t xml:space="preserve">The position has been underscored in numerous authorities. Both parties have referred the court to some of them. In the case of </w:t>
      </w:r>
      <w:r w:rsidR="005A30E4" w:rsidRPr="00160AF0">
        <w:rPr>
          <w:rFonts w:ascii="Times New Roman" w:hAnsi="Times New Roman" w:cs="Times New Roman"/>
          <w:i/>
          <w:iCs/>
          <w:sz w:val="24"/>
          <w:szCs w:val="24"/>
        </w:rPr>
        <w:t xml:space="preserve">Stanley </w:t>
      </w:r>
      <w:r w:rsidR="00B17119" w:rsidRPr="00160AF0">
        <w:rPr>
          <w:rFonts w:ascii="Times New Roman" w:hAnsi="Times New Roman" w:cs="Times New Roman"/>
          <w:i/>
          <w:iCs/>
          <w:sz w:val="24"/>
          <w:szCs w:val="24"/>
        </w:rPr>
        <w:t xml:space="preserve">Nhari </w:t>
      </w:r>
      <w:r w:rsidR="00B17119" w:rsidRPr="00E2008E">
        <w:rPr>
          <w:rFonts w:ascii="Times New Roman" w:hAnsi="Times New Roman" w:cs="Times New Roman"/>
          <w:sz w:val="24"/>
          <w:szCs w:val="24"/>
        </w:rPr>
        <w:t xml:space="preserve">v </w:t>
      </w:r>
      <w:r w:rsidR="005A30E4" w:rsidRPr="00160AF0">
        <w:rPr>
          <w:rFonts w:ascii="Times New Roman" w:hAnsi="Times New Roman" w:cs="Times New Roman"/>
          <w:i/>
          <w:iCs/>
          <w:sz w:val="24"/>
          <w:szCs w:val="24"/>
        </w:rPr>
        <w:t xml:space="preserve">Robert Gabriel </w:t>
      </w:r>
      <w:r w:rsidR="00B17119" w:rsidRPr="00160AF0">
        <w:rPr>
          <w:rFonts w:ascii="Times New Roman" w:hAnsi="Times New Roman" w:cs="Times New Roman"/>
          <w:i/>
          <w:iCs/>
          <w:sz w:val="24"/>
          <w:szCs w:val="24"/>
        </w:rPr>
        <w:t>Mugabe &amp; Or</w:t>
      </w:r>
      <w:r w:rsidR="00406FAE" w:rsidRPr="00160AF0">
        <w:rPr>
          <w:rFonts w:ascii="Times New Roman" w:hAnsi="Times New Roman" w:cs="Times New Roman"/>
          <w:i/>
          <w:iCs/>
          <w:sz w:val="24"/>
          <w:szCs w:val="24"/>
        </w:rPr>
        <w:t>s</w:t>
      </w:r>
      <w:r w:rsidR="00406FAE" w:rsidRPr="00160AF0">
        <w:rPr>
          <w:rFonts w:ascii="Times New Roman" w:hAnsi="Times New Roman" w:cs="Times New Roman"/>
          <w:sz w:val="24"/>
          <w:szCs w:val="24"/>
        </w:rPr>
        <w:t xml:space="preserve">, SC 161/20, </w:t>
      </w:r>
      <w:r w:rsidRPr="00E2008E">
        <w:rPr>
          <w:rFonts w:ascii="Times New Roman" w:hAnsi="Times New Roman" w:cs="Times New Roman"/>
          <w:smallCaps/>
          <w:sz w:val="24"/>
          <w:szCs w:val="24"/>
        </w:rPr>
        <w:t>garwe</w:t>
      </w:r>
      <w:r w:rsidRPr="00160AF0">
        <w:rPr>
          <w:rFonts w:ascii="Times New Roman" w:hAnsi="Times New Roman" w:cs="Times New Roman"/>
          <w:sz w:val="24"/>
          <w:szCs w:val="24"/>
        </w:rPr>
        <w:t xml:space="preserve"> </w:t>
      </w:r>
      <w:r w:rsidR="00406FAE" w:rsidRPr="00160AF0">
        <w:rPr>
          <w:rFonts w:ascii="Times New Roman" w:hAnsi="Times New Roman" w:cs="Times New Roman"/>
          <w:sz w:val="24"/>
          <w:szCs w:val="24"/>
        </w:rPr>
        <w:t>JA</w:t>
      </w:r>
      <w:r w:rsidR="005A30E4" w:rsidRPr="00160AF0">
        <w:rPr>
          <w:rFonts w:ascii="Times New Roman" w:hAnsi="Times New Roman" w:cs="Times New Roman"/>
          <w:sz w:val="24"/>
          <w:szCs w:val="24"/>
        </w:rPr>
        <w:t xml:space="preserve"> (as he then was)</w:t>
      </w:r>
      <w:r w:rsidR="00406FAE" w:rsidRPr="00160AF0">
        <w:rPr>
          <w:rFonts w:ascii="Times New Roman" w:hAnsi="Times New Roman" w:cs="Times New Roman"/>
          <w:sz w:val="24"/>
          <w:szCs w:val="24"/>
        </w:rPr>
        <w:t xml:space="preserve"> lamented the conflicting decisions emanating from the High Court on the subject, and clarified the law. The learned judge of appeal stated, at p8:</w:t>
      </w:r>
    </w:p>
    <w:p w14:paraId="613C7571" w14:textId="48D73A54" w:rsidR="00406FAE" w:rsidRPr="00E2008E" w:rsidRDefault="007F2D4C" w:rsidP="007F2D4C">
      <w:pPr>
        <w:tabs>
          <w:tab w:val="left" w:pos="720"/>
          <w:tab w:val="left" w:pos="810"/>
        </w:tabs>
        <w:spacing w:line="240" w:lineRule="auto"/>
        <w:ind w:left="720"/>
        <w:jc w:val="both"/>
        <w:rPr>
          <w:rFonts w:ascii="Times New Roman" w:eastAsia="Times New Roman" w:hAnsi="Times New Roman" w:cs="Times New Roman"/>
          <w:lang w:val="en-GB"/>
        </w:rPr>
      </w:pPr>
      <w:r>
        <w:rPr>
          <w:rFonts w:ascii="Times New Roman" w:eastAsia="Times New Roman" w:hAnsi="Times New Roman" w:cs="Times New Roman"/>
          <w:lang w:val="en-GB"/>
        </w:rPr>
        <w:tab/>
      </w:r>
      <w:r w:rsidR="00406FAE" w:rsidRPr="00E2008E">
        <w:rPr>
          <w:rFonts w:ascii="Times New Roman" w:eastAsia="Times New Roman" w:hAnsi="Times New Roman" w:cs="Times New Roman"/>
          <w:lang w:val="en-GB"/>
        </w:rPr>
        <w:t>“[17]</w:t>
      </w:r>
      <w:r w:rsidR="00E2008E" w:rsidRPr="00E2008E">
        <w:rPr>
          <w:rFonts w:ascii="Times New Roman" w:eastAsia="Times New Roman" w:hAnsi="Times New Roman" w:cs="Times New Roman"/>
          <w:lang w:val="en-GB"/>
        </w:rPr>
        <w:t xml:space="preserve"> </w:t>
      </w:r>
      <w:r w:rsidR="00406FAE" w:rsidRPr="00E2008E">
        <w:rPr>
          <w:rFonts w:ascii="Times New Roman" w:eastAsia="Times New Roman" w:hAnsi="Times New Roman" w:cs="Times New Roman"/>
          <w:lang w:val="en-GB"/>
        </w:rPr>
        <w:t xml:space="preserve">There is no doubt that there are conflicting decisions in the High Court on whether the court has jurisdiction to deal with all civil and criminal matters, a fact alluded to by the court </w:t>
      </w:r>
      <w:r w:rsidR="00406FAE" w:rsidRPr="00E2008E">
        <w:rPr>
          <w:rFonts w:ascii="Times New Roman" w:eastAsia="Times New Roman" w:hAnsi="Times New Roman" w:cs="Times New Roman"/>
          <w:i/>
          <w:lang w:val="en-GB"/>
        </w:rPr>
        <w:t>a quo</w:t>
      </w:r>
      <w:r w:rsidR="00406FAE" w:rsidRPr="00E2008E">
        <w:rPr>
          <w:rFonts w:ascii="Times New Roman" w:eastAsia="Times New Roman" w:hAnsi="Times New Roman" w:cs="Times New Roman"/>
          <w:lang w:val="en-GB"/>
        </w:rPr>
        <w:t xml:space="preserve"> in its judgment.  Before the advent of the current Constitution, the position was settled that the High Court had no jurisdiction in matters of labour and employment. </w:t>
      </w:r>
      <w:r w:rsidR="00E2008E" w:rsidRPr="00E2008E">
        <w:rPr>
          <w:rFonts w:ascii="Times New Roman" w:eastAsia="Times New Roman" w:hAnsi="Times New Roman" w:cs="Times New Roman"/>
          <w:lang w:val="en-GB"/>
        </w:rPr>
        <w:t>Indeed,</w:t>
      </w:r>
      <w:r w:rsidR="00406FAE" w:rsidRPr="00E2008E">
        <w:rPr>
          <w:rFonts w:ascii="Times New Roman" w:eastAsia="Times New Roman" w:hAnsi="Times New Roman" w:cs="Times New Roman"/>
          <w:lang w:val="en-GB"/>
        </w:rPr>
        <w:t xml:space="preserve"> in decided cases such as </w:t>
      </w:r>
      <w:r w:rsidR="00406FAE" w:rsidRPr="00E2008E">
        <w:rPr>
          <w:rFonts w:ascii="Times New Roman" w:eastAsia="Times New Roman" w:hAnsi="Times New Roman" w:cs="Times New Roman"/>
          <w:i/>
          <w:lang w:val="en-GB"/>
        </w:rPr>
        <w:t xml:space="preserve">Zimtrade </w:t>
      </w:r>
      <w:r w:rsidR="00406FAE" w:rsidRPr="00E2008E">
        <w:rPr>
          <w:rFonts w:ascii="Times New Roman" w:eastAsia="Times New Roman" w:hAnsi="Times New Roman" w:cs="Times New Roman"/>
          <w:iCs/>
          <w:lang w:val="en-GB"/>
        </w:rPr>
        <w:t>v</w:t>
      </w:r>
      <w:r w:rsidR="00406FAE" w:rsidRPr="00E2008E">
        <w:rPr>
          <w:rFonts w:ascii="Times New Roman" w:eastAsia="Times New Roman" w:hAnsi="Times New Roman" w:cs="Times New Roman"/>
          <w:i/>
          <w:lang w:val="en-GB"/>
        </w:rPr>
        <w:t xml:space="preserve"> Makaya</w:t>
      </w:r>
      <w:r w:rsidR="00406FAE" w:rsidRPr="00E2008E">
        <w:rPr>
          <w:rFonts w:ascii="Times New Roman" w:eastAsia="Times New Roman" w:hAnsi="Times New Roman" w:cs="Times New Roman"/>
          <w:lang w:val="en-GB"/>
        </w:rPr>
        <w:t xml:space="preserve"> 2005 (1) ZLR 427(H), 429 and </w:t>
      </w:r>
      <w:r w:rsidR="00406FAE" w:rsidRPr="00E2008E">
        <w:rPr>
          <w:rFonts w:ascii="Times New Roman" w:eastAsia="Times New Roman" w:hAnsi="Times New Roman" w:cs="Times New Roman"/>
          <w:i/>
          <w:lang w:val="en-GB"/>
        </w:rPr>
        <w:t xml:space="preserve">DHL International (Pvt) Ltd </w:t>
      </w:r>
      <w:r w:rsidR="00406FAE" w:rsidRPr="00E2008E">
        <w:rPr>
          <w:rFonts w:ascii="Times New Roman" w:eastAsia="Times New Roman" w:hAnsi="Times New Roman" w:cs="Times New Roman"/>
          <w:iCs/>
          <w:lang w:val="en-GB"/>
        </w:rPr>
        <w:t xml:space="preserve">v </w:t>
      </w:r>
      <w:r w:rsidR="00406FAE" w:rsidRPr="00E2008E">
        <w:rPr>
          <w:rFonts w:ascii="Times New Roman" w:eastAsia="Times New Roman" w:hAnsi="Times New Roman" w:cs="Times New Roman"/>
          <w:i/>
          <w:lang w:val="en-GB"/>
        </w:rPr>
        <w:t>Madzikanda</w:t>
      </w:r>
      <w:r w:rsidR="00406FAE" w:rsidRPr="00E2008E">
        <w:rPr>
          <w:rFonts w:ascii="Times New Roman" w:eastAsia="Times New Roman" w:hAnsi="Times New Roman" w:cs="Times New Roman"/>
          <w:lang w:val="en-GB"/>
        </w:rPr>
        <w:t xml:space="preserve"> 2010(1) ZLR 201(H), 204-5, the High Court itself accepted that it had no jurisdiction in these matters.  The court further accepted that it would have been a mockery of the clear intention of the legislature to create a special court in circumstances where the jurisdiction of that court could be defeated by the framing of disputes as common law causes of action despite the fact that the Labour Act would have made specific provision for the same.”</w:t>
      </w:r>
    </w:p>
    <w:p w14:paraId="2918E404" w14:textId="23B95DBA" w:rsidR="00406FAE" w:rsidRPr="00160AF0" w:rsidRDefault="007F2D4C" w:rsidP="007F2D4C">
      <w:pPr>
        <w:tabs>
          <w:tab w:val="left" w:pos="630"/>
        </w:tabs>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rPr>
        <w:tab/>
      </w:r>
      <w:r w:rsidR="00126A43" w:rsidRPr="00160AF0">
        <w:rPr>
          <w:rFonts w:ascii="Times New Roman" w:eastAsia="Times New Roman" w:hAnsi="Times New Roman" w:cs="Times New Roman"/>
          <w:sz w:val="24"/>
          <w:szCs w:val="24"/>
          <w:lang w:val="en-GB"/>
        </w:rPr>
        <w:t>After examining the authorities , the learned judge went on to state, at p</w:t>
      </w:r>
      <w:r w:rsidR="00FE13CE" w:rsidRPr="00160AF0">
        <w:rPr>
          <w:rFonts w:ascii="Times New Roman" w:eastAsia="Times New Roman" w:hAnsi="Times New Roman" w:cs="Times New Roman"/>
          <w:sz w:val="24"/>
          <w:szCs w:val="24"/>
          <w:lang w:val="en-GB"/>
        </w:rPr>
        <w:t>p 15-16:</w:t>
      </w:r>
    </w:p>
    <w:p w14:paraId="25293BD3" w14:textId="77777777" w:rsidR="00FE13CE" w:rsidRPr="00160AF0" w:rsidRDefault="00FE13CE" w:rsidP="00160AF0">
      <w:pPr>
        <w:spacing w:after="0" w:line="360" w:lineRule="auto"/>
        <w:ind w:left="1134"/>
        <w:contextualSpacing/>
        <w:jc w:val="both"/>
        <w:rPr>
          <w:rFonts w:ascii="Times New Roman" w:eastAsia="Calibri" w:hAnsi="Times New Roman" w:cs="Times New Roman"/>
          <w:sz w:val="24"/>
          <w:szCs w:val="24"/>
        </w:rPr>
      </w:pPr>
    </w:p>
    <w:p w14:paraId="3310182C" w14:textId="7E09E5D2" w:rsidR="007B1306" w:rsidRPr="007F2D4C" w:rsidRDefault="00FE13CE" w:rsidP="007F2D4C">
      <w:pPr>
        <w:spacing w:after="0" w:line="240" w:lineRule="auto"/>
        <w:ind w:left="720"/>
        <w:jc w:val="both"/>
        <w:rPr>
          <w:rFonts w:ascii="Times New Roman" w:eastAsia="Calibri" w:hAnsi="Times New Roman" w:cs="Times New Roman"/>
        </w:rPr>
      </w:pPr>
      <w:r w:rsidRPr="00E2008E">
        <w:rPr>
          <w:rFonts w:ascii="Times New Roman" w:eastAsia="Calibri" w:hAnsi="Times New Roman" w:cs="Times New Roman"/>
        </w:rPr>
        <w:lastRenderedPageBreak/>
        <w:t xml:space="preserve">“ [31]  </w:t>
      </w:r>
      <w:r w:rsidRPr="00E2008E">
        <w:rPr>
          <w:rFonts w:ascii="Times New Roman" w:eastAsia="Calibri" w:hAnsi="Times New Roman" w:cs="Times New Roman"/>
        </w:rPr>
        <w:tab/>
        <w:t>It could not, therefore, have been the intention of the legislature that the High Court would have jurisdiction in all civil and criminal cases without exception. An interpretation that the High Court has unlimited jurisdiction in all cases would clearly lead to an absurdity. The High Court would then have jurisdiction to determine matters that are in the province of say, the Military Courts.  The High Court could, in these circumstances, be called upon to deal with petty cases involving the application of customary law at first instance or discipline at the work place.  Were the High Court to have jurisdiction to hear and determine every case in Zimbabwe, it would get bogged down in matters over which it may have very little expertise or in petty matters that should ordinarily not detain the court.  It would cease being the High Court as we know it.  Such an absurdity could not have been in the contemplation of the legislature when it provided for the jurisdiction and exercise of such jurisdiction by the court in s 171 of the Constitution……………..</w:t>
      </w:r>
    </w:p>
    <w:p w14:paraId="095C2A0E" w14:textId="77777777" w:rsidR="00FE13CE" w:rsidRPr="00E2008E" w:rsidRDefault="00FE13CE" w:rsidP="00E2008E">
      <w:pPr>
        <w:spacing w:after="0" w:line="240" w:lineRule="auto"/>
        <w:jc w:val="both"/>
        <w:rPr>
          <w:rFonts w:ascii="Times New Roman" w:eastAsia="Calibri" w:hAnsi="Times New Roman" w:cs="Times New Roman"/>
        </w:rPr>
      </w:pPr>
    </w:p>
    <w:p w14:paraId="2FC61CCD" w14:textId="7DDFF3B9" w:rsidR="00FE13CE" w:rsidRPr="00E2008E" w:rsidRDefault="00FE13CE" w:rsidP="007F2D4C">
      <w:pPr>
        <w:spacing w:after="0" w:line="240" w:lineRule="auto"/>
        <w:ind w:left="720"/>
        <w:jc w:val="both"/>
        <w:rPr>
          <w:rFonts w:ascii="Times New Roman" w:eastAsia="Calibri" w:hAnsi="Times New Roman" w:cs="Times New Roman"/>
        </w:rPr>
      </w:pPr>
      <w:r w:rsidRPr="00E2008E">
        <w:rPr>
          <w:rFonts w:ascii="Times New Roman" w:eastAsia="Calibri" w:hAnsi="Times New Roman" w:cs="Times New Roman"/>
        </w:rPr>
        <w:t>[34]</w:t>
      </w:r>
      <w:r w:rsidRPr="00E2008E">
        <w:rPr>
          <w:rFonts w:ascii="Times New Roman" w:eastAsia="Calibri" w:hAnsi="Times New Roman" w:cs="Times New Roman"/>
        </w:rPr>
        <w:tab/>
        <w:t>I reach the conclusion therefore that the High Court does not in fact enjoy the jurisdiction to deal with each and every civil and criminal matter in Zimbabwe.  Whilst it has original jurisdiction to deal with such matters, such jurisdiction has been fettered and truncated by the Constitution itself which has made provision for the creation of specialised courts whose jurisdiction may, in the process, oust the original jurisdiction of the High Court in specific areas.”</w:t>
      </w:r>
    </w:p>
    <w:p w14:paraId="64000FCB" w14:textId="77777777" w:rsidR="005A30E4" w:rsidRPr="00E2008E" w:rsidRDefault="005A30E4" w:rsidP="00E2008E">
      <w:pPr>
        <w:spacing w:after="0" w:line="240" w:lineRule="auto"/>
        <w:jc w:val="both"/>
        <w:rPr>
          <w:rFonts w:ascii="Times New Roman" w:eastAsia="Calibri" w:hAnsi="Times New Roman" w:cs="Times New Roman"/>
        </w:rPr>
      </w:pPr>
    </w:p>
    <w:p w14:paraId="7F0D090C" w14:textId="7E77BE49" w:rsidR="00A90776" w:rsidRPr="00160AF0" w:rsidRDefault="00A90776"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This case put</w:t>
      </w:r>
      <w:r w:rsidR="007F2D4C">
        <w:rPr>
          <w:rFonts w:ascii="Times New Roman" w:eastAsia="Calibri" w:hAnsi="Times New Roman" w:cs="Times New Roman"/>
          <w:sz w:val="24"/>
          <w:szCs w:val="24"/>
        </w:rPr>
        <w:t>s</w:t>
      </w:r>
      <w:r w:rsidRPr="00160AF0">
        <w:rPr>
          <w:rFonts w:ascii="Times New Roman" w:eastAsia="Calibri" w:hAnsi="Times New Roman" w:cs="Times New Roman"/>
          <w:sz w:val="24"/>
          <w:szCs w:val="24"/>
        </w:rPr>
        <w:t xml:space="preserve"> </w:t>
      </w:r>
      <w:r w:rsidR="007F2D4C">
        <w:rPr>
          <w:rFonts w:ascii="Times New Roman" w:eastAsia="Calibri" w:hAnsi="Times New Roman" w:cs="Times New Roman"/>
          <w:sz w:val="24"/>
          <w:szCs w:val="24"/>
        </w:rPr>
        <w:t>to rest</w:t>
      </w:r>
      <w:r w:rsidRPr="00160AF0">
        <w:rPr>
          <w:rFonts w:ascii="Times New Roman" w:eastAsia="Calibri" w:hAnsi="Times New Roman" w:cs="Times New Roman"/>
          <w:sz w:val="24"/>
          <w:szCs w:val="24"/>
        </w:rPr>
        <w:t xml:space="preserve"> to the debate on the exclusivity of the Labour Court’s jurisdiction in labour matters, and the jurisdictional exclusivity of other </w:t>
      </w:r>
      <w:r w:rsidR="0086515B" w:rsidRPr="00160AF0">
        <w:rPr>
          <w:rFonts w:ascii="Times New Roman" w:eastAsia="Calibri" w:hAnsi="Times New Roman" w:cs="Times New Roman"/>
          <w:sz w:val="24"/>
          <w:szCs w:val="24"/>
        </w:rPr>
        <w:t>courts in specialised areas of the law. See also</w:t>
      </w:r>
      <w:r w:rsidR="0086515B" w:rsidRPr="00160AF0">
        <w:rPr>
          <w:rFonts w:ascii="Times New Roman" w:eastAsia="Calibri" w:hAnsi="Times New Roman" w:cs="Times New Roman"/>
          <w:i/>
          <w:iCs/>
          <w:sz w:val="24"/>
          <w:szCs w:val="24"/>
        </w:rPr>
        <w:t xml:space="preserve"> Nyanzara </w:t>
      </w:r>
      <w:r w:rsidR="0086515B" w:rsidRPr="00E2008E">
        <w:rPr>
          <w:rFonts w:ascii="Times New Roman" w:eastAsia="Calibri" w:hAnsi="Times New Roman" w:cs="Times New Roman"/>
          <w:sz w:val="24"/>
          <w:szCs w:val="24"/>
        </w:rPr>
        <w:t>v</w:t>
      </w:r>
      <w:r w:rsidR="0086515B" w:rsidRPr="00160AF0">
        <w:rPr>
          <w:rFonts w:ascii="Times New Roman" w:eastAsia="Calibri" w:hAnsi="Times New Roman" w:cs="Times New Roman"/>
          <w:i/>
          <w:iCs/>
          <w:sz w:val="24"/>
          <w:szCs w:val="24"/>
        </w:rPr>
        <w:t xml:space="preserve"> Mbada Diamond (Pvt) </w:t>
      </w:r>
      <w:r w:rsidR="005A30E4" w:rsidRPr="00160AF0">
        <w:rPr>
          <w:rFonts w:ascii="Times New Roman" w:eastAsia="Calibri" w:hAnsi="Times New Roman" w:cs="Times New Roman"/>
          <w:i/>
          <w:iCs/>
          <w:sz w:val="24"/>
          <w:szCs w:val="24"/>
        </w:rPr>
        <w:t>Ltd</w:t>
      </w:r>
      <w:r w:rsidR="005A30E4" w:rsidRPr="00160AF0">
        <w:rPr>
          <w:rFonts w:ascii="Times New Roman" w:eastAsia="Calibri" w:hAnsi="Times New Roman" w:cs="Times New Roman"/>
          <w:sz w:val="24"/>
          <w:szCs w:val="24"/>
        </w:rPr>
        <w:t xml:space="preserve"> 2016</w:t>
      </w:r>
      <w:r w:rsidR="0086515B" w:rsidRPr="00160AF0">
        <w:rPr>
          <w:rFonts w:ascii="Times New Roman" w:eastAsia="Calibri" w:hAnsi="Times New Roman" w:cs="Times New Roman"/>
          <w:sz w:val="24"/>
          <w:szCs w:val="24"/>
        </w:rPr>
        <w:t xml:space="preserve"> (1) ZLR 195 (H),</w:t>
      </w:r>
      <w:r w:rsidR="0086515B" w:rsidRPr="00160AF0">
        <w:rPr>
          <w:rFonts w:ascii="Times New Roman" w:eastAsia="Calibri" w:hAnsi="Times New Roman" w:cs="Times New Roman"/>
          <w:i/>
          <w:iCs/>
          <w:sz w:val="24"/>
          <w:szCs w:val="24"/>
        </w:rPr>
        <w:t xml:space="preserve"> TN Harlequin Luxaire Limited </w:t>
      </w:r>
      <w:r w:rsidR="0086515B" w:rsidRPr="00E2008E">
        <w:rPr>
          <w:rFonts w:ascii="Times New Roman" w:eastAsia="Calibri" w:hAnsi="Times New Roman" w:cs="Times New Roman"/>
          <w:sz w:val="24"/>
          <w:szCs w:val="24"/>
        </w:rPr>
        <w:t xml:space="preserve">v </w:t>
      </w:r>
      <w:r w:rsidR="0086515B" w:rsidRPr="00160AF0">
        <w:rPr>
          <w:rFonts w:ascii="Times New Roman" w:eastAsia="Calibri" w:hAnsi="Times New Roman" w:cs="Times New Roman"/>
          <w:i/>
          <w:iCs/>
          <w:sz w:val="24"/>
          <w:szCs w:val="24"/>
        </w:rPr>
        <w:t>Mberikunashe Matsvimbo &amp; Ors</w:t>
      </w:r>
      <w:r w:rsidR="0086515B" w:rsidRPr="00160AF0">
        <w:rPr>
          <w:rFonts w:ascii="Times New Roman" w:eastAsia="Calibri" w:hAnsi="Times New Roman" w:cs="Times New Roman"/>
          <w:sz w:val="24"/>
          <w:szCs w:val="24"/>
        </w:rPr>
        <w:t xml:space="preserve"> SCB 84/22,</w:t>
      </w:r>
      <w:r w:rsidR="0086515B" w:rsidRPr="00160AF0">
        <w:rPr>
          <w:rFonts w:ascii="Times New Roman" w:eastAsia="Calibri" w:hAnsi="Times New Roman" w:cs="Times New Roman"/>
          <w:i/>
          <w:iCs/>
          <w:sz w:val="24"/>
          <w:szCs w:val="24"/>
        </w:rPr>
        <w:t xml:space="preserve"> Muchenje </w:t>
      </w:r>
      <w:r w:rsidR="0086515B" w:rsidRPr="00E2008E">
        <w:rPr>
          <w:rFonts w:ascii="Times New Roman" w:eastAsia="Calibri" w:hAnsi="Times New Roman" w:cs="Times New Roman"/>
          <w:sz w:val="24"/>
          <w:szCs w:val="24"/>
        </w:rPr>
        <w:t xml:space="preserve">v </w:t>
      </w:r>
      <w:r w:rsidR="0086515B" w:rsidRPr="00160AF0">
        <w:rPr>
          <w:rFonts w:ascii="Times New Roman" w:eastAsia="Calibri" w:hAnsi="Times New Roman" w:cs="Times New Roman"/>
          <w:i/>
          <w:iCs/>
          <w:sz w:val="24"/>
          <w:szCs w:val="24"/>
        </w:rPr>
        <w:t>Mutangadura &amp; Ors</w:t>
      </w:r>
      <w:r w:rsidR="0086515B" w:rsidRPr="00160AF0">
        <w:rPr>
          <w:rFonts w:ascii="Times New Roman" w:eastAsia="Calibri" w:hAnsi="Times New Roman" w:cs="Times New Roman"/>
          <w:sz w:val="24"/>
          <w:szCs w:val="24"/>
        </w:rPr>
        <w:t xml:space="preserve"> HH 21/21</w:t>
      </w:r>
      <w:r w:rsidR="007C1C3A" w:rsidRPr="00160AF0">
        <w:rPr>
          <w:rFonts w:ascii="Times New Roman" w:eastAsia="Calibri" w:hAnsi="Times New Roman" w:cs="Times New Roman"/>
          <w:sz w:val="24"/>
          <w:szCs w:val="24"/>
        </w:rPr>
        <w:t xml:space="preserve">. </w:t>
      </w:r>
    </w:p>
    <w:p w14:paraId="154C6B3D" w14:textId="306629BD" w:rsidR="007C1C3A" w:rsidRPr="00160AF0" w:rsidRDefault="007C1C3A"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That the dispute over the pension benefits of the respondents falls within the province of the labour law is beyond question. The Labour Court, in the exercise of its jurisdiction in terms of the enabling legislation, rendered judgment o</w:t>
      </w:r>
      <w:r w:rsidR="004D7875" w:rsidRPr="00160AF0">
        <w:rPr>
          <w:rFonts w:ascii="Times New Roman" w:eastAsia="Calibri" w:hAnsi="Times New Roman" w:cs="Times New Roman"/>
          <w:sz w:val="24"/>
          <w:szCs w:val="24"/>
        </w:rPr>
        <w:t>n</w:t>
      </w:r>
      <w:r w:rsidRPr="00160AF0">
        <w:rPr>
          <w:rFonts w:ascii="Times New Roman" w:eastAsia="Calibri" w:hAnsi="Times New Roman" w:cs="Times New Roman"/>
          <w:sz w:val="24"/>
          <w:szCs w:val="24"/>
        </w:rPr>
        <w:t xml:space="preserve"> the dispute</w:t>
      </w:r>
      <w:r w:rsidR="004D7875" w:rsidRPr="00160AF0">
        <w:rPr>
          <w:rFonts w:ascii="Times New Roman" w:eastAsia="Calibri" w:hAnsi="Times New Roman" w:cs="Times New Roman"/>
          <w:sz w:val="24"/>
          <w:szCs w:val="24"/>
        </w:rPr>
        <w:t>. It redressed the unfair labour practice that had been perpetrated by the applicant against the respondents. The operational part of the judgment, showing the nature of the relief granted by the Labour Court, is cited above.</w:t>
      </w:r>
    </w:p>
    <w:p w14:paraId="7CF5782B" w14:textId="72EDA9BF" w:rsidR="001C68E9" w:rsidRPr="00160AF0" w:rsidRDefault="001C68E9"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 xml:space="preserve">Advocate </w:t>
      </w:r>
      <w:r w:rsidRPr="00160AF0">
        <w:rPr>
          <w:rFonts w:ascii="Times New Roman" w:eastAsia="Calibri" w:hAnsi="Times New Roman" w:cs="Times New Roman"/>
          <w:i/>
          <w:iCs/>
          <w:sz w:val="24"/>
          <w:szCs w:val="24"/>
        </w:rPr>
        <w:t>Zhuwarara</w:t>
      </w:r>
      <w:r w:rsidRPr="00160AF0">
        <w:rPr>
          <w:rFonts w:ascii="Times New Roman" w:eastAsia="Calibri" w:hAnsi="Times New Roman" w:cs="Times New Roman"/>
          <w:sz w:val="24"/>
          <w:szCs w:val="24"/>
        </w:rPr>
        <w:t>, for the applicant, contend</w:t>
      </w:r>
      <w:r w:rsidR="007F2D4C">
        <w:rPr>
          <w:rFonts w:ascii="Times New Roman" w:eastAsia="Calibri" w:hAnsi="Times New Roman" w:cs="Times New Roman"/>
          <w:sz w:val="24"/>
          <w:szCs w:val="24"/>
        </w:rPr>
        <w:t>s</w:t>
      </w:r>
      <w:r w:rsidRPr="00160AF0">
        <w:rPr>
          <w:rFonts w:ascii="Times New Roman" w:eastAsia="Calibri" w:hAnsi="Times New Roman" w:cs="Times New Roman"/>
          <w:sz w:val="24"/>
          <w:szCs w:val="24"/>
        </w:rPr>
        <w:t xml:space="preserve"> that that judgment disposed of the matter completely. What the applicant has brought before this court is the question of whether the payment the applicant made extinguishes its liability for the judgment debt. The applicant’s position, relying on SI 33/19, is that it indeed extinguished the debt fully. The applicant argues that a declaratory order to that effect </w:t>
      </w:r>
      <w:r w:rsidR="007122C7" w:rsidRPr="00160AF0">
        <w:rPr>
          <w:rFonts w:ascii="Times New Roman" w:eastAsia="Calibri" w:hAnsi="Times New Roman" w:cs="Times New Roman"/>
          <w:sz w:val="24"/>
          <w:szCs w:val="24"/>
        </w:rPr>
        <w:t>can be competently brought before this court.</w:t>
      </w:r>
    </w:p>
    <w:p w14:paraId="55DCB30B" w14:textId="5910F3BE" w:rsidR="00DC6A3D" w:rsidRPr="00160AF0" w:rsidRDefault="00A60E2B"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On the other hand, Advocate</w:t>
      </w:r>
      <w:r w:rsidRPr="00160AF0">
        <w:rPr>
          <w:rFonts w:ascii="Times New Roman" w:eastAsia="Calibri" w:hAnsi="Times New Roman" w:cs="Times New Roman"/>
          <w:i/>
          <w:iCs/>
          <w:sz w:val="24"/>
          <w:szCs w:val="24"/>
        </w:rPr>
        <w:t xml:space="preserve"> Mahere</w:t>
      </w:r>
      <w:r w:rsidRPr="00160AF0">
        <w:rPr>
          <w:rFonts w:ascii="Times New Roman" w:eastAsia="Calibri" w:hAnsi="Times New Roman" w:cs="Times New Roman"/>
          <w:sz w:val="24"/>
          <w:szCs w:val="24"/>
        </w:rPr>
        <w:t xml:space="preserve">, for the respondents, contends that there is some </w:t>
      </w:r>
      <w:r w:rsidR="00B63CEE" w:rsidRPr="00160AF0">
        <w:rPr>
          <w:rFonts w:ascii="Times New Roman" w:eastAsia="Calibri" w:hAnsi="Times New Roman" w:cs="Times New Roman"/>
          <w:sz w:val="24"/>
          <w:szCs w:val="24"/>
        </w:rPr>
        <w:t>unfinished</w:t>
      </w:r>
      <w:r w:rsidRPr="00160AF0">
        <w:rPr>
          <w:rFonts w:ascii="Times New Roman" w:eastAsia="Calibri" w:hAnsi="Times New Roman" w:cs="Times New Roman"/>
          <w:sz w:val="24"/>
          <w:szCs w:val="24"/>
        </w:rPr>
        <w:t xml:space="preserve"> business in the Labour Court. The judgment in question did not fully quantify the award due to the applicants.  The quantification refl</w:t>
      </w:r>
      <w:r w:rsidR="00DC6A3D" w:rsidRPr="00160AF0">
        <w:rPr>
          <w:rFonts w:ascii="Times New Roman" w:eastAsia="Calibri" w:hAnsi="Times New Roman" w:cs="Times New Roman"/>
          <w:sz w:val="24"/>
          <w:szCs w:val="24"/>
        </w:rPr>
        <w:t xml:space="preserve">ected in para(2) of the order does not capture all that was awarded in para (1). According to the respondents, para (1) provides a basis for further quantification. It provides a basis for another trip to the Labour Court. </w:t>
      </w:r>
    </w:p>
    <w:p w14:paraId="4143BCDB" w14:textId="197D7CF5" w:rsidR="00EA4E87" w:rsidRPr="00160AF0" w:rsidRDefault="00DC6A3D"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lastRenderedPageBreak/>
        <w:t xml:space="preserve">The respondents further indicate that when their </w:t>
      </w:r>
      <w:r w:rsidR="00B63CEE" w:rsidRPr="00160AF0">
        <w:rPr>
          <w:rFonts w:ascii="Times New Roman" w:eastAsia="Calibri" w:hAnsi="Times New Roman" w:cs="Times New Roman"/>
          <w:sz w:val="24"/>
          <w:szCs w:val="24"/>
        </w:rPr>
        <w:t>application for</w:t>
      </w:r>
      <w:r w:rsidRPr="00160AF0">
        <w:rPr>
          <w:rFonts w:ascii="Times New Roman" w:eastAsia="Calibri" w:hAnsi="Times New Roman" w:cs="Times New Roman"/>
          <w:sz w:val="24"/>
          <w:szCs w:val="24"/>
        </w:rPr>
        <w:t xml:space="preserve"> registration was struck off </w:t>
      </w:r>
      <w:r w:rsidR="00F8335A" w:rsidRPr="00160AF0">
        <w:rPr>
          <w:rFonts w:ascii="Times New Roman" w:eastAsia="Calibri" w:hAnsi="Times New Roman" w:cs="Times New Roman"/>
          <w:sz w:val="24"/>
          <w:szCs w:val="24"/>
        </w:rPr>
        <w:t xml:space="preserve">the roll </w:t>
      </w:r>
      <w:r w:rsidRPr="00160AF0">
        <w:rPr>
          <w:rFonts w:ascii="Times New Roman" w:eastAsia="Calibri" w:hAnsi="Times New Roman" w:cs="Times New Roman"/>
          <w:sz w:val="24"/>
          <w:szCs w:val="24"/>
        </w:rPr>
        <w:t xml:space="preserve">by </w:t>
      </w:r>
      <w:r w:rsidR="00E2008E" w:rsidRPr="00E2008E">
        <w:rPr>
          <w:rFonts w:ascii="Times New Roman" w:eastAsia="Calibri" w:hAnsi="Times New Roman" w:cs="Times New Roman"/>
          <w:smallCaps/>
          <w:sz w:val="24"/>
          <w:szCs w:val="24"/>
        </w:rPr>
        <w:t>deme</w:t>
      </w:r>
      <w:r w:rsidR="00E2008E" w:rsidRPr="00160AF0">
        <w:rPr>
          <w:rFonts w:ascii="Times New Roman" w:eastAsia="Calibri" w:hAnsi="Times New Roman" w:cs="Times New Roman"/>
          <w:sz w:val="24"/>
          <w:szCs w:val="24"/>
        </w:rPr>
        <w:t xml:space="preserve"> </w:t>
      </w:r>
      <w:r w:rsidR="00F8335A" w:rsidRPr="00160AF0">
        <w:rPr>
          <w:rFonts w:ascii="Times New Roman" w:eastAsia="Calibri" w:hAnsi="Times New Roman" w:cs="Times New Roman"/>
          <w:sz w:val="24"/>
          <w:szCs w:val="24"/>
        </w:rPr>
        <w:t xml:space="preserve">J, the judge gave directions to the effect that the respondents approach the Labour Court for quantification of their award. </w:t>
      </w:r>
      <w:r w:rsidR="00E2008E" w:rsidRPr="00E2008E">
        <w:rPr>
          <w:rFonts w:ascii="Times New Roman" w:eastAsia="Calibri" w:hAnsi="Times New Roman" w:cs="Times New Roman"/>
          <w:smallCaps/>
          <w:sz w:val="24"/>
          <w:szCs w:val="24"/>
        </w:rPr>
        <w:t>deme</w:t>
      </w:r>
      <w:r w:rsidR="00E2008E" w:rsidRPr="00160AF0">
        <w:rPr>
          <w:rFonts w:ascii="Times New Roman" w:eastAsia="Calibri" w:hAnsi="Times New Roman" w:cs="Times New Roman"/>
          <w:sz w:val="24"/>
          <w:szCs w:val="24"/>
        </w:rPr>
        <w:t xml:space="preserve"> </w:t>
      </w:r>
      <w:r w:rsidR="00F8335A" w:rsidRPr="00160AF0">
        <w:rPr>
          <w:rFonts w:ascii="Times New Roman" w:eastAsia="Calibri" w:hAnsi="Times New Roman" w:cs="Times New Roman"/>
          <w:sz w:val="24"/>
          <w:szCs w:val="24"/>
        </w:rPr>
        <w:t>J’s order, issued under Case No. HCH 7234/2</w:t>
      </w:r>
      <w:r w:rsidR="0065264B" w:rsidRPr="00160AF0">
        <w:rPr>
          <w:rFonts w:ascii="Times New Roman" w:eastAsia="Calibri" w:hAnsi="Times New Roman" w:cs="Times New Roman"/>
          <w:sz w:val="24"/>
          <w:szCs w:val="24"/>
        </w:rPr>
        <w:t xml:space="preserve">2 on 9 November 2023, simply struck the matter off the roll. </w:t>
      </w:r>
      <w:r w:rsidR="00E2008E">
        <w:rPr>
          <w:rFonts w:ascii="Times New Roman" w:eastAsia="Calibri" w:hAnsi="Times New Roman" w:cs="Times New Roman"/>
          <w:sz w:val="24"/>
          <w:szCs w:val="24"/>
        </w:rPr>
        <w:t xml:space="preserve"> </w:t>
      </w:r>
      <w:r w:rsidR="0065264B" w:rsidRPr="00160AF0">
        <w:rPr>
          <w:rFonts w:ascii="Times New Roman" w:eastAsia="Calibri" w:hAnsi="Times New Roman" w:cs="Times New Roman"/>
          <w:sz w:val="24"/>
          <w:szCs w:val="24"/>
        </w:rPr>
        <w:t xml:space="preserve">It contains no directions as to what the respondents (then applicants) should do. Advocate </w:t>
      </w:r>
      <w:r w:rsidR="0065264B" w:rsidRPr="00160AF0">
        <w:rPr>
          <w:rFonts w:ascii="Times New Roman" w:eastAsia="Calibri" w:hAnsi="Times New Roman" w:cs="Times New Roman"/>
          <w:i/>
          <w:iCs/>
          <w:sz w:val="24"/>
          <w:szCs w:val="24"/>
        </w:rPr>
        <w:t>Mahere</w:t>
      </w:r>
      <w:r w:rsidR="0065264B" w:rsidRPr="00160AF0">
        <w:rPr>
          <w:rFonts w:ascii="Times New Roman" w:eastAsia="Calibri" w:hAnsi="Times New Roman" w:cs="Times New Roman"/>
          <w:sz w:val="24"/>
          <w:szCs w:val="24"/>
        </w:rPr>
        <w:t xml:space="preserve"> explained that though the order, </w:t>
      </w:r>
      <w:r w:rsidR="0065264B" w:rsidRPr="00160AF0">
        <w:rPr>
          <w:rFonts w:ascii="Times New Roman" w:eastAsia="Calibri" w:hAnsi="Times New Roman" w:cs="Times New Roman"/>
          <w:i/>
          <w:iCs/>
          <w:sz w:val="24"/>
          <w:szCs w:val="24"/>
        </w:rPr>
        <w:t>ex facie</w:t>
      </w:r>
      <w:r w:rsidR="0065264B" w:rsidRPr="00160AF0">
        <w:rPr>
          <w:rFonts w:ascii="Times New Roman" w:eastAsia="Calibri" w:hAnsi="Times New Roman" w:cs="Times New Roman"/>
          <w:sz w:val="24"/>
          <w:szCs w:val="24"/>
        </w:rPr>
        <w:t>, contains no such directions, this is what the judge indicated during the hearing of the matter.</w:t>
      </w:r>
      <w:r w:rsidR="00FA0EF6" w:rsidRPr="00160AF0">
        <w:rPr>
          <w:rFonts w:ascii="Times New Roman" w:eastAsia="Calibri" w:hAnsi="Times New Roman" w:cs="Times New Roman"/>
          <w:sz w:val="24"/>
          <w:szCs w:val="24"/>
        </w:rPr>
        <w:t xml:space="preserve">  </w:t>
      </w:r>
      <w:r w:rsidR="00AE21C4" w:rsidRPr="00160AF0">
        <w:rPr>
          <w:rFonts w:ascii="Times New Roman" w:eastAsia="Calibri" w:hAnsi="Times New Roman" w:cs="Times New Roman"/>
          <w:sz w:val="24"/>
          <w:szCs w:val="24"/>
        </w:rPr>
        <w:t xml:space="preserve">This assertion requires evidence of the transcript of what transpired during that hearing. An order, unlike a full judgment, contains </w:t>
      </w:r>
      <w:r w:rsidR="00EA4E87" w:rsidRPr="00160AF0">
        <w:rPr>
          <w:rFonts w:ascii="Times New Roman" w:eastAsia="Calibri" w:hAnsi="Times New Roman" w:cs="Times New Roman"/>
          <w:sz w:val="24"/>
          <w:szCs w:val="24"/>
        </w:rPr>
        <w:t xml:space="preserve">no details of the arguments advanced and the court’s findings. </w:t>
      </w:r>
    </w:p>
    <w:p w14:paraId="18CAF6A8" w14:textId="05338BD1" w:rsidR="00F12294" w:rsidRPr="00160AF0" w:rsidRDefault="00EA4E87"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 xml:space="preserve">Be that as it may, what clearly emerges from counsel’s respective submissions is that there is an issue over the import of the Labour Court judgment. The question is whether it </w:t>
      </w:r>
      <w:r w:rsidR="002025B0" w:rsidRPr="00160AF0">
        <w:rPr>
          <w:rFonts w:ascii="Times New Roman" w:eastAsia="Calibri" w:hAnsi="Times New Roman" w:cs="Times New Roman"/>
          <w:sz w:val="24"/>
          <w:szCs w:val="24"/>
        </w:rPr>
        <w:t>exhaustively</w:t>
      </w:r>
      <w:r w:rsidRPr="00160AF0">
        <w:rPr>
          <w:rFonts w:ascii="Times New Roman" w:eastAsia="Calibri" w:hAnsi="Times New Roman" w:cs="Times New Roman"/>
          <w:sz w:val="24"/>
          <w:szCs w:val="24"/>
        </w:rPr>
        <w:t xml:space="preserve"> quantified the </w:t>
      </w:r>
      <w:r w:rsidR="002025B0" w:rsidRPr="00160AF0">
        <w:rPr>
          <w:rFonts w:ascii="Times New Roman" w:eastAsia="Calibri" w:hAnsi="Times New Roman" w:cs="Times New Roman"/>
          <w:sz w:val="24"/>
          <w:szCs w:val="24"/>
        </w:rPr>
        <w:t>applicant’s liability towards the respondents.</w:t>
      </w:r>
      <w:r w:rsidRPr="00160AF0">
        <w:rPr>
          <w:rFonts w:ascii="Times New Roman" w:eastAsia="Calibri" w:hAnsi="Times New Roman" w:cs="Times New Roman"/>
          <w:sz w:val="24"/>
          <w:szCs w:val="24"/>
        </w:rPr>
        <w:t xml:space="preserve"> </w:t>
      </w:r>
      <w:r w:rsidR="002025B0" w:rsidRPr="00160AF0">
        <w:rPr>
          <w:rFonts w:ascii="Times New Roman" w:eastAsia="Calibri" w:hAnsi="Times New Roman" w:cs="Times New Roman"/>
          <w:sz w:val="24"/>
          <w:szCs w:val="24"/>
        </w:rPr>
        <w:t>Counsel for the applicant avers that it did and counsel for the respondents avers that it did not.</w:t>
      </w:r>
    </w:p>
    <w:p w14:paraId="406CABC6" w14:textId="77777777" w:rsidR="005C27E8" w:rsidRPr="00160AF0" w:rsidRDefault="002025B0"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 xml:space="preserve">In my view, it is open to the respondents to approach the Labour Court </w:t>
      </w:r>
      <w:r w:rsidR="000A2696" w:rsidRPr="00160AF0">
        <w:rPr>
          <w:rFonts w:ascii="Times New Roman" w:eastAsia="Calibri" w:hAnsi="Times New Roman" w:cs="Times New Roman"/>
          <w:sz w:val="24"/>
          <w:szCs w:val="24"/>
        </w:rPr>
        <w:t xml:space="preserve">with an application </w:t>
      </w:r>
      <w:r w:rsidR="005F112B" w:rsidRPr="00160AF0">
        <w:rPr>
          <w:rFonts w:ascii="Times New Roman" w:eastAsia="Calibri" w:hAnsi="Times New Roman" w:cs="Times New Roman"/>
          <w:sz w:val="24"/>
          <w:szCs w:val="24"/>
        </w:rPr>
        <w:t>for quantification</w:t>
      </w:r>
      <w:r w:rsidR="000A2696" w:rsidRPr="00160AF0">
        <w:rPr>
          <w:rFonts w:ascii="Times New Roman" w:eastAsia="Calibri" w:hAnsi="Times New Roman" w:cs="Times New Roman"/>
          <w:sz w:val="24"/>
          <w:szCs w:val="24"/>
        </w:rPr>
        <w:t xml:space="preserve">, as a separate and distinct cause of action from that of liability. </w:t>
      </w:r>
      <w:r w:rsidR="005924D4" w:rsidRPr="00160AF0">
        <w:rPr>
          <w:rFonts w:ascii="Times New Roman" w:eastAsia="Calibri" w:hAnsi="Times New Roman" w:cs="Times New Roman"/>
          <w:sz w:val="24"/>
          <w:szCs w:val="24"/>
        </w:rPr>
        <w:t>It seems to me that such an application is likely to be met with conc</w:t>
      </w:r>
      <w:r w:rsidR="005C27E8" w:rsidRPr="00160AF0">
        <w:rPr>
          <w:rFonts w:ascii="Times New Roman" w:eastAsia="Calibri" w:hAnsi="Times New Roman" w:cs="Times New Roman"/>
          <w:sz w:val="24"/>
          <w:szCs w:val="24"/>
        </w:rPr>
        <w:t xml:space="preserve">eivable defences such as </w:t>
      </w:r>
      <w:r w:rsidR="005C27E8" w:rsidRPr="00160AF0">
        <w:rPr>
          <w:rFonts w:ascii="Times New Roman" w:eastAsia="Calibri" w:hAnsi="Times New Roman" w:cs="Times New Roman"/>
          <w:i/>
          <w:iCs/>
          <w:sz w:val="24"/>
          <w:szCs w:val="24"/>
        </w:rPr>
        <w:t>res judicata</w:t>
      </w:r>
      <w:r w:rsidR="005C27E8" w:rsidRPr="00160AF0">
        <w:rPr>
          <w:rFonts w:ascii="Times New Roman" w:eastAsia="Calibri" w:hAnsi="Times New Roman" w:cs="Times New Roman"/>
          <w:sz w:val="24"/>
          <w:szCs w:val="24"/>
        </w:rPr>
        <w:t xml:space="preserve"> or </w:t>
      </w:r>
      <w:r w:rsidR="005C27E8" w:rsidRPr="00160AF0">
        <w:rPr>
          <w:rFonts w:ascii="Times New Roman" w:eastAsia="Calibri" w:hAnsi="Times New Roman" w:cs="Times New Roman"/>
          <w:i/>
          <w:iCs/>
          <w:sz w:val="24"/>
          <w:szCs w:val="24"/>
        </w:rPr>
        <w:t>functus officio</w:t>
      </w:r>
      <w:r w:rsidR="005C27E8" w:rsidRPr="00160AF0">
        <w:rPr>
          <w:rFonts w:ascii="Times New Roman" w:eastAsia="Calibri" w:hAnsi="Times New Roman" w:cs="Times New Roman"/>
          <w:sz w:val="24"/>
          <w:szCs w:val="24"/>
        </w:rPr>
        <w:t xml:space="preserve">. </w:t>
      </w:r>
      <w:r w:rsidR="005924D4" w:rsidRPr="00160AF0">
        <w:rPr>
          <w:rFonts w:ascii="Times New Roman" w:eastAsia="Calibri" w:hAnsi="Times New Roman" w:cs="Times New Roman"/>
          <w:sz w:val="24"/>
          <w:szCs w:val="24"/>
        </w:rPr>
        <w:t xml:space="preserve">It is </w:t>
      </w:r>
      <w:r w:rsidR="005C27E8" w:rsidRPr="00160AF0">
        <w:rPr>
          <w:rFonts w:ascii="Times New Roman" w:eastAsia="Calibri" w:hAnsi="Times New Roman" w:cs="Times New Roman"/>
          <w:sz w:val="24"/>
          <w:szCs w:val="24"/>
        </w:rPr>
        <w:t xml:space="preserve">however </w:t>
      </w:r>
      <w:r w:rsidR="005924D4" w:rsidRPr="00160AF0">
        <w:rPr>
          <w:rFonts w:ascii="Times New Roman" w:eastAsia="Calibri" w:hAnsi="Times New Roman" w:cs="Times New Roman"/>
          <w:sz w:val="24"/>
          <w:szCs w:val="24"/>
        </w:rPr>
        <w:t>within the respondents’ rights to institute that application. Whether</w:t>
      </w:r>
      <w:r w:rsidR="000A2696" w:rsidRPr="00160AF0">
        <w:rPr>
          <w:rFonts w:ascii="Times New Roman" w:eastAsia="Calibri" w:hAnsi="Times New Roman" w:cs="Times New Roman"/>
          <w:sz w:val="24"/>
          <w:szCs w:val="24"/>
        </w:rPr>
        <w:t xml:space="preserve"> th</w:t>
      </w:r>
      <w:r w:rsidR="005924D4" w:rsidRPr="00160AF0">
        <w:rPr>
          <w:rFonts w:ascii="Times New Roman" w:eastAsia="Calibri" w:hAnsi="Times New Roman" w:cs="Times New Roman"/>
          <w:sz w:val="24"/>
          <w:szCs w:val="24"/>
        </w:rPr>
        <w:t>e</w:t>
      </w:r>
      <w:r w:rsidR="000A2696" w:rsidRPr="00160AF0">
        <w:rPr>
          <w:rFonts w:ascii="Times New Roman" w:eastAsia="Calibri" w:hAnsi="Times New Roman" w:cs="Times New Roman"/>
          <w:sz w:val="24"/>
          <w:szCs w:val="24"/>
        </w:rPr>
        <w:t xml:space="preserve"> application has merit is another matter. It is up to the </w:t>
      </w:r>
      <w:r w:rsidR="005924D4" w:rsidRPr="00160AF0">
        <w:rPr>
          <w:rFonts w:ascii="Times New Roman" w:eastAsia="Calibri" w:hAnsi="Times New Roman" w:cs="Times New Roman"/>
          <w:sz w:val="24"/>
          <w:szCs w:val="24"/>
        </w:rPr>
        <w:t xml:space="preserve">court that will </w:t>
      </w:r>
      <w:r w:rsidR="005C27E8" w:rsidRPr="00160AF0">
        <w:rPr>
          <w:rFonts w:ascii="Times New Roman" w:eastAsia="Calibri" w:hAnsi="Times New Roman" w:cs="Times New Roman"/>
          <w:sz w:val="24"/>
          <w:szCs w:val="24"/>
        </w:rPr>
        <w:t>be seized</w:t>
      </w:r>
      <w:r w:rsidR="000A2696" w:rsidRPr="00160AF0">
        <w:rPr>
          <w:rFonts w:ascii="Times New Roman" w:eastAsia="Calibri" w:hAnsi="Times New Roman" w:cs="Times New Roman"/>
          <w:sz w:val="24"/>
          <w:szCs w:val="24"/>
        </w:rPr>
        <w:t xml:space="preserve"> with </w:t>
      </w:r>
      <w:r w:rsidR="005C27E8" w:rsidRPr="00160AF0">
        <w:rPr>
          <w:rFonts w:ascii="Times New Roman" w:eastAsia="Calibri" w:hAnsi="Times New Roman" w:cs="Times New Roman"/>
          <w:sz w:val="24"/>
          <w:szCs w:val="24"/>
        </w:rPr>
        <w:t xml:space="preserve">it </w:t>
      </w:r>
      <w:r w:rsidR="000A2696" w:rsidRPr="00160AF0">
        <w:rPr>
          <w:rFonts w:ascii="Times New Roman" w:eastAsia="Calibri" w:hAnsi="Times New Roman" w:cs="Times New Roman"/>
          <w:sz w:val="24"/>
          <w:szCs w:val="24"/>
        </w:rPr>
        <w:t>to determine</w:t>
      </w:r>
      <w:r w:rsidR="005924D4" w:rsidRPr="00160AF0">
        <w:rPr>
          <w:rFonts w:ascii="Times New Roman" w:eastAsia="Calibri" w:hAnsi="Times New Roman" w:cs="Times New Roman"/>
          <w:sz w:val="24"/>
          <w:szCs w:val="24"/>
        </w:rPr>
        <w:t xml:space="preserve"> the merits or demerits thereof</w:t>
      </w:r>
      <w:r w:rsidR="000A2696" w:rsidRPr="00160AF0">
        <w:rPr>
          <w:rFonts w:ascii="Times New Roman" w:eastAsia="Calibri" w:hAnsi="Times New Roman" w:cs="Times New Roman"/>
          <w:sz w:val="24"/>
          <w:szCs w:val="24"/>
        </w:rPr>
        <w:t xml:space="preserve">. </w:t>
      </w:r>
    </w:p>
    <w:p w14:paraId="67687FAA" w14:textId="7E8E044B" w:rsidR="00965E33" w:rsidRPr="00160AF0" w:rsidRDefault="00965E33"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 xml:space="preserve">If the parties were in agreement that the Labour Court had fully disposed of the issues of both liability and quantification, and what remains is enforcement of the judgment, then there would be no need to revert to that Court. </w:t>
      </w:r>
      <w:r w:rsidR="00D86772" w:rsidRPr="00160AF0">
        <w:rPr>
          <w:rFonts w:ascii="Times New Roman" w:eastAsia="Calibri" w:hAnsi="Times New Roman" w:cs="Times New Roman"/>
          <w:sz w:val="24"/>
          <w:szCs w:val="24"/>
        </w:rPr>
        <w:t xml:space="preserve">Any issues to do with </w:t>
      </w:r>
      <w:r w:rsidR="00F734A8" w:rsidRPr="00160AF0">
        <w:rPr>
          <w:rFonts w:ascii="Times New Roman" w:eastAsia="Calibri" w:hAnsi="Times New Roman" w:cs="Times New Roman"/>
          <w:sz w:val="24"/>
          <w:szCs w:val="24"/>
        </w:rPr>
        <w:t>the e</w:t>
      </w:r>
      <w:r w:rsidR="00D86772" w:rsidRPr="00160AF0">
        <w:rPr>
          <w:rFonts w:ascii="Times New Roman" w:eastAsia="Calibri" w:hAnsi="Times New Roman" w:cs="Times New Roman"/>
          <w:sz w:val="24"/>
          <w:szCs w:val="24"/>
        </w:rPr>
        <w:t>nforcement of the judgment</w:t>
      </w:r>
      <w:r w:rsidR="00F734A8" w:rsidRPr="00160AF0">
        <w:rPr>
          <w:rFonts w:ascii="Times New Roman" w:eastAsia="Calibri" w:hAnsi="Times New Roman" w:cs="Times New Roman"/>
          <w:sz w:val="24"/>
          <w:szCs w:val="24"/>
        </w:rPr>
        <w:t>,</w:t>
      </w:r>
      <w:r w:rsidR="00D86772" w:rsidRPr="00160AF0">
        <w:rPr>
          <w:rFonts w:ascii="Times New Roman" w:eastAsia="Calibri" w:hAnsi="Times New Roman" w:cs="Times New Roman"/>
          <w:sz w:val="24"/>
          <w:szCs w:val="24"/>
        </w:rPr>
        <w:t xml:space="preserve"> </w:t>
      </w:r>
      <w:r w:rsidR="007368B7" w:rsidRPr="00160AF0">
        <w:rPr>
          <w:rFonts w:ascii="Times New Roman" w:eastAsia="Calibri" w:hAnsi="Times New Roman" w:cs="Times New Roman"/>
          <w:sz w:val="24"/>
          <w:szCs w:val="24"/>
        </w:rPr>
        <w:t>after it is handed down by the Labour Court,</w:t>
      </w:r>
      <w:r w:rsidR="00F734A8" w:rsidRPr="00160AF0">
        <w:rPr>
          <w:rFonts w:ascii="Times New Roman" w:eastAsia="Calibri" w:hAnsi="Times New Roman" w:cs="Times New Roman"/>
          <w:sz w:val="24"/>
          <w:szCs w:val="24"/>
        </w:rPr>
        <w:t xml:space="preserve"> </w:t>
      </w:r>
      <w:r w:rsidR="004A26CE" w:rsidRPr="00160AF0">
        <w:rPr>
          <w:rFonts w:ascii="Times New Roman" w:eastAsia="Calibri" w:hAnsi="Times New Roman" w:cs="Times New Roman"/>
          <w:sz w:val="24"/>
          <w:szCs w:val="24"/>
        </w:rPr>
        <w:t xml:space="preserve">would </w:t>
      </w:r>
      <w:r w:rsidR="00F734A8" w:rsidRPr="00160AF0">
        <w:rPr>
          <w:rFonts w:ascii="Times New Roman" w:eastAsia="Calibri" w:hAnsi="Times New Roman" w:cs="Times New Roman"/>
          <w:sz w:val="24"/>
          <w:szCs w:val="24"/>
        </w:rPr>
        <w:t>fall under the jurisdiction of</w:t>
      </w:r>
      <w:r w:rsidR="007368B7" w:rsidRPr="00160AF0">
        <w:rPr>
          <w:rFonts w:ascii="Times New Roman" w:eastAsia="Calibri" w:hAnsi="Times New Roman" w:cs="Times New Roman"/>
          <w:sz w:val="24"/>
          <w:szCs w:val="24"/>
        </w:rPr>
        <w:t xml:space="preserve"> this court.</w:t>
      </w:r>
      <w:r w:rsidR="00F734A8" w:rsidRPr="00160AF0">
        <w:rPr>
          <w:rFonts w:ascii="Times New Roman" w:eastAsia="Calibri" w:hAnsi="Times New Roman" w:cs="Times New Roman"/>
          <w:sz w:val="24"/>
          <w:szCs w:val="24"/>
        </w:rPr>
        <w:t xml:space="preserve"> It is a separate and distinct stage of the proceedings. This, in my opinion, would of necessity include the question of the applicability or otherwise of SI 33/19.</w:t>
      </w:r>
    </w:p>
    <w:p w14:paraId="56281DF6" w14:textId="10B6E798" w:rsidR="006A407A" w:rsidRPr="00160AF0" w:rsidRDefault="00B24D59" w:rsidP="00E2008E">
      <w:pPr>
        <w:spacing w:after="0" w:line="360" w:lineRule="auto"/>
        <w:ind w:firstLine="720"/>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However, h</w:t>
      </w:r>
      <w:r w:rsidR="006A407A" w:rsidRPr="00160AF0">
        <w:rPr>
          <w:rFonts w:ascii="Times New Roman" w:eastAsia="Calibri" w:hAnsi="Times New Roman" w:cs="Times New Roman"/>
          <w:sz w:val="24"/>
          <w:szCs w:val="24"/>
        </w:rPr>
        <w:t>aving regard to the contention that quantification is still a live issue, it is only appropriate to defer to the court with the requisite jurisdiction to determine that issue.</w:t>
      </w:r>
    </w:p>
    <w:p w14:paraId="3E2D3D6D" w14:textId="1DCDE392" w:rsidR="004A26CE" w:rsidRPr="00160AF0" w:rsidRDefault="005C27E8" w:rsidP="00160AF0">
      <w:pPr>
        <w:spacing w:after="0" w:line="360" w:lineRule="auto"/>
        <w:jc w:val="both"/>
        <w:rPr>
          <w:rFonts w:ascii="Times New Roman" w:eastAsia="Calibri" w:hAnsi="Times New Roman" w:cs="Times New Roman"/>
          <w:sz w:val="24"/>
          <w:szCs w:val="24"/>
        </w:rPr>
      </w:pPr>
      <w:r w:rsidRPr="00160AF0">
        <w:rPr>
          <w:rFonts w:ascii="Times New Roman" w:eastAsia="Calibri" w:hAnsi="Times New Roman" w:cs="Times New Roman"/>
          <w:sz w:val="24"/>
          <w:szCs w:val="24"/>
        </w:rPr>
        <w:t xml:space="preserve">In the circumstances, </w:t>
      </w:r>
      <w:r w:rsidR="00B24D59" w:rsidRPr="00160AF0">
        <w:rPr>
          <w:rFonts w:ascii="Times New Roman" w:eastAsia="Calibri" w:hAnsi="Times New Roman" w:cs="Times New Roman"/>
          <w:sz w:val="24"/>
          <w:szCs w:val="24"/>
        </w:rPr>
        <w:t xml:space="preserve">the respondents’ point </w:t>
      </w:r>
      <w:r w:rsidR="00B24D59" w:rsidRPr="00160AF0">
        <w:rPr>
          <w:rFonts w:ascii="Times New Roman" w:eastAsia="Calibri" w:hAnsi="Times New Roman" w:cs="Times New Roman"/>
          <w:i/>
          <w:iCs/>
          <w:sz w:val="24"/>
          <w:szCs w:val="24"/>
        </w:rPr>
        <w:t>in limine</w:t>
      </w:r>
      <w:r w:rsidR="00B24D59" w:rsidRPr="00160AF0">
        <w:rPr>
          <w:rFonts w:ascii="Times New Roman" w:eastAsia="Calibri" w:hAnsi="Times New Roman" w:cs="Times New Roman"/>
          <w:sz w:val="24"/>
          <w:szCs w:val="24"/>
        </w:rPr>
        <w:t xml:space="preserve"> relating to jurisdiction is upheld. The proper course of action to take is to order that this matter be struck off the roll, with each party bearing their own costs.</w:t>
      </w:r>
    </w:p>
    <w:p w14:paraId="01235630" w14:textId="7ABF73E4" w:rsidR="004A26CE" w:rsidRPr="00160AF0" w:rsidRDefault="00B24D59" w:rsidP="00160AF0">
      <w:pPr>
        <w:spacing w:after="0" w:line="360" w:lineRule="auto"/>
        <w:jc w:val="both"/>
        <w:rPr>
          <w:rFonts w:ascii="Times New Roman" w:eastAsia="Calibri" w:hAnsi="Times New Roman" w:cs="Times New Roman"/>
          <w:b/>
          <w:bCs/>
          <w:sz w:val="24"/>
          <w:szCs w:val="24"/>
        </w:rPr>
      </w:pPr>
      <w:r w:rsidRPr="00160AF0">
        <w:rPr>
          <w:rFonts w:ascii="Times New Roman" w:eastAsia="Calibri" w:hAnsi="Times New Roman" w:cs="Times New Roman"/>
          <w:b/>
          <w:bCs/>
          <w:sz w:val="24"/>
          <w:szCs w:val="24"/>
        </w:rPr>
        <w:t>In the result, it is ordered that:</w:t>
      </w:r>
    </w:p>
    <w:p w14:paraId="372BC7A7" w14:textId="50C84ADB" w:rsidR="00B24D59" w:rsidRDefault="00B24D59" w:rsidP="00160AF0">
      <w:pPr>
        <w:pStyle w:val="ListParagraph"/>
        <w:numPr>
          <w:ilvl w:val="0"/>
          <w:numId w:val="2"/>
        </w:numPr>
        <w:spacing w:after="0" w:line="360" w:lineRule="auto"/>
        <w:jc w:val="both"/>
        <w:rPr>
          <w:rFonts w:ascii="Times New Roman" w:hAnsi="Times New Roman" w:cs="Times New Roman"/>
          <w:sz w:val="24"/>
          <w:szCs w:val="24"/>
        </w:rPr>
      </w:pPr>
      <w:r w:rsidRPr="00160AF0">
        <w:rPr>
          <w:rFonts w:ascii="Times New Roman" w:hAnsi="Times New Roman" w:cs="Times New Roman"/>
          <w:sz w:val="24"/>
          <w:szCs w:val="24"/>
        </w:rPr>
        <w:t xml:space="preserve">The application be and is hereby struck off the roll. </w:t>
      </w:r>
    </w:p>
    <w:p w14:paraId="60F8C8BA" w14:textId="77777777" w:rsidR="002336C5" w:rsidRPr="00160AF0" w:rsidRDefault="002336C5" w:rsidP="002336C5">
      <w:pPr>
        <w:pStyle w:val="ListParagraph"/>
        <w:spacing w:after="0" w:line="360" w:lineRule="auto"/>
        <w:jc w:val="both"/>
        <w:rPr>
          <w:rFonts w:ascii="Times New Roman" w:hAnsi="Times New Roman" w:cs="Times New Roman"/>
          <w:sz w:val="24"/>
          <w:szCs w:val="24"/>
        </w:rPr>
      </w:pPr>
    </w:p>
    <w:p w14:paraId="69170A7F" w14:textId="5C6DFCB6" w:rsidR="00623843" w:rsidRPr="00160AF0" w:rsidRDefault="00623843" w:rsidP="00160AF0">
      <w:pPr>
        <w:pStyle w:val="ListParagraph"/>
        <w:numPr>
          <w:ilvl w:val="0"/>
          <w:numId w:val="2"/>
        </w:numPr>
        <w:spacing w:after="0" w:line="360" w:lineRule="auto"/>
        <w:jc w:val="both"/>
        <w:rPr>
          <w:rFonts w:ascii="Times New Roman" w:hAnsi="Times New Roman" w:cs="Times New Roman"/>
          <w:i/>
          <w:iCs/>
          <w:sz w:val="24"/>
          <w:szCs w:val="24"/>
        </w:rPr>
      </w:pPr>
      <w:r w:rsidRPr="00160AF0">
        <w:rPr>
          <w:rFonts w:ascii="Times New Roman" w:hAnsi="Times New Roman" w:cs="Times New Roman"/>
          <w:sz w:val="24"/>
          <w:szCs w:val="24"/>
        </w:rPr>
        <w:lastRenderedPageBreak/>
        <w:t>Each party bears its own costs.</w:t>
      </w:r>
    </w:p>
    <w:p w14:paraId="6D7D473C" w14:textId="77777777" w:rsidR="001B129B" w:rsidRPr="00160AF0" w:rsidRDefault="001B129B" w:rsidP="00160AF0">
      <w:pPr>
        <w:spacing w:after="0" w:line="360" w:lineRule="auto"/>
        <w:jc w:val="both"/>
        <w:rPr>
          <w:rFonts w:ascii="Times New Roman" w:hAnsi="Times New Roman" w:cs="Times New Roman"/>
          <w:i/>
          <w:iCs/>
          <w:sz w:val="24"/>
          <w:szCs w:val="24"/>
        </w:rPr>
      </w:pPr>
    </w:p>
    <w:p w14:paraId="59909263" w14:textId="4FC16F0C" w:rsidR="001B129B" w:rsidRPr="00160AF0" w:rsidRDefault="007A3C1C" w:rsidP="00160AF0">
      <w:pPr>
        <w:spacing w:after="0" w:line="360" w:lineRule="auto"/>
        <w:jc w:val="both"/>
        <w:rPr>
          <w:rFonts w:ascii="Times New Roman" w:hAnsi="Times New Roman" w:cs="Times New Roman"/>
          <w:b/>
          <w:bCs/>
          <w:sz w:val="24"/>
          <w:szCs w:val="24"/>
        </w:rPr>
      </w:pPr>
      <w:r>
        <w:rPr>
          <w:rFonts w:ascii="Times New Roman" w:hAnsi="Times New Roman" w:cs="Times New Roman"/>
          <w:b/>
          <w:bCs/>
          <w:smallCaps/>
          <w:sz w:val="24"/>
          <w:szCs w:val="24"/>
        </w:rPr>
        <w:t>Manyangadze</w:t>
      </w:r>
      <w:r w:rsidR="00160AF0" w:rsidRPr="00160AF0">
        <w:rPr>
          <w:rFonts w:ascii="Times New Roman" w:hAnsi="Times New Roman" w:cs="Times New Roman"/>
          <w:b/>
          <w:bCs/>
          <w:sz w:val="24"/>
          <w:szCs w:val="24"/>
        </w:rPr>
        <w:t xml:space="preserve"> J:………………………………</w:t>
      </w:r>
    </w:p>
    <w:p w14:paraId="109176B2" w14:textId="77777777" w:rsidR="001B129B" w:rsidRPr="00160AF0" w:rsidRDefault="001B129B" w:rsidP="00160AF0">
      <w:pPr>
        <w:spacing w:after="0" w:line="360" w:lineRule="auto"/>
        <w:jc w:val="both"/>
        <w:rPr>
          <w:rFonts w:ascii="Times New Roman" w:hAnsi="Times New Roman" w:cs="Times New Roman"/>
          <w:i/>
          <w:iCs/>
          <w:sz w:val="24"/>
          <w:szCs w:val="24"/>
        </w:rPr>
      </w:pPr>
    </w:p>
    <w:p w14:paraId="41893606" w14:textId="60FC67E2" w:rsidR="001B129B" w:rsidRPr="00160AF0" w:rsidRDefault="001B129B" w:rsidP="00160AF0">
      <w:pPr>
        <w:spacing w:after="0" w:line="240" w:lineRule="auto"/>
        <w:jc w:val="both"/>
        <w:rPr>
          <w:rFonts w:ascii="Times New Roman" w:hAnsi="Times New Roman" w:cs="Times New Roman"/>
          <w:sz w:val="24"/>
          <w:szCs w:val="24"/>
        </w:rPr>
      </w:pPr>
      <w:r w:rsidRPr="00160AF0">
        <w:rPr>
          <w:rFonts w:ascii="Times New Roman" w:hAnsi="Times New Roman" w:cs="Times New Roman"/>
          <w:i/>
          <w:iCs/>
          <w:sz w:val="24"/>
          <w:szCs w:val="24"/>
        </w:rPr>
        <w:t>Scanlen &amp; Holderness</w:t>
      </w:r>
      <w:r w:rsidRPr="00160AF0">
        <w:rPr>
          <w:rFonts w:ascii="Times New Roman" w:hAnsi="Times New Roman" w:cs="Times New Roman"/>
          <w:sz w:val="24"/>
          <w:szCs w:val="24"/>
        </w:rPr>
        <w:t>, applicant’s legal practitioners</w:t>
      </w:r>
    </w:p>
    <w:p w14:paraId="43DE4E74" w14:textId="0E12C4F9" w:rsidR="001B129B" w:rsidRPr="00160AF0" w:rsidRDefault="001B129B" w:rsidP="00160AF0">
      <w:pPr>
        <w:spacing w:after="0" w:line="240" w:lineRule="auto"/>
        <w:jc w:val="both"/>
        <w:rPr>
          <w:rFonts w:ascii="Times New Roman" w:hAnsi="Times New Roman" w:cs="Times New Roman"/>
          <w:sz w:val="24"/>
          <w:szCs w:val="24"/>
        </w:rPr>
      </w:pPr>
      <w:r w:rsidRPr="00160AF0">
        <w:rPr>
          <w:rFonts w:ascii="Times New Roman" w:hAnsi="Times New Roman" w:cs="Times New Roman"/>
          <w:i/>
          <w:iCs/>
          <w:sz w:val="24"/>
          <w:szCs w:val="24"/>
        </w:rPr>
        <w:t>Chinawa Law Chambers</w:t>
      </w:r>
      <w:r w:rsidRPr="00160AF0">
        <w:rPr>
          <w:rFonts w:ascii="Times New Roman" w:hAnsi="Times New Roman" w:cs="Times New Roman"/>
          <w:sz w:val="24"/>
          <w:szCs w:val="24"/>
        </w:rPr>
        <w:t xml:space="preserve">, </w:t>
      </w:r>
      <w:r w:rsidR="00160AF0">
        <w:rPr>
          <w:rFonts w:ascii="Times New Roman" w:hAnsi="Times New Roman" w:cs="Times New Roman"/>
          <w:sz w:val="24"/>
          <w:szCs w:val="24"/>
        </w:rPr>
        <w:t xml:space="preserve">first </w:t>
      </w:r>
      <w:r w:rsidRPr="00160AF0">
        <w:rPr>
          <w:rFonts w:ascii="Times New Roman" w:hAnsi="Times New Roman" w:cs="Times New Roman"/>
          <w:sz w:val="24"/>
          <w:szCs w:val="24"/>
        </w:rPr>
        <w:t>-</w:t>
      </w:r>
      <w:r w:rsidR="00160AF0">
        <w:rPr>
          <w:rFonts w:ascii="Times New Roman" w:hAnsi="Times New Roman" w:cs="Times New Roman"/>
          <w:sz w:val="24"/>
          <w:szCs w:val="24"/>
        </w:rPr>
        <w:t>tenth</w:t>
      </w:r>
      <w:r w:rsidRPr="00160AF0">
        <w:rPr>
          <w:rFonts w:ascii="Times New Roman" w:hAnsi="Times New Roman" w:cs="Times New Roman"/>
          <w:sz w:val="24"/>
          <w:szCs w:val="24"/>
        </w:rPr>
        <w:t xml:space="preserve"> respondents’ legal practitioners</w:t>
      </w:r>
      <w:bookmarkStart w:id="0" w:name="_GoBack"/>
      <w:bookmarkEnd w:id="0"/>
    </w:p>
    <w:sectPr w:rsidR="001B129B" w:rsidRPr="00160A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1DE4" w14:textId="77777777" w:rsidR="00A36FBC" w:rsidRDefault="00A36FBC" w:rsidP="00160AF0">
      <w:pPr>
        <w:spacing w:after="0" w:line="240" w:lineRule="auto"/>
      </w:pPr>
      <w:r>
        <w:separator/>
      </w:r>
    </w:p>
  </w:endnote>
  <w:endnote w:type="continuationSeparator" w:id="0">
    <w:p w14:paraId="21A44213" w14:textId="77777777" w:rsidR="00A36FBC" w:rsidRDefault="00A36FBC" w:rsidP="0016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5B1AC" w14:textId="77777777" w:rsidR="00A36FBC" w:rsidRDefault="00A36FBC" w:rsidP="00160AF0">
      <w:pPr>
        <w:spacing w:after="0" w:line="240" w:lineRule="auto"/>
      </w:pPr>
      <w:r>
        <w:separator/>
      </w:r>
    </w:p>
  </w:footnote>
  <w:footnote w:type="continuationSeparator" w:id="0">
    <w:p w14:paraId="099D6A59" w14:textId="77777777" w:rsidR="00A36FBC" w:rsidRDefault="00A36FBC" w:rsidP="0016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71914"/>
      <w:docPartObj>
        <w:docPartGallery w:val="Page Numbers (Top of Page)"/>
        <w:docPartUnique/>
      </w:docPartObj>
    </w:sdtPr>
    <w:sdtEndPr>
      <w:rPr>
        <w:noProof/>
      </w:rPr>
    </w:sdtEndPr>
    <w:sdtContent>
      <w:p w14:paraId="5777410C" w14:textId="6EF71FB4" w:rsidR="00160AF0" w:rsidRDefault="00160AF0">
        <w:pPr>
          <w:pStyle w:val="Header"/>
          <w:jc w:val="right"/>
          <w:rPr>
            <w:noProof/>
          </w:rPr>
        </w:pPr>
        <w:r>
          <w:fldChar w:fldCharType="begin"/>
        </w:r>
        <w:r>
          <w:instrText xml:space="preserve"> PAGE   \* MERGEFORMAT </w:instrText>
        </w:r>
        <w:r>
          <w:fldChar w:fldCharType="separate"/>
        </w:r>
        <w:r w:rsidR="000B45C8">
          <w:rPr>
            <w:noProof/>
          </w:rPr>
          <w:t>6</w:t>
        </w:r>
        <w:r>
          <w:rPr>
            <w:noProof/>
          </w:rPr>
          <w:fldChar w:fldCharType="end"/>
        </w:r>
      </w:p>
      <w:p w14:paraId="48790735" w14:textId="2D1A786F" w:rsidR="00160AF0" w:rsidRDefault="00160AF0">
        <w:pPr>
          <w:pStyle w:val="Header"/>
          <w:jc w:val="right"/>
          <w:rPr>
            <w:noProof/>
          </w:rPr>
        </w:pPr>
        <w:r>
          <w:rPr>
            <w:noProof/>
          </w:rPr>
          <w:t>HH</w:t>
        </w:r>
        <w:r w:rsidR="00AF1760">
          <w:rPr>
            <w:noProof/>
          </w:rPr>
          <w:t xml:space="preserve"> 189-25</w:t>
        </w:r>
      </w:p>
      <w:p w14:paraId="1E6CF543" w14:textId="6B2422C3" w:rsidR="00160AF0" w:rsidRDefault="00160AF0">
        <w:pPr>
          <w:pStyle w:val="Header"/>
          <w:jc w:val="right"/>
        </w:pPr>
        <w:r>
          <w:rPr>
            <w:noProof/>
          </w:rPr>
          <w:t>HCH 92/24</w:t>
        </w:r>
      </w:p>
    </w:sdtContent>
  </w:sdt>
  <w:p w14:paraId="6ED676FB" w14:textId="77777777" w:rsidR="00160AF0" w:rsidRDefault="00160A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E5A"/>
    <w:multiLevelType w:val="hybridMultilevel"/>
    <w:tmpl w:val="AE1CE0E6"/>
    <w:lvl w:ilvl="0" w:tplc="D6B20664">
      <w:start w:val="1"/>
      <w:numFmt w:val="decimal"/>
      <w:lvlText w:val="%1."/>
      <w:lvlJc w:val="left"/>
      <w:pPr>
        <w:ind w:left="720" w:hanging="360"/>
      </w:pPr>
      <w:rPr>
        <w:rFonts w:ascii="Times New Roman" w:eastAsia="Calibri"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343304C"/>
    <w:multiLevelType w:val="hybridMultilevel"/>
    <w:tmpl w:val="6F6AA9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1B"/>
    <w:rsid w:val="00030E67"/>
    <w:rsid w:val="0003150C"/>
    <w:rsid w:val="00055ABD"/>
    <w:rsid w:val="00081CB1"/>
    <w:rsid w:val="00083E94"/>
    <w:rsid w:val="00086DE0"/>
    <w:rsid w:val="000A2696"/>
    <w:rsid w:val="000B45C8"/>
    <w:rsid w:val="000C1713"/>
    <w:rsid w:val="000D41E3"/>
    <w:rsid w:val="00126A43"/>
    <w:rsid w:val="001532A1"/>
    <w:rsid w:val="00160AF0"/>
    <w:rsid w:val="00166148"/>
    <w:rsid w:val="00174184"/>
    <w:rsid w:val="001B129B"/>
    <w:rsid w:val="001C68E9"/>
    <w:rsid w:val="002025B0"/>
    <w:rsid w:val="002336C5"/>
    <w:rsid w:val="002844DC"/>
    <w:rsid w:val="002B5E93"/>
    <w:rsid w:val="002F4EC8"/>
    <w:rsid w:val="00321A29"/>
    <w:rsid w:val="0034265D"/>
    <w:rsid w:val="00384730"/>
    <w:rsid w:val="003865A7"/>
    <w:rsid w:val="003A67F9"/>
    <w:rsid w:val="003C5E70"/>
    <w:rsid w:val="00406FAE"/>
    <w:rsid w:val="004A26CE"/>
    <w:rsid w:val="004A5256"/>
    <w:rsid w:val="004A6AC9"/>
    <w:rsid w:val="004D7875"/>
    <w:rsid w:val="004E057E"/>
    <w:rsid w:val="00503FB2"/>
    <w:rsid w:val="005053BE"/>
    <w:rsid w:val="0052507B"/>
    <w:rsid w:val="00561E13"/>
    <w:rsid w:val="005924D4"/>
    <w:rsid w:val="005A0596"/>
    <w:rsid w:val="005A30E4"/>
    <w:rsid w:val="005C27E8"/>
    <w:rsid w:val="005F112B"/>
    <w:rsid w:val="00623843"/>
    <w:rsid w:val="0065264B"/>
    <w:rsid w:val="006A407A"/>
    <w:rsid w:val="007009CF"/>
    <w:rsid w:val="007122C7"/>
    <w:rsid w:val="007368B7"/>
    <w:rsid w:val="00774ADD"/>
    <w:rsid w:val="007A3C1C"/>
    <w:rsid w:val="007B1306"/>
    <w:rsid w:val="007B30D8"/>
    <w:rsid w:val="007C1C3A"/>
    <w:rsid w:val="007E566E"/>
    <w:rsid w:val="007F11BE"/>
    <w:rsid w:val="007F2D4C"/>
    <w:rsid w:val="00825C1B"/>
    <w:rsid w:val="008275C8"/>
    <w:rsid w:val="0086515B"/>
    <w:rsid w:val="008845D3"/>
    <w:rsid w:val="00890465"/>
    <w:rsid w:val="00892D18"/>
    <w:rsid w:val="008A7E01"/>
    <w:rsid w:val="008E77CF"/>
    <w:rsid w:val="008F7B5D"/>
    <w:rsid w:val="00965E33"/>
    <w:rsid w:val="00975860"/>
    <w:rsid w:val="009C6D44"/>
    <w:rsid w:val="00A36FBC"/>
    <w:rsid w:val="00A41D6C"/>
    <w:rsid w:val="00A60E2B"/>
    <w:rsid w:val="00A61B3B"/>
    <w:rsid w:val="00A90776"/>
    <w:rsid w:val="00AA434E"/>
    <w:rsid w:val="00AD56A2"/>
    <w:rsid w:val="00AE21C4"/>
    <w:rsid w:val="00AF1760"/>
    <w:rsid w:val="00B17119"/>
    <w:rsid w:val="00B24D59"/>
    <w:rsid w:val="00B63CEE"/>
    <w:rsid w:val="00BE1620"/>
    <w:rsid w:val="00BF38E4"/>
    <w:rsid w:val="00C1322B"/>
    <w:rsid w:val="00C33E8A"/>
    <w:rsid w:val="00C46351"/>
    <w:rsid w:val="00C939CE"/>
    <w:rsid w:val="00D1233B"/>
    <w:rsid w:val="00D14000"/>
    <w:rsid w:val="00D27ED0"/>
    <w:rsid w:val="00D447E8"/>
    <w:rsid w:val="00D56ECA"/>
    <w:rsid w:val="00D86772"/>
    <w:rsid w:val="00DA6150"/>
    <w:rsid w:val="00DC6A3D"/>
    <w:rsid w:val="00E2008E"/>
    <w:rsid w:val="00E2285B"/>
    <w:rsid w:val="00E32E7A"/>
    <w:rsid w:val="00EA4E87"/>
    <w:rsid w:val="00ED3979"/>
    <w:rsid w:val="00F12294"/>
    <w:rsid w:val="00F734A8"/>
    <w:rsid w:val="00F8335A"/>
    <w:rsid w:val="00F8349C"/>
    <w:rsid w:val="00F951F9"/>
    <w:rsid w:val="00FA0EF6"/>
    <w:rsid w:val="00FE13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6052"/>
  <w15:chartTrackingRefBased/>
  <w15:docId w15:val="{34F00DDD-3278-446D-947D-270B57C3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5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C1B"/>
    <w:rPr>
      <w:rFonts w:eastAsiaTheme="majorEastAsia" w:cstheme="majorBidi"/>
      <w:color w:val="272727" w:themeColor="text1" w:themeTint="D8"/>
    </w:rPr>
  </w:style>
  <w:style w:type="paragraph" w:styleId="Title">
    <w:name w:val="Title"/>
    <w:basedOn w:val="Normal"/>
    <w:next w:val="Normal"/>
    <w:link w:val="TitleChar"/>
    <w:uiPriority w:val="10"/>
    <w:qFormat/>
    <w:rsid w:val="00825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C1B"/>
    <w:pPr>
      <w:spacing w:before="160"/>
      <w:jc w:val="center"/>
    </w:pPr>
    <w:rPr>
      <w:i/>
      <w:iCs/>
      <w:color w:val="404040" w:themeColor="text1" w:themeTint="BF"/>
    </w:rPr>
  </w:style>
  <w:style w:type="character" w:customStyle="1" w:styleId="QuoteChar">
    <w:name w:val="Quote Char"/>
    <w:basedOn w:val="DefaultParagraphFont"/>
    <w:link w:val="Quote"/>
    <w:uiPriority w:val="29"/>
    <w:rsid w:val="00825C1B"/>
    <w:rPr>
      <w:i/>
      <w:iCs/>
      <w:color w:val="404040" w:themeColor="text1" w:themeTint="BF"/>
    </w:rPr>
  </w:style>
  <w:style w:type="paragraph" w:styleId="ListParagraph">
    <w:name w:val="List Paragraph"/>
    <w:basedOn w:val="Normal"/>
    <w:uiPriority w:val="34"/>
    <w:qFormat/>
    <w:rsid w:val="00825C1B"/>
    <w:pPr>
      <w:ind w:left="720"/>
      <w:contextualSpacing/>
    </w:pPr>
  </w:style>
  <w:style w:type="character" w:styleId="IntenseEmphasis">
    <w:name w:val="Intense Emphasis"/>
    <w:basedOn w:val="DefaultParagraphFont"/>
    <w:uiPriority w:val="21"/>
    <w:qFormat/>
    <w:rsid w:val="00825C1B"/>
    <w:rPr>
      <w:i/>
      <w:iCs/>
      <w:color w:val="0F4761" w:themeColor="accent1" w:themeShade="BF"/>
    </w:rPr>
  </w:style>
  <w:style w:type="paragraph" w:styleId="IntenseQuote">
    <w:name w:val="Intense Quote"/>
    <w:basedOn w:val="Normal"/>
    <w:next w:val="Normal"/>
    <w:link w:val="IntenseQuoteChar"/>
    <w:uiPriority w:val="30"/>
    <w:qFormat/>
    <w:rsid w:val="00825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C1B"/>
    <w:rPr>
      <w:i/>
      <w:iCs/>
      <w:color w:val="0F4761" w:themeColor="accent1" w:themeShade="BF"/>
    </w:rPr>
  </w:style>
  <w:style w:type="character" w:styleId="IntenseReference">
    <w:name w:val="Intense Reference"/>
    <w:basedOn w:val="DefaultParagraphFont"/>
    <w:uiPriority w:val="32"/>
    <w:qFormat/>
    <w:rsid w:val="00825C1B"/>
    <w:rPr>
      <w:b/>
      <w:bCs/>
      <w:smallCaps/>
      <w:color w:val="0F4761" w:themeColor="accent1" w:themeShade="BF"/>
      <w:spacing w:val="5"/>
    </w:rPr>
  </w:style>
  <w:style w:type="paragraph" w:styleId="Header">
    <w:name w:val="header"/>
    <w:basedOn w:val="Normal"/>
    <w:link w:val="HeaderChar"/>
    <w:uiPriority w:val="99"/>
    <w:unhideWhenUsed/>
    <w:rsid w:val="00160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F0"/>
  </w:style>
  <w:style w:type="paragraph" w:styleId="Footer">
    <w:name w:val="footer"/>
    <w:basedOn w:val="Normal"/>
    <w:link w:val="FooterChar"/>
    <w:uiPriority w:val="99"/>
    <w:unhideWhenUsed/>
    <w:rsid w:val="00160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cp:lastPrinted>2025-03-20T13:21:00Z</cp:lastPrinted>
  <dcterms:created xsi:type="dcterms:W3CDTF">2025-03-28T10:14:00Z</dcterms:created>
  <dcterms:modified xsi:type="dcterms:W3CDTF">2025-03-28T10:14:00Z</dcterms:modified>
</cp:coreProperties>
</file>