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1A" w:rsidRDefault="006A052F" w:rsidP="000B43A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TOREVEI MUGANYURA </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6A052F" w:rsidRDefault="006A052F" w:rsidP="000B43AC">
      <w:pPr>
        <w:spacing w:after="0" w:line="240" w:lineRule="auto"/>
        <w:rPr>
          <w:rFonts w:ascii="Times New Roman" w:hAnsi="Times New Roman" w:cs="Times New Roman"/>
          <w:sz w:val="24"/>
          <w:szCs w:val="24"/>
        </w:rPr>
      </w:pPr>
    </w:p>
    <w:p w:rsidR="006A052F" w:rsidRDefault="006A052F" w:rsidP="000B43AC">
      <w:pPr>
        <w:spacing w:after="0" w:line="240" w:lineRule="auto"/>
        <w:rPr>
          <w:rFonts w:ascii="Times New Roman" w:hAnsi="Times New Roman" w:cs="Times New Roman"/>
          <w:sz w:val="24"/>
          <w:szCs w:val="24"/>
        </w:rPr>
      </w:pPr>
    </w:p>
    <w:p w:rsidR="006A052F" w:rsidRDefault="00866D22"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w:t>
      </w:r>
      <w:r w:rsidR="006A052F">
        <w:rPr>
          <w:rFonts w:ascii="Times New Roman" w:hAnsi="Times New Roman" w:cs="Times New Roman"/>
          <w:sz w:val="24"/>
          <w:szCs w:val="24"/>
        </w:rPr>
        <w:t xml:space="preserve">COURT OF ZIMBABWE </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MWAYERA &amp; MUZENDA JJ</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15 July 2020 and </w:t>
      </w:r>
      <w:r w:rsidR="00320CA8">
        <w:rPr>
          <w:rFonts w:ascii="Times New Roman" w:hAnsi="Times New Roman" w:cs="Times New Roman"/>
          <w:sz w:val="24"/>
          <w:szCs w:val="24"/>
        </w:rPr>
        <w:t xml:space="preserve">23 July </w:t>
      </w:r>
      <w:r>
        <w:rPr>
          <w:rFonts w:ascii="Times New Roman" w:hAnsi="Times New Roman" w:cs="Times New Roman"/>
          <w:sz w:val="24"/>
          <w:szCs w:val="24"/>
        </w:rPr>
        <w:t>2020</w:t>
      </w:r>
    </w:p>
    <w:p w:rsidR="006A052F" w:rsidRDefault="006A052F" w:rsidP="000B43AC">
      <w:pPr>
        <w:spacing w:after="0" w:line="240" w:lineRule="auto"/>
        <w:rPr>
          <w:rFonts w:ascii="Times New Roman" w:hAnsi="Times New Roman" w:cs="Times New Roman"/>
          <w:sz w:val="24"/>
          <w:szCs w:val="24"/>
        </w:rPr>
      </w:pPr>
    </w:p>
    <w:p w:rsidR="006A052F" w:rsidRDefault="006A052F" w:rsidP="000B43AC">
      <w:pPr>
        <w:spacing w:after="0" w:line="240" w:lineRule="auto"/>
        <w:rPr>
          <w:rFonts w:ascii="Times New Roman" w:hAnsi="Times New Roman" w:cs="Times New Roman"/>
          <w:sz w:val="24"/>
          <w:szCs w:val="24"/>
        </w:rPr>
      </w:pPr>
    </w:p>
    <w:p w:rsidR="006A052F" w:rsidRDefault="006A052F" w:rsidP="000B43A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6A052F" w:rsidRDefault="006A052F" w:rsidP="000B43AC">
      <w:pPr>
        <w:spacing w:after="0" w:line="240" w:lineRule="auto"/>
        <w:rPr>
          <w:rFonts w:ascii="Times New Roman" w:hAnsi="Times New Roman" w:cs="Times New Roman"/>
          <w:b/>
          <w:sz w:val="24"/>
          <w:szCs w:val="24"/>
        </w:rPr>
      </w:pPr>
    </w:p>
    <w:p w:rsidR="006A052F" w:rsidRDefault="006A052F" w:rsidP="000B43AC">
      <w:pPr>
        <w:spacing w:after="0" w:line="240" w:lineRule="auto"/>
        <w:rPr>
          <w:rFonts w:ascii="Times New Roman" w:hAnsi="Times New Roman" w:cs="Times New Roman"/>
          <w:b/>
          <w:sz w:val="24"/>
          <w:szCs w:val="24"/>
        </w:rPr>
      </w:pP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sidR="0069133F">
        <w:rPr>
          <w:rFonts w:ascii="Times New Roman" w:hAnsi="Times New Roman" w:cs="Times New Roman"/>
          <w:i/>
          <w:sz w:val="24"/>
          <w:szCs w:val="24"/>
        </w:rPr>
        <w:t>M M</w:t>
      </w:r>
      <w:r>
        <w:rPr>
          <w:rFonts w:ascii="Times New Roman" w:hAnsi="Times New Roman" w:cs="Times New Roman"/>
          <w:i/>
          <w:sz w:val="24"/>
          <w:szCs w:val="24"/>
        </w:rPr>
        <w:t>andingwa</w:t>
      </w:r>
      <w:r>
        <w:rPr>
          <w:rFonts w:ascii="Times New Roman" w:hAnsi="Times New Roman" w:cs="Times New Roman"/>
          <w:sz w:val="24"/>
          <w:szCs w:val="24"/>
        </w:rPr>
        <w:t xml:space="preserve">, for the appellant </w:t>
      </w:r>
    </w:p>
    <w:p w:rsidR="006A052F" w:rsidRDefault="006A052F" w:rsidP="000B43AC">
      <w:pPr>
        <w:spacing w:after="0" w:line="240" w:lineRule="auto"/>
        <w:rPr>
          <w:rFonts w:ascii="Times New Roman" w:hAnsi="Times New Roman" w:cs="Times New Roman"/>
          <w:sz w:val="24"/>
          <w:szCs w:val="24"/>
        </w:rPr>
      </w:pPr>
      <w:r>
        <w:rPr>
          <w:rFonts w:ascii="Times New Roman" w:hAnsi="Times New Roman" w:cs="Times New Roman"/>
          <w:i/>
          <w:sz w:val="24"/>
          <w:szCs w:val="24"/>
        </w:rPr>
        <w:t>Mrs J Matsikidze</w:t>
      </w:r>
      <w:r>
        <w:rPr>
          <w:rFonts w:ascii="Times New Roman" w:hAnsi="Times New Roman" w:cs="Times New Roman"/>
          <w:sz w:val="24"/>
          <w:szCs w:val="24"/>
        </w:rPr>
        <w:t xml:space="preserve">, for the State </w:t>
      </w:r>
    </w:p>
    <w:p w:rsidR="006A052F" w:rsidRDefault="006A052F" w:rsidP="000B43AC">
      <w:pPr>
        <w:spacing w:after="0" w:line="240" w:lineRule="auto"/>
        <w:rPr>
          <w:rFonts w:ascii="Times New Roman" w:hAnsi="Times New Roman" w:cs="Times New Roman"/>
          <w:sz w:val="24"/>
          <w:szCs w:val="24"/>
        </w:rPr>
      </w:pPr>
    </w:p>
    <w:p w:rsidR="006A052F" w:rsidRDefault="006A052F" w:rsidP="000B43AC">
      <w:pPr>
        <w:spacing w:after="0" w:line="240" w:lineRule="auto"/>
        <w:rPr>
          <w:rFonts w:ascii="Times New Roman" w:hAnsi="Times New Roman" w:cs="Times New Roman"/>
          <w:sz w:val="24"/>
          <w:szCs w:val="24"/>
        </w:rPr>
      </w:pPr>
    </w:p>
    <w:p w:rsidR="006A052F" w:rsidRDefault="006A052F" w:rsidP="0099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This is an appeal against sentence only. </w:t>
      </w:r>
      <w:r w:rsidR="00993C83">
        <w:rPr>
          <w:rFonts w:ascii="Times New Roman" w:hAnsi="Times New Roman" w:cs="Times New Roman"/>
          <w:sz w:val="24"/>
          <w:szCs w:val="24"/>
        </w:rPr>
        <w:t>The</w:t>
      </w:r>
      <w:r>
        <w:rPr>
          <w:rFonts w:ascii="Times New Roman" w:hAnsi="Times New Roman" w:cs="Times New Roman"/>
          <w:sz w:val="24"/>
          <w:szCs w:val="24"/>
        </w:rPr>
        <w:t xml:space="preserve"> </w:t>
      </w:r>
      <w:r w:rsidR="00993C83">
        <w:rPr>
          <w:rFonts w:ascii="Times New Roman" w:hAnsi="Times New Roman" w:cs="Times New Roman"/>
          <w:sz w:val="24"/>
          <w:szCs w:val="24"/>
        </w:rPr>
        <w:t>appellant was</w:t>
      </w:r>
      <w:r>
        <w:rPr>
          <w:rFonts w:ascii="Times New Roman" w:hAnsi="Times New Roman" w:cs="Times New Roman"/>
          <w:sz w:val="24"/>
          <w:szCs w:val="24"/>
        </w:rPr>
        <w:t xml:space="preserve"> arraigned before the Magistrates Court at Mutasa facing allegations of unlawful entry </w:t>
      </w:r>
      <w:r w:rsidR="00993C83">
        <w:rPr>
          <w:rFonts w:ascii="Times New Roman" w:hAnsi="Times New Roman" w:cs="Times New Roman"/>
          <w:sz w:val="24"/>
          <w:szCs w:val="24"/>
        </w:rPr>
        <w:t>into premises in aggravating circumstances as defined in s. 131 (1) as read with s 131 (2) of the Criminal Law (Codification and Reform) Act [</w:t>
      </w:r>
      <w:r w:rsidR="00993C83">
        <w:rPr>
          <w:rFonts w:ascii="Times New Roman" w:hAnsi="Times New Roman" w:cs="Times New Roman"/>
          <w:i/>
          <w:sz w:val="24"/>
          <w:szCs w:val="24"/>
        </w:rPr>
        <w:t>Chapter 9:23</w:t>
      </w:r>
      <w:r w:rsidR="00993C83">
        <w:rPr>
          <w:rFonts w:ascii="Times New Roman" w:hAnsi="Times New Roman" w:cs="Times New Roman"/>
          <w:sz w:val="24"/>
          <w:szCs w:val="24"/>
        </w:rPr>
        <w:t>]. The appellant an Africa University Student, entered fellow student’s rooms at night without permission and stole gadgets belonging to the occupants. He pleaded guilty to four counts and was sentenced to 20 months imprisonment, 8 months imprisonment were suspended on conditions of future go</w:t>
      </w:r>
      <w:r w:rsidR="00320CA8">
        <w:rPr>
          <w:rFonts w:ascii="Times New Roman" w:hAnsi="Times New Roman" w:cs="Times New Roman"/>
          <w:sz w:val="24"/>
          <w:szCs w:val="24"/>
        </w:rPr>
        <w:t xml:space="preserve">od behaviour, leaving him with </w:t>
      </w:r>
      <w:r w:rsidR="00993C83">
        <w:rPr>
          <w:rFonts w:ascii="Times New Roman" w:hAnsi="Times New Roman" w:cs="Times New Roman"/>
          <w:sz w:val="24"/>
          <w:szCs w:val="24"/>
        </w:rPr>
        <w:t>an effective 12 months imprisonment.</w:t>
      </w:r>
    </w:p>
    <w:p w:rsidR="00F07CBD" w:rsidRDefault="00F07CBD" w:rsidP="00993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Aggrieved by the sentence the appellant approached this court to appeal against the sentence and spelt out the grounds as follows: </w:t>
      </w:r>
    </w:p>
    <w:p w:rsidR="007D72E5" w:rsidRDefault="007D72E5" w:rsidP="00993C83">
      <w:pPr>
        <w:spacing w:after="0" w:line="360" w:lineRule="auto"/>
        <w:jc w:val="both"/>
        <w:rPr>
          <w:rFonts w:ascii="Times New Roman" w:hAnsi="Times New Roman" w:cs="Times New Roman"/>
          <w:sz w:val="24"/>
          <w:szCs w:val="24"/>
        </w:rPr>
      </w:pPr>
    </w:p>
    <w:p w:rsidR="007D72E5" w:rsidRDefault="007D72E5" w:rsidP="00993C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GROUNDS OF APPEAL</w:t>
      </w:r>
    </w:p>
    <w:p w:rsidR="00BF0BD2" w:rsidRDefault="001C5E9C" w:rsidP="001C5E9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w:t>
      </w:r>
      <w:r w:rsidR="00BF0BD2">
        <w:rPr>
          <w:rFonts w:ascii="Times New Roman" w:hAnsi="Times New Roman" w:cs="Times New Roman"/>
          <w:sz w:val="24"/>
          <w:szCs w:val="24"/>
        </w:rPr>
        <w:t>misdirected</w:t>
      </w:r>
      <w:r>
        <w:rPr>
          <w:rFonts w:ascii="Times New Roman" w:hAnsi="Times New Roman" w:cs="Times New Roman"/>
          <w:sz w:val="24"/>
          <w:szCs w:val="24"/>
        </w:rPr>
        <w:t xml:space="preserve"> himself </w:t>
      </w:r>
      <w:r w:rsidR="00BF0BD2">
        <w:rPr>
          <w:rFonts w:ascii="Times New Roman" w:hAnsi="Times New Roman" w:cs="Times New Roman"/>
          <w:sz w:val="24"/>
          <w:szCs w:val="24"/>
        </w:rPr>
        <w:t>in</w:t>
      </w:r>
      <w:r>
        <w:rPr>
          <w:rFonts w:ascii="Times New Roman" w:hAnsi="Times New Roman" w:cs="Times New Roman"/>
          <w:sz w:val="24"/>
          <w:szCs w:val="24"/>
        </w:rPr>
        <w:t xml:space="preserve"> imposing a </w:t>
      </w:r>
      <w:r w:rsidR="00BF0BD2">
        <w:rPr>
          <w:rFonts w:ascii="Times New Roman" w:hAnsi="Times New Roman" w:cs="Times New Roman"/>
          <w:sz w:val="24"/>
          <w:szCs w:val="24"/>
        </w:rPr>
        <w:t>term</w:t>
      </w:r>
      <w:r>
        <w:rPr>
          <w:rFonts w:ascii="Times New Roman" w:hAnsi="Times New Roman" w:cs="Times New Roman"/>
          <w:sz w:val="24"/>
          <w:szCs w:val="24"/>
        </w:rPr>
        <w:t xml:space="preserve"> of imprisonment in the force of a finable offence and in the face of mitigatory circumstances, thereby over-emphasising aggravation resulting in a sentence which </w:t>
      </w:r>
      <w:r w:rsidR="00BF0BD2">
        <w:rPr>
          <w:rFonts w:ascii="Times New Roman" w:hAnsi="Times New Roman" w:cs="Times New Roman"/>
          <w:sz w:val="24"/>
          <w:szCs w:val="24"/>
        </w:rPr>
        <w:t>was</w:t>
      </w:r>
      <w:r>
        <w:rPr>
          <w:rFonts w:ascii="Times New Roman" w:hAnsi="Times New Roman" w:cs="Times New Roman"/>
          <w:sz w:val="24"/>
          <w:szCs w:val="24"/>
        </w:rPr>
        <w:t xml:space="preserve"> too excessive so as to induce a sense of shock. Thus the appellant </w:t>
      </w:r>
      <w:r w:rsidR="00BF0BD2">
        <w:rPr>
          <w:rFonts w:ascii="Times New Roman" w:hAnsi="Times New Roman" w:cs="Times New Roman"/>
          <w:sz w:val="24"/>
          <w:szCs w:val="24"/>
        </w:rPr>
        <w:t>avers</w:t>
      </w:r>
      <w:r w:rsidR="006A4319">
        <w:rPr>
          <w:rFonts w:ascii="Times New Roman" w:hAnsi="Times New Roman" w:cs="Times New Roman"/>
          <w:sz w:val="24"/>
          <w:szCs w:val="24"/>
        </w:rPr>
        <w:t xml:space="preserve"> that </w:t>
      </w:r>
      <w:r w:rsidR="00BF0BD2">
        <w:rPr>
          <w:rFonts w:ascii="Times New Roman" w:hAnsi="Times New Roman" w:cs="Times New Roman"/>
          <w:sz w:val="24"/>
          <w:szCs w:val="24"/>
        </w:rPr>
        <w:t>the learned</w:t>
      </w:r>
      <w:r w:rsidR="006A4319">
        <w:rPr>
          <w:rFonts w:ascii="Times New Roman" w:hAnsi="Times New Roman" w:cs="Times New Roman"/>
          <w:sz w:val="24"/>
          <w:szCs w:val="24"/>
        </w:rPr>
        <w:t xml:space="preserve"> Magistrate did not give due weight to the mitigatory factors thereby over-emphasising the factors in aggravation.</w:t>
      </w:r>
    </w:p>
    <w:p w:rsidR="007D72E5" w:rsidRDefault="00BF0BD2" w:rsidP="001C5E9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avers that the learned Magistrate erred in considering prison sentence as the only appropriate sentence in the face of other real non-custodial sentenci</w:t>
      </w:r>
      <w:r w:rsidR="00562CBB">
        <w:rPr>
          <w:rFonts w:ascii="Times New Roman" w:hAnsi="Times New Roman" w:cs="Times New Roman"/>
          <w:sz w:val="24"/>
          <w:szCs w:val="24"/>
        </w:rPr>
        <w:t xml:space="preserve">ng options such as community </w:t>
      </w:r>
      <w:r>
        <w:rPr>
          <w:rFonts w:ascii="Times New Roman" w:hAnsi="Times New Roman" w:cs="Times New Roman"/>
          <w:sz w:val="24"/>
          <w:szCs w:val="24"/>
        </w:rPr>
        <w:t>service.</w:t>
      </w:r>
      <w:r w:rsidR="006A4319">
        <w:rPr>
          <w:rFonts w:ascii="Times New Roman" w:hAnsi="Times New Roman" w:cs="Times New Roman"/>
          <w:sz w:val="24"/>
          <w:szCs w:val="24"/>
        </w:rPr>
        <w:t xml:space="preserve"> </w:t>
      </w:r>
      <w:r w:rsidR="001C5E9C">
        <w:rPr>
          <w:rFonts w:ascii="Times New Roman" w:hAnsi="Times New Roman" w:cs="Times New Roman"/>
          <w:sz w:val="24"/>
          <w:szCs w:val="24"/>
        </w:rPr>
        <w:t xml:space="preserve"> </w:t>
      </w:r>
    </w:p>
    <w:p w:rsidR="00BF0BD2" w:rsidRDefault="00BF0BD2" w:rsidP="00BF0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Appellant prays that the sentence of imprisonment be set aside and substituted with the option of a wholly suspended sentence with an order to restitute the one complainant or alternatively an order for appellant to do community service. </w:t>
      </w:r>
    </w:p>
    <w:p w:rsidR="000B3823" w:rsidRDefault="000B3823" w:rsidP="000B3823">
      <w:pPr>
        <w:spacing w:after="0" w:line="360" w:lineRule="auto"/>
        <w:jc w:val="both"/>
        <w:rPr>
          <w:rFonts w:ascii="Times New Roman" w:hAnsi="Times New Roman" w:cs="Times New Roman"/>
          <w:sz w:val="24"/>
          <w:szCs w:val="24"/>
        </w:rPr>
      </w:pPr>
    </w:p>
    <w:p w:rsidR="000B3823" w:rsidRDefault="000B3823" w:rsidP="000B382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1E7CB8" w:rsidRDefault="000B3823"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784D">
        <w:rPr>
          <w:rFonts w:ascii="Times New Roman" w:hAnsi="Times New Roman" w:cs="Times New Roman"/>
          <w:sz w:val="24"/>
          <w:szCs w:val="24"/>
        </w:rPr>
        <w:t xml:space="preserve">The </w:t>
      </w:r>
      <w:r w:rsidR="00BF71F0">
        <w:rPr>
          <w:rFonts w:ascii="Times New Roman" w:hAnsi="Times New Roman" w:cs="Times New Roman"/>
          <w:sz w:val="24"/>
          <w:szCs w:val="24"/>
        </w:rPr>
        <w:t xml:space="preserve">appellant is aged 22 and </w:t>
      </w:r>
      <w:r w:rsidR="00FC784D">
        <w:rPr>
          <w:rFonts w:ascii="Times New Roman" w:hAnsi="Times New Roman" w:cs="Times New Roman"/>
          <w:sz w:val="24"/>
          <w:szCs w:val="24"/>
        </w:rPr>
        <w:t>was a student at Africa University in Penhalonga, Mutare.</w:t>
      </w:r>
      <w:r w:rsidR="001E7CB8">
        <w:rPr>
          <w:rFonts w:ascii="Times New Roman" w:hAnsi="Times New Roman" w:cs="Times New Roman"/>
          <w:sz w:val="24"/>
          <w:szCs w:val="24"/>
        </w:rPr>
        <w:t xml:space="preserve"> In</w:t>
      </w:r>
      <w:r w:rsidR="00BF71F0">
        <w:rPr>
          <w:rFonts w:ascii="Times New Roman" w:hAnsi="Times New Roman" w:cs="Times New Roman"/>
          <w:sz w:val="24"/>
          <w:szCs w:val="24"/>
        </w:rPr>
        <w:t xml:space="preserve"> count 1 the State alleges that on 12 February 2019 at around 1600 hours, Desire Gwaturi, first complainant was in his room K17 when the appellant came to him looking for a hard drive. Complainant told appellant that the hard drive was in the adjacent room to his.</w:t>
      </w:r>
      <w:r w:rsidR="00EC4E9D">
        <w:rPr>
          <w:rFonts w:ascii="Times New Roman" w:hAnsi="Times New Roman" w:cs="Times New Roman"/>
          <w:sz w:val="24"/>
          <w:szCs w:val="24"/>
        </w:rPr>
        <w:t xml:space="preserve"> Complainant accompanied the appellant to the room and when complainant returned to his room, he </w:t>
      </w:r>
      <w:r w:rsidR="001E7CB8">
        <w:rPr>
          <w:rFonts w:ascii="Times New Roman" w:hAnsi="Times New Roman" w:cs="Times New Roman"/>
          <w:sz w:val="24"/>
          <w:szCs w:val="24"/>
        </w:rPr>
        <w:t>found</w:t>
      </w:r>
      <w:r w:rsidR="00EC4E9D">
        <w:rPr>
          <w:rFonts w:ascii="Times New Roman" w:hAnsi="Times New Roman" w:cs="Times New Roman"/>
          <w:sz w:val="24"/>
          <w:szCs w:val="24"/>
        </w:rPr>
        <w:t xml:space="preserve"> his Samsung S. 3 blue </w:t>
      </w:r>
      <w:r w:rsidR="00C15F8E">
        <w:rPr>
          <w:rFonts w:ascii="Times New Roman" w:hAnsi="Times New Roman" w:cs="Times New Roman"/>
          <w:sz w:val="24"/>
          <w:szCs w:val="24"/>
        </w:rPr>
        <w:t>in colour missing. Appellant la</w:t>
      </w:r>
      <w:r w:rsidR="00EC4E9D">
        <w:rPr>
          <w:rFonts w:ascii="Times New Roman" w:hAnsi="Times New Roman" w:cs="Times New Roman"/>
          <w:sz w:val="24"/>
          <w:szCs w:val="24"/>
        </w:rPr>
        <w:t xml:space="preserve">ter on admitted stealing the </w:t>
      </w:r>
      <w:r w:rsidR="00055735">
        <w:rPr>
          <w:rFonts w:ascii="Times New Roman" w:hAnsi="Times New Roman" w:cs="Times New Roman"/>
          <w:sz w:val="24"/>
          <w:szCs w:val="24"/>
        </w:rPr>
        <w:t>cell phone</w:t>
      </w:r>
      <w:r w:rsidR="00EC4E9D">
        <w:rPr>
          <w:rFonts w:ascii="Times New Roman" w:hAnsi="Times New Roman" w:cs="Times New Roman"/>
          <w:sz w:val="24"/>
          <w:szCs w:val="24"/>
        </w:rPr>
        <w:t xml:space="preserve">. </w:t>
      </w:r>
      <w:r w:rsidR="001E7CB8">
        <w:rPr>
          <w:rFonts w:ascii="Times New Roman" w:hAnsi="Times New Roman" w:cs="Times New Roman"/>
          <w:sz w:val="24"/>
          <w:szCs w:val="24"/>
        </w:rPr>
        <w:t xml:space="preserve">The </w:t>
      </w:r>
      <w:r w:rsidR="00055735">
        <w:rPr>
          <w:rFonts w:ascii="Times New Roman" w:hAnsi="Times New Roman" w:cs="Times New Roman"/>
          <w:sz w:val="24"/>
          <w:szCs w:val="24"/>
        </w:rPr>
        <w:t>cell phone</w:t>
      </w:r>
      <w:r w:rsidR="00C15F8E">
        <w:rPr>
          <w:rFonts w:ascii="Times New Roman" w:hAnsi="Times New Roman" w:cs="Times New Roman"/>
          <w:sz w:val="24"/>
          <w:szCs w:val="24"/>
        </w:rPr>
        <w:t xml:space="preserve"> is valued at US$ 65-00</w:t>
      </w:r>
      <w:r w:rsidR="001E7CB8">
        <w:rPr>
          <w:rFonts w:ascii="Times New Roman" w:hAnsi="Times New Roman" w:cs="Times New Roman"/>
          <w:sz w:val="24"/>
          <w:szCs w:val="24"/>
        </w:rPr>
        <w:t xml:space="preserve"> and was sold by the appellant to someone else. </w:t>
      </w:r>
    </w:p>
    <w:p w:rsidR="00FD1F27" w:rsidRDefault="001E7CB8"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count 3 the </w:t>
      </w:r>
      <w:r w:rsidR="00055735">
        <w:rPr>
          <w:rFonts w:ascii="Times New Roman" w:hAnsi="Times New Roman" w:cs="Times New Roman"/>
          <w:sz w:val="24"/>
          <w:szCs w:val="24"/>
        </w:rPr>
        <w:t>state</w:t>
      </w:r>
      <w:r>
        <w:rPr>
          <w:rFonts w:ascii="Times New Roman" w:hAnsi="Times New Roman" w:cs="Times New Roman"/>
          <w:sz w:val="24"/>
          <w:szCs w:val="24"/>
        </w:rPr>
        <w:t xml:space="preserve"> alleges that on 21 February 2019 at around 0450 hours Alfred Samuriwo’s </w:t>
      </w:r>
      <w:r w:rsidR="00055735">
        <w:rPr>
          <w:rFonts w:ascii="Times New Roman" w:hAnsi="Times New Roman" w:cs="Times New Roman"/>
          <w:sz w:val="24"/>
          <w:szCs w:val="24"/>
        </w:rPr>
        <w:t>cell phone</w:t>
      </w:r>
      <w:r>
        <w:rPr>
          <w:rFonts w:ascii="Times New Roman" w:hAnsi="Times New Roman" w:cs="Times New Roman"/>
          <w:sz w:val="24"/>
          <w:szCs w:val="24"/>
        </w:rPr>
        <w:t xml:space="preserve"> rang and woke him up, he then switched it off and fell asleep. He woke up at 0530 hours and noticed that his cell</w:t>
      </w:r>
      <w:r w:rsidR="00055735">
        <w:rPr>
          <w:rFonts w:ascii="Times New Roman" w:hAnsi="Times New Roman" w:cs="Times New Roman"/>
          <w:sz w:val="24"/>
          <w:szCs w:val="24"/>
        </w:rPr>
        <w:t xml:space="preserve"> pho</w:t>
      </w:r>
      <w:r>
        <w:rPr>
          <w:rFonts w:ascii="Times New Roman" w:hAnsi="Times New Roman" w:cs="Times New Roman"/>
          <w:sz w:val="24"/>
          <w:szCs w:val="24"/>
        </w:rPr>
        <w:t xml:space="preserve">ne Samsung Galaxy A6 was missing. On 24 February 2019 appellant was found in possession of the </w:t>
      </w:r>
      <w:r w:rsidR="00055735">
        <w:rPr>
          <w:rFonts w:ascii="Times New Roman" w:hAnsi="Times New Roman" w:cs="Times New Roman"/>
          <w:sz w:val="24"/>
          <w:szCs w:val="24"/>
        </w:rPr>
        <w:t>cell phone</w:t>
      </w:r>
      <w:r>
        <w:rPr>
          <w:rFonts w:ascii="Times New Roman" w:hAnsi="Times New Roman" w:cs="Times New Roman"/>
          <w:sz w:val="24"/>
          <w:szCs w:val="24"/>
        </w:rPr>
        <w:t xml:space="preserve"> belonging to the </w:t>
      </w:r>
      <w:r w:rsidR="00055735">
        <w:rPr>
          <w:rFonts w:ascii="Times New Roman" w:hAnsi="Times New Roman" w:cs="Times New Roman"/>
          <w:sz w:val="24"/>
          <w:szCs w:val="24"/>
        </w:rPr>
        <w:t>complainant</w:t>
      </w:r>
      <w:r>
        <w:rPr>
          <w:rFonts w:ascii="Times New Roman" w:hAnsi="Times New Roman" w:cs="Times New Roman"/>
          <w:sz w:val="24"/>
          <w:szCs w:val="24"/>
        </w:rPr>
        <w:t xml:space="preserve">. The value </w:t>
      </w:r>
      <w:r w:rsidR="00055735">
        <w:rPr>
          <w:rFonts w:ascii="Times New Roman" w:hAnsi="Times New Roman" w:cs="Times New Roman"/>
          <w:sz w:val="24"/>
          <w:szCs w:val="24"/>
        </w:rPr>
        <w:t>of</w:t>
      </w:r>
      <w:r>
        <w:rPr>
          <w:rFonts w:ascii="Times New Roman" w:hAnsi="Times New Roman" w:cs="Times New Roman"/>
          <w:sz w:val="24"/>
          <w:szCs w:val="24"/>
        </w:rPr>
        <w:t xml:space="preserve"> the </w:t>
      </w:r>
      <w:r w:rsidR="00055735">
        <w:rPr>
          <w:rFonts w:ascii="Times New Roman" w:hAnsi="Times New Roman" w:cs="Times New Roman"/>
          <w:sz w:val="24"/>
          <w:szCs w:val="24"/>
        </w:rPr>
        <w:t>cell phone</w:t>
      </w:r>
      <w:r>
        <w:rPr>
          <w:rFonts w:ascii="Times New Roman" w:hAnsi="Times New Roman" w:cs="Times New Roman"/>
          <w:sz w:val="24"/>
          <w:szCs w:val="24"/>
        </w:rPr>
        <w:t xml:space="preserve"> is given as US$650-00 and it was recovered. In </w:t>
      </w:r>
      <w:r w:rsidR="00055735">
        <w:rPr>
          <w:rFonts w:ascii="Times New Roman" w:hAnsi="Times New Roman" w:cs="Times New Roman"/>
          <w:sz w:val="24"/>
          <w:szCs w:val="24"/>
        </w:rPr>
        <w:t>count</w:t>
      </w:r>
      <w:r>
        <w:rPr>
          <w:rFonts w:ascii="Times New Roman" w:hAnsi="Times New Roman" w:cs="Times New Roman"/>
          <w:sz w:val="24"/>
          <w:szCs w:val="24"/>
        </w:rPr>
        <w:t xml:space="preserve"> 4 it is the st</w:t>
      </w:r>
      <w:r w:rsidR="004B55EB">
        <w:rPr>
          <w:rFonts w:ascii="Times New Roman" w:hAnsi="Times New Roman" w:cs="Times New Roman"/>
          <w:sz w:val="24"/>
          <w:szCs w:val="24"/>
        </w:rPr>
        <w:t xml:space="preserve">ate’s case that on 23 February </w:t>
      </w:r>
      <w:r>
        <w:rPr>
          <w:rFonts w:ascii="Times New Roman" w:hAnsi="Times New Roman" w:cs="Times New Roman"/>
          <w:sz w:val="24"/>
          <w:szCs w:val="24"/>
        </w:rPr>
        <w:t xml:space="preserve">2019 Pitman T. Clement was in his room K 18 when he plugged his </w:t>
      </w:r>
      <w:r w:rsidR="00055735">
        <w:rPr>
          <w:rFonts w:ascii="Times New Roman" w:hAnsi="Times New Roman" w:cs="Times New Roman"/>
          <w:sz w:val="24"/>
          <w:szCs w:val="24"/>
        </w:rPr>
        <w:t>cell phone</w:t>
      </w:r>
      <w:r>
        <w:rPr>
          <w:rFonts w:ascii="Times New Roman" w:hAnsi="Times New Roman" w:cs="Times New Roman"/>
          <w:sz w:val="24"/>
          <w:szCs w:val="24"/>
        </w:rPr>
        <w:t xml:space="preserve"> Itel 511 o</w:t>
      </w:r>
      <w:r w:rsidR="004B55EB">
        <w:rPr>
          <w:rFonts w:ascii="Times New Roman" w:hAnsi="Times New Roman" w:cs="Times New Roman"/>
          <w:sz w:val="24"/>
          <w:szCs w:val="24"/>
        </w:rPr>
        <w:t>n</w:t>
      </w:r>
      <w:r>
        <w:rPr>
          <w:rFonts w:ascii="Times New Roman" w:hAnsi="Times New Roman" w:cs="Times New Roman"/>
          <w:sz w:val="24"/>
          <w:szCs w:val="24"/>
        </w:rPr>
        <w:t xml:space="preserve"> the laptop for charging. He </w:t>
      </w:r>
      <w:r w:rsidR="00055735">
        <w:rPr>
          <w:rFonts w:ascii="Times New Roman" w:hAnsi="Times New Roman" w:cs="Times New Roman"/>
          <w:sz w:val="24"/>
          <w:szCs w:val="24"/>
        </w:rPr>
        <w:t>then</w:t>
      </w:r>
      <w:r>
        <w:rPr>
          <w:rFonts w:ascii="Times New Roman" w:hAnsi="Times New Roman" w:cs="Times New Roman"/>
          <w:sz w:val="24"/>
          <w:szCs w:val="24"/>
        </w:rPr>
        <w:t xml:space="preserve"> fell asleep when he woke up the following morning he noticed that the </w:t>
      </w:r>
      <w:r w:rsidR="00055735">
        <w:rPr>
          <w:rFonts w:ascii="Times New Roman" w:hAnsi="Times New Roman" w:cs="Times New Roman"/>
          <w:sz w:val="24"/>
          <w:szCs w:val="24"/>
        </w:rPr>
        <w:t>cell phone</w:t>
      </w:r>
      <w:r>
        <w:rPr>
          <w:rFonts w:ascii="Times New Roman" w:hAnsi="Times New Roman" w:cs="Times New Roman"/>
          <w:sz w:val="24"/>
          <w:szCs w:val="24"/>
        </w:rPr>
        <w:t xml:space="preserve"> was missing. He had </w:t>
      </w:r>
      <w:r w:rsidR="00055735">
        <w:rPr>
          <w:rFonts w:ascii="Times New Roman" w:hAnsi="Times New Roman" w:cs="Times New Roman"/>
          <w:sz w:val="24"/>
          <w:szCs w:val="24"/>
        </w:rPr>
        <w:t>forgotten</w:t>
      </w:r>
      <w:r>
        <w:rPr>
          <w:rFonts w:ascii="Times New Roman" w:hAnsi="Times New Roman" w:cs="Times New Roman"/>
          <w:sz w:val="24"/>
          <w:szCs w:val="24"/>
        </w:rPr>
        <w:t xml:space="preserve"> to </w:t>
      </w:r>
      <w:r w:rsidR="00055735">
        <w:rPr>
          <w:rFonts w:ascii="Times New Roman" w:hAnsi="Times New Roman" w:cs="Times New Roman"/>
          <w:sz w:val="24"/>
          <w:szCs w:val="24"/>
        </w:rPr>
        <w:t>l</w:t>
      </w:r>
      <w:r>
        <w:rPr>
          <w:rFonts w:ascii="Times New Roman" w:hAnsi="Times New Roman" w:cs="Times New Roman"/>
          <w:sz w:val="24"/>
          <w:szCs w:val="24"/>
        </w:rPr>
        <w:t xml:space="preserve">ock   the </w:t>
      </w:r>
      <w:r w:rsidR="00055735">
        <w:rPr>
          <w:rFonts w:ascii="Times New Roman" w:hAnsi="Times New Roman" w:cs="Times New Roman"/>
          <w:sz w:val="24"/>
          <w:szCs w:val="24"/>
        </w:rPr>
        <w:t>entrance</w:t>
      </w:r>
      <w:r>
        <w:rPr>
          <w:rFonts w:ascii="Times New Roman" w:hAnsi="Times New Roman" w:cs="Times New Roman"/>
          <w:sz w:val="24"/>
          <w:szCs w:val="24"/>
        </w:rPr>
        <w:t xml:space="preserve"> </w:t>
      </w:r>
      <w:r w:rsidR="00055735">
        <w:rPr>
          <w:rFonts w:ascii="Times New Roman" w:hAnsi="Times New Roman" w:cs="Times New Roman"/>
          <w:sz w:val="24"/>
          <w:szCs w:val="24"/>
        </w:rPr>
        <w:t>the</w:t>
      </w:r>
      <w:r>
        <w:rPr>
          <w:rFonts w:ascii="Times New Roman" w:hAnsi="Times New Roman" w:cs="Times New Roman"/>
          <w:sz w:val="24"/>
          <w:szCs w:val="24"/>
        </w:rPr>
        <w:t xml:space="preserve"> previous night. On 24 February 2019 appellant was found in possession of the </w:t>
      </w:r>
      <w:r w:rsidR="00055735">
        <w:rPr>
          <w:rFonts w:ascii="Times New Roman" w:hAnsi="Times New Roman" w:cs="Times New Roman"/>
          <w:sz w:val="24"/>
          <w:szCs w:val="24"/>
        </w:rPr>
        <w:t>cell phone</w:t>
      </w:r>
      <w:r>
        <w:rPr>
          <w:rFonts w:ascii="Times New Roman" w:hAnsi="Times New Roman" w:cs="Times New Roman"/>
          <w:sz w:val="24"/>
          <w:szCs w:val="24"/>
        </w:rPr>
        <w:t xml:space="preserve">. The </w:t>
      </w:r>
      <w:r w:rsidR="00055735">
        <w:rPr>
          <w:rFonts w:ascii="Times New Roman" w:hAnsi="Times New Roman" w:cs="Times New Roman"/>
          <w:sz w:val="24"/>
          <w:szCs w:val="24"/>
        </w:rPr>
        <w:t xml:space="preserve">cell phone is valued </w:t>
      </w:r>
      <w:r>
        <w:rPr>
          <w:rFonts w:ascii="Times New Roman" w:hAnsi="Times New Roman" w:cs="Times New Roman"/>
          <w:sz w:val="24"/>
          <w:szCs w:val="24"/>
        </w:rPr>
        <w:t xml:space="preserve">at US$125-00 and it was recovered. In </w:t>
      </w:r>
      <w:r w:rsidR="00055735">
        <w:rPr>
          <w:rFonts w:ascii="Times New Roman" w:hAnsi="Times New Roman" w:cs="Times New Roman"/>
          <w:sz w:val="24"/>
          <w:szCs w:val="24"/>
        </w:rPr>
        <w:t>count</w:t>
      </w:r>
      <w:r>
        <w:rPr>
          <w:rFonts w:ascii="Times New Roman" w:hAnsi="Times New Roman" w:cs="Times New Roman"/>
          <w:sz w:val="24"/>
          <w:szCs w:val="24"/>
        </w:rPr>
        <w:t xml:space="preserve"> 5 the state </w:t>
      </w:r>
      <w:r w:rsidR="00055735">
        <w:rPr>
          <w:rFonts w:ascii="Times New Roman" w:hAnsi="Times New Roman" w:cs="Times New Roman"/>
          <w:sz w:val="24"/>
          <w:szCs w:val="24"/>
        </w:rPr>
        <w:t>alleges</w:t>
      </w:r>
      <w:r>
        <w:rPr>
          <w:rFonts w:ascii="Times New Roman" w:hAnsi="Times New Roman" w:cs="Times New Roman"/>
          <w:sz w:val="24"/>
          <w:szCs w:val="24"/>
        </w:rPr>
        <w:t xml:space="preserve"> that on 23 February 2019 Simbarashe Ch</w:t>
      </w:r>
      <w:r w:rsidR="00B766D7">
        <w:rPr>
          <w:rFonts w:ascii="Times New Roman" w:hAnsi="Times New Roman" w:cs="Times New Roman"/>
          <w:sz w:val="24"/>
          <w:szCs w:val="24"/>
        </w:rPr>
        <w:t>imoga fell asleep at around 2300</w:t>
      </w:r>
      <w:r>
        <w:rPr>
          <w:rFonts w:ascii="Times New Roman" w:hAnsi="Times New Roman" w:cs="Times New Roman"/>
          <w:sz w:val="24"/>
          <w:szCs w:val="24"/>
        </w:rPr>
        <w:t xml:space="preserve"> hours in his room leaving the </w:t>
      </w:r>
      <w:r w:rsidR="00055735">
        <w:rPr>
          <w:rFonts w:ascii="Times New Roman" w:hAnsi="Times New Roman" w:cs="Times New Roman"/>
          <w:sz w:val="24"/>
          <w:szCs w:val="24"/>
        </w:rPr>
        <w:t>cell phone</w:t>
      </w:r>
      <w:r>
        <w:rPr>
          <w:rFonts w:ascii="Times New Roman" w:hAnsi="Times New Roman" w:cs="Times New Roman"/>
          <w:sz w:val="24"/>
          <w:szCs w:val="24"/>
        </w:rPr>
        <w:t xml:space="preserve"> </w:t>
      </w:r>
      <w:r w:rsidR="00055735">
        <w:rPr>
          <w:rFonts w:ascii="Times New Roman" w:hAnsi="Times New Roman" w:cs="Times New Roman"/>
          <w:sz w:val="24"/>
          <w:szCs w:val="24"/>
        </w:rPr>
        <w:t>Samsung</w:t>
      </w:r>
      <w:r>
        <w:rPr>
          <w:rFonts w:ascii="Times New Roman" w:hAnsi="Times New Roman" w:cs="Times New Roman"/>
          <w:sz w:val="24"/>
          <w:szCs w:val="24"/>
        </w:rPr>
        <w:t xml:space="preserve"> Galaxy S6 Edge on his </w:t>
      </w:r>
      <w:r w:rsidR="00055735">
        <w:rPr>
          <w:rFonts w:ascii="Times New Roman" w:hAnsi="Times New Roman" w:cs="Times New Roman"/>
          <w:sz w:val="24"/>
          <w:szCs w:val="24"/>
        </w:rPr>
        <w:t>bed</w:t>
      </w:r>
      <w:r>
        <w:rPr>
          <w:rFonts w:ascii="Times New Roman" w:hAnsi="Times New Roman" w:cs="Times New Roman"/>
          <w:sz w:val="24"/>
          <w:szCs w:val="24"/>
        </w:rPr>
        <w:t xml:space="preserve">. When he woke up the </w:t>
      </w:r>
      <w:r w:rsidR="00055735">
        <w:rPr>
          <w:rFonts w:ascii="Times New Roman" w:hAnsi="Times New Roman" w:cs="Times New Roman"/>
          <w:sz w:val="24"/>
          <w:szCs w:val="24"/>
        </w:rPr>
        <w:t>following</w:t>
      </w:r>
      <w:r>
        <w:rPr>
          <w:rFonts w:ascii="Times New Roman" w:hAnsi="Times New Roman" w:cs="Times New Roman"/>
          <w:sz w:val="24"/>
          <w:szCs w:val="24"/>
        </w:rPr>
        <w:t xml:space="preserve"> day, </w:t>
      </w:r>
      <w:r w:rsidR="0070764A">
        <w:rPr>
          <w:rFonts w:ascii="Times New Roman" w:hAnsi="Times New Roman" w:cs="Times New Roman"/>
          <w:sz w:val="24"/>
          <w:szCs w:val="24"/>
        </w:rPr>
        <w:t xml:space="preserve">the </w:t>
      </w:r>
      <w:r w:rsidR="003664BA">
        <w:rPr>
          <w:rFonts w:ascii="Times New Roman" w:hAnsi="Times New Roman" w:cs="Times New Roman"/>
          <w:sz w:val="24"/>
          <w:szCs w:val="24"/>
        </w:rPr>
        <w:t>24</w:t>
      </w:r>
      <w:r w:rsidR="003664BA" w:rsidRPr="0070764A">
        <w:rPr>
          <w:rFonts w:ascii="Times New Roman" w:hAnsi="Times New Roman" w:cs="Times New Roman"/>
          <w:sz w:val="24"/>
          <w:szCs w:val="24"/>
          <w:vertAlign w:val="superscript"/>
        </w:rPr>
        <w:t>th</w:t>
      </w:r>
      <w:r w:rsidR="003664BA">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055735">
        <w:rPr>
          <w:rFonts w:ascii="Times New Roman" w:hAnsi="Times New Roman" w:cs="Times New Roman"/>
          <w:sz w:val="24"/>
          <w:szCs w:val="24"/>
        </w:rPr>
        <w:t>cell phone</w:t>
      </w:r>
      <w:r>
        <w:rPr>
          <w:rFonts w:ascii="Times New Roman" w:hAnsi="Times New Roman" w:cs="Times New Roman"/>
          <w:sz w:val="24"/>
          <w:szCs w:val="24"/>
        </w:rPr>
        <w:t xml:space="preserve"> was missing. On the same day the </w:t>
      </w:r>
      <w:r w:rsidR="00055735">
        <w:rPr>
          <w:rFonts w:ascii="Times New Roman" w:hAnsi="Times New Roman" w:cs="Times New Roman"/>
          <w:sz w:val="24"/>
          <w:szCs w:val="24"/>
        </w:rPr>
        <w:t>cell phone</w:t>
      </w:r>
      <w:r>
        <w:rPr>
          <w:rFonts w:ascii="Times New Roman" w:hAnsi="Times New Roman" w:cs="Times New Roman"/>
          <w:sz w:val="24"/>
          <w:szCs w:val="24"/>
        </w:rPr>
        <w:t xml:space="preserve"> was found in </w:t>
      </w:r>
      <w:r w:rsidR="00055735">
        <w:rPr>
          <w:rFonts w:ascii="Times New Roman" w:hAnsi="Times New Roman" w:cs="Times New Roman"/>
          <w:sz w:val="24"/>
          <w:szCs w:val="24"/>
        </w:rPr>
        <w:t>appellant’s</w:t>
      </w:r>
      <w:r>
        <w:rPr>
          <w:rFonts w:ascii="Times New Roman" w:hAnsi="Times New Roman" w:cs="Times New Roman"/>
          <w:sz w:val="24"/>
          <w:szCs w:val="24"/>
        </w:rPr>
        <w:t xml:space="preserve"> possession. It is valued at US$666-00 and was recovered.  </w:t>
      </w:r>
    </w:p>
    <w:p w:rsidR="000B3823" w:rsidRDefault="00FD1F27"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26 February 2019 the appellant who was legally represented pleaded guilty to all 4 counts. There was a fifth count which was count 2 but the state withdrew that second charge before appellant had pleaded. He was found guilty as pleaded</w:t>
      </w:r>
      <w:r w:rsidR="00EC0E1E">
        <w:rPr>
          <w:rFonts w:ascii="Times New Roman" w:hAnsi="Times New Roman" w:cs="Times New Roman"/>
          <w:sz w:val="24"/>
          <w:szCs w:val="24"/>
        </w:rPr>
        <w:t xml:space="preserve"> for the 4 counts</w:t>
      </w:r>
      <w:r>
        <w:rPr>
          <w:rFonts w:ascii="Times New Roman" w:hAnsi="Times New Roman" w:cs="Times New Roman"/>
          <w:sz w:val="24"/>
          <w:szCs w:val="24"/>
        </w:rPr>
        <w:t xml:space="preserve">. After the appellant had been sentenced, he successfully applied for bail pending appeal </w:t>
      </w:r>
      <w:r w:rsidR="00AE68C0">
        <w:rPr>
          <w:rFonts w:ascii="Times New Roman" w:hAnsi="Times New Roman" w:cs="Times New Roman"/>
          <w:sz w:val="24"/>
          <w:szCs w:val="24"/>
        </w:rPr>
        <w:t>and he is out of custody.</w:t>
      </w:r>
    </w:p>
    <w:p w:rsidR="002C194E" w:rsidRDefault="003664BA"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w:t>
      </w:r>
      <w:r w:rsidR="00AE68C0">
        <w:rPr>
          <w:rFonts w:ascii="Times New Roman" w:hAnsi="Times New Roman" w:cs="Times New Roman"/>
          <w:sz w:val="24"/>
          <w:szCs w:val="24"/>
        </w:rPr>
        <w:t xml:space="preserve">, was attending university at the time he committed the offence. He is a first offender and has been expelled from Africa University. Mrs </w:t>
      </w:r>
      <w:r w:rsidR="00AE68C0">
        <w:rPr>
          <w:rFonts w:ascii="Times New Roman" w:hAnsi="Times New Roman" w:cs="Times New Roman"/>
          <w:i/>
          <w:sz w:val="24"/>
          <w:szCs w:val="24"/>
        </w:rPr>
        <w:t>Mandingwa</w:t>
      </w:r>
      <w:r w:rsidR="00AE68C0">
        <w:rPr>
          <w:rFonts w:ascii="Times New Roman" w:hAnsi="Times New Roman" w:cs="Times New Roman"/>
          <w:sz w:val="24"/>
          <w:szCs w:val="24"/>
        </w:rPr>
        <w:t xml:space="preserve">, for the appellant </w:t>
      </w:r>
      <w:r w:rsidR="00AE68C0">
        <w:rPr>
          <w:rFonts w:ascii="Times New Roman" w:hAnsi="Times New Roman" w:cs="Times New Roman"/>
          <w:sz w:val="24"/>
          <w:szCs w:val="24"/>
        </w:rPr>
        <w:lastRenderedPageBreak/>
        <w:t xml:space="preserve">submitted that the sentence imposed by the court </w:t>
      </w:r>
      <w:r w:rsidR="00AE68C0">
        <w:rPr>
          <w:rFonts w:ascii="Times New Roman" w:hAnsi="Times New Roman" w:cs="Times New Roman"/>
          <w:i/>
          <w:sz w:val="24"/>
          <w:szCs w:val="24"/>
        </w:rPr>
        <w:t>a quo</w:t>
      </w:r>
      <w:r w:rsidR="00AA324D">
        <w:rPr>
          <w:rFonts w:ascii="Times New Roman" w:hAnsi="Times New Roman" w:cs="Times New Roman"/>
          <w:sz w:val="24"/>
          <w:szCs w:val="24"/>
        </w:rPr>
        <w:t xml:space="preserve"> is man</w:t>
      </w:r>
      <w:r w:rsidR="00AE68C0">
        <w:rPr>
          <w:rFonts w:ascii="Times New Roman" w:hAnsi="Times New Roman" w:cs="Times New Roman"/>
          <w:sz w:val="24"/>
          <w:szCs w:val="24"/>
        </w:rPr>
        <w:t>ifestly excessive and that it induces a sense of shock given the mitigatory factors in favour of the appellant. She further submitted that where a statute provides for a fine or imprisonment, the sentencing court should first consider the imposition of a fine</w:t>
      </w:r>
      <w:r w:rsidR="002241AA">
        <w:rPr>
          <w:rStyle w:val="FootnoteReference"/>
          <w:rFonts w:ascii="Times New Roman" w:hAnsi="Times New Roman" w:cs="Times New Roman"/>
          <w:sz w:val="24"/>
          <w:szCs w:val="24"/>
        </w:rPr>
        <w:footnoteReference w:id="1"/>
      </w:r>
      <w:r w:rsidR="00AE68C0">
        <w:rPr>
          <w:rFonts w:ascii="Times New Roman" w:hAnsi="Times New Roman" w:cs="Times New Roman"/>
          <w:sz w:val="24"/>
          <w:szCs w:val="24"/>
        </w:rPr>
        <w:t xml:space="preserve"> and where the court decides against imposing such a fine it ought to record reasons for such. Where such reasons are not availed, that would amount to a misdirection, it was contended. The appellant added that the court </w:t>
      </w:r>
      <w:r w:rsidR="00AE68C0">
        <w:rPr>
          <w:rFonts w:ascii="Times New Roman" w:hAnsi="Times New Roman" w:cs="Times New Roman"/>
          <w:i/>
          <w:sz w:val="24"/>
          <w:szCs w:val="24"/>
        </w:rPr>
        <w:t>a quo</w:t>
      </w:r>
      <w:r w:rsidR="00AE68C0">
        <w:rPr>
          <w:rFonts w:ascii="Times New Roman" w:hAnsi="Times New Roman" w:cs="Times New Roman"/>
          <w:sz w:val="24"/>
          <w:szCs w:val="24"/>
        </w:rPr>
        <w:t xml:space="preserve"> did not conduct a meaningful enquiry as to the appropriateness or otherwise of a fine or community service moreso where appellant was a first offender. To the app</w:t>
      </w:r>
      <w:r w:rsidR="00F04378">
        <w:rPr>
          <w:rFonts w:ascii="Times New Roman" w:hAnsi="Times New Roman" w:cs="Times New Roman"/>
          <w:sz w:val="24"/>
          <w:szCs w:val="24"/>
        </w:rPr>
        <w:t>ellant there was need to hold an</w:t>
      </w:r>
      <w:r w:rsidR="00AE68C0">
        <w:rPr>
          <w:rFonts w:ascii="Times New Roman" w:hAnsi="Times New Roman" w:cs="Times New Roman"/>
          <w:sz w:val="24"/>
          <w:szCs w:val="24"/>
        </w:rPr>
        <w:t xml:space="preserve"> enquiry to see whether or not community service was appropriate</w:t>
      </w:r>
      <w:r w:rsidR="00C2168C">
        <w:rPr>
          <w:rStyle w:val="FootnoteReference"/>
          <w:rFonts w:ascii="Times New Roman" w:hAnsi="Times New Roman" w:cs="Times New Roman"/>
          <w:sz w:val="24"/>
          <w:szCs w:val="24"/>
        </w:rPr>
        <w:footnoteReference w:id="2"/>
      </w:r>
      <w:r w:rsidR="00AE68C0">
        <w:rPr>
          <w:rFonts w:ascii="Times New Roman" w:hAnsi="Times New Roman" w:cs="Times New Roman"/>
          <w:sz w:val="24"/>
          <w:szCs w:val="24"/>
        </w:rPr>
        <w:t xml:space="preserve"> and the appellant submitted that it is mandatory for a trial magistrate who has settled for an effective prison term of 24 months or less to conduct such an enquiry into the suitability of community service in respect of first offender.</w:t>
      </w:r>
    </w:p>
    <w:p w:rsidR="00AE68C0" w:rsidRDefault="002C194E"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further submitted that the court </w:t>
      </w:r>
      <w:r>
        <w:rPr>
          <w:rFonts w:ascii="Times New Roman" w:hAnsi="Times New Roman" w:cs="Times New Roman"/>
          <w:i/>
          <w:sz w:val="24"/>
          <w:szCs w:val="24"/>
        </w:rPr>
        <w:t>a quo</w:t>
      </w:r>
      <w:r>
        <w:rPr>
          <w:rFonts w:ascii="Times New Roman" w:hAnsi="Times New Roman" w:cs="Times New Roman"/>
          <w:sz w:val="24"/>
          <w:szCs w:val="24"/>
        </w:rPr>
        <w:t xml:space="preserve"> failed to factor in personal mitigatory</w:t>
      </w:r>
      <w:r w:rsidR="00731362">
        <w:rPr>
          <w:rFonts w:ascii="Times New Roman" w:hAnsi="Times New Roman" w:cs="Times New Roman"/>
          <w:sz w:val="24"/>
          <w:szCs w:val="24"/>
        </w:rPr>
        <w:t xml:space="preserve"> factors </w:t>
      </w:r>
      <w:r w:rsidR="009C51C3">
        <w:rPr>
          <w:rFonts w:ascii="Times New Roman" w:hAnsi="Times New Roman" w:cs="Times New Roman"/>
          <w:sz w:val="24"/>
          <w:szCs w:val="24"/>
        </w:rPr>
        <w:t>proffered</w:t>
      </w:r>
      <w:r w:rsidR="00731362">
        <w:rPr>
          <w:rFonts w:ascii="Times New Roman" w:hAnsi="Times New Roman" w:cs="Times New Roman"/>
          <w:sz w:val="24"/>
          <w:szCs w:val="24"/>
        </w:rPr>
        <w:t xml:space="preserve"> by the appellant and the court failed to adopt a rational approach towards sentencing which requires it to have adequate information before it passes sentence</w:t>
      </w:r>
      <w:r w:rsidR="00731362">
        <w:rPr>
          <w:rStyle w:val="FootnoteReference"/>
          <w:rFonts w:ascii="Times New Roman" w:hAnsi="Times New Roman" w:cs="Times New Roman"/>
          <w:sz w:val="24"/>
          <w:szCs w:val="24"/>
        </w:rPr>
        <w:footnoteReference w:id="3"/>
      </w:r>
      <w:r w:rsidR="00731362">
        <w:rPr>
          <w:rFonts w:ascii="Times New Roman" w:hAnsi="Times New Roman" w:cs="Times New Roman"/>
          <w:sz w:val="24"/>
          <w:szCs w:val="24"/>
        </w:rPr>
        <w:t xml:space="preserve">. It was not enough </w:t>
      </w:r>
      <w:r w:rsidR="009C51C3">
        <w:rPr>
          <w:rFonts w:ascii="Times New Roman" w:hAnsi="Times New Roman" w:cs="Times New Roman"/>
          <w:sz w:val="24"/>
          <w:szCs w:val="24"/>
        </w:rPr>
        <w:t>for</w:t>
      </w:r>
      <w:r w:rsidR="00731362">
        <w:rPr>
          <w:rFonts w:ascii="Times New Roman" w:hAnsi="Times New Roman" w:cs="Times New Roman"/>
          <w:sz w:val="24"/>
          <w:szCs w:val="24"/>
        </w:rPr>
        <w:t xml:space="preserve"> the court to simply state that a fine </w:t>
      </w:r>
      <w:r w:rsidR="009C51C3">
        <w:rPr>
          <w:rFonts w:ascii="Times New Roman" w:hAnsi="Times New Roman" w:cs="Times New Roman"/>
          <w:sz w:val="24"/>
          <w:szCs w:val="24"/>
        </w:rPr>
        <w:t>or</w:t>
      </w:r>
      <w:r w:rsidR="00731362">
        <w:rPr>
          <w:rFonts w:ascii="Times New Roman" w:hAnsi="Times New Roman" w:cs="Times New Roman"/>
          <w:sz w:val="24"/>
          <w:szCs w:val="24"/>
        </w:rPr>
        <w:t xml:space="preserve"> community service would trivialise the offence, it w</w:t>
      </w:r>
      <w:r w:rsidR="002313A0">
        <w:rPr>
          <w:rFonts w:ascii="Times New Roman" w:hAnsi="Times New Roman" w:cs="Times New Roman"/>
          <w:sz w:val="24"/>
          <w:szCs w:val="24"/>
        </w:rPr>
        <w:t>as submitted by the appellant. T</w:t>
      </w:r>
      <w:r w:rsidR="00731362">
        <w:rPr>
          <w:rFonts w:ascii="Times New Roman" w:hAnsi="Times New Roman" w:cs="Times New Roman"/>
          <w:sz w:val="24"/>
          <w:szCs w:val="24"/>
        </w:rPr>
        <w:t xml:space="preserve">he appellant added that the trial </w:t>
      </w:r>
      <w:r w:rsidR="009C51C3">
        <w:rPr>
          <w:rFonts w:ascii="Times New Roman" w:hAnsi="Times New Roman" w:cs="Times New Roman"/>
          <w:sz w:val="24"/>
          <w:szCs w:val="24"/>
        </w:rPr>
        <w:t>court</w:t>
      </w:r>
      <w:r w:rsidR="00731362">
        <w:rPr>
          <w:rFonts w:ascii="Times New Roman" w:hAnsi="Times New Roman" w:cs="Times New Roman"/>
          <w:sz w:val="24"/>
          <w:szCs w:val="24"/>
        </w:rPr>
        <w:t xml:space="preserve"> did not put credence or value to the </w:t>
      </w:r>
      <w:r w:rsidR="009C51C3">
        <w:rPr>
          <w:rFonts w:ascii="Times New Roman" w:hAnsi="Times New Roman" w:cs="Times New Roman"/>
          <w:sz w:val="24"/>
          <w:szCs w:val="24"/>
        </w:rPr>
        <w:t>plea</w:t>
      </w:r>
      <w:r w:rsidR="00731362">
        <w:rPr>
          <w:rFonts w:ascii="Times New Roman" w:hAnsi="Times New Roman" w:cs="Times New Roman"/>
          <w:sz w:val="24"/>
          <w:szCs w:val="24"/>
        </w:rPr>
        <w:t xml:space="preserve"> of guilty tendered by the appellant</w:t>
      </w:r>
      <w:r w:rsidR="00731362">
        <w:rPr>
          <w:rStyle w:val="FootnoteReference"/>
          <w:rFonts w:ascii="Times New Roman" w:hAnsi="Times New Roman" w:cs="Times New Roman"/>
          <w:sz w:val="24"/>
          <w:szCs w:val="24"/>
        </w:rPr>
        <w:footnoteReference w:id="4"/>
      </w:r>
      <w:r w:rsidR="00731362">
        <w:rPr>
          <w:rFonts w:ascii="Times New Roman" w:hAnsi="Times New Roman" w:cs="Times New Roman"/>
          <w:sz w:val="24"/>
          <w:szCs w:val="24"/>
        </w:rPr>
        <w:t xml:space="preserve"> as well as the personal circumstances of the appellant</w:t>
      </w:r>
      <w:r w:rsidR="00731362">
        <w:rPr>
          <w:rStyle w:val="FootnoteReference"/>
          <w:rFonts w:ascii="Times New Roman" w:hAnsi="Times New Roman" w:cs="Times New Roman"/>
          <w:sz w:val="24"/>
          <w:szCs w:val="24"/>
        </w:rPr>
        <w:footnoteReference w:id="5"/>
      </w:r>
      <w:r w:rsidR="00AE68C0">
        <w:rPr>
          <w:rFonts w:ascii="Times New Roman" w:hAnsi="Times New Roman" w:cs="Times New Roman"/>
          <w:i/>
          <w:sz w:val="24"/>
          <w:szCs w:val="24"/>
        </w:rPr>
        <w:t xml:space="preserve"> </w:t>
      </w:r>
      <w:r w:rsidR="009C51C3">
        <w:rPr>
          <w:rFonts w:ascii="Times New Roman" w:hAnsi="Times New Roman" w:cs="Times New Roman"/>
          <w:sz w:val="24"/>
          <w:szCs w:val="24"/>
        </w:rPr>
        <w:t>this would be more befitting where the appellant was a first offender.</w:t>
      </w:r>
      <w:r w:rsidR="009C51C3">
        <w:rPr>
          <w:rStyle w:val="FootnoteReference"/>
          <w:rFonts w:ascii="Times New Roman" w:hAnsi="Times New Roman" w:cs="Times New Roman"/>
          <w:sz w:val="24"/>
          <w:szCs w:val="24"/>
        </w:rPr>
        <w:footnoteReference w:id="6"/>
      </w:r>
      <w:r w:rsidR="00652393">
        <w:rPr>
          <w:rFonts w:ascii="Times New Roman" w:hAnsi="Times New Roman" w:cs="Times New Roman"/>
          <w:sz w:val="24"/>
          <w:szCs w:val="24"/>
        </w:rPr>
        <w:t xml:space="preserve"> The court </w:t>
      </w:r>
      <w:r w:rsidR="00652393">
        <w:rPr>
          <w:rFonts w:ascii="Times New Roman" w:hAnsi="Times New Roman" w:cs="Times New Roman"/>
          <w:i/>
          <w:sz w:val="24"/>
          <w:szCs w:val="24"/>
        </w:rPr>
        <w:t>a quo</w:t>
      </w:r>
      <w:r w:rsidR="00652393">
        <w:rPr>
          <w:rFonts w:ascii="Times New Roman" w:hAnsi="Times New Roman" w:cs="Times New Roman"/>
          <w:sz w:val="24"/>
          <w:szCs w:val="24"/>
        </w:rPr>
        <w:t xml:space="preserve"> is alleged to have over-emphasised the need for deterrence</w:t>
      </w:r>
      <w:r w:rsidR="00652393">
        <w:rPr>
          <w:rStyle w:val="FootnoteReference"/>
          <w:rFonts w:ascii="Times New Roman" w:hAnsi="Times New Roman" w:cs="Times New Roman"/>
          <w:sz w:val="24"/>
          <w:szCs w:val="24"/>
        </w:rPr>
        <w:footnoteReference w:id="7"/>
      </w:r>
      <w:r w:rsidR="00652393">
        <w:rPr>
          <w:rFonts w:ascii="Times New Roman" w:hAnsi="Times New Roman" w:cs="Times New Roman"/>
          <w:sz w:val="24"/>
          <w:szCs w:val="24"/>
        </w:rPr>
        <w:t xml:space="preserve"> in order to pass a custodial sentence. Appellant contended that imprisonment is a rigorous and draconian form of punishment which has a destructive consequence on an offender especially a first youthful offender and must be resorted to in extremely exceptional circumstances. A judicial officer has to strike a balance between the competing interests of the soc</w:t>
      </w:r>
      <w:r w:rsidR="00140043">
        <w:rPr>
          <w:rFonts w:ascii="Times New Roman" w:hAnsi="Times New Roman" w:cs="Times New Roman"/>
          <w:sz w:val="24"/>
          <w:szCs w:val="24"/>
        </w:rPr>
        <w:t xml:space="preserve">iety and that of the offender, </w:t>
      </w:r>
      <w:r w:rsidR="00652393">
        <w:rPr>
          <w:rFonts w:ascii="Times New Roman" w:hAnsi="Times New Roman" w:cs="Times New Roman"/>
          <w:sz w:val="24"/>
          <w:szCs w:val="24"/>
        </w:rPr>
        <w:t xml:space="preserve">it was </w:t>
      </w:r>
      <w:r w:rsidR="001E65EE">
        <w:rPr>
          <w:rFonts w:ascii="Times New Roman" w:hAnsi="Times New Roman" w:cs="Times New Roman"/>
          <w:sz w:val="24"/>
          <w:szCs w:val="24"/>
        </w:rPr>
        <w:t>argued.</w:t>
      </w:r>
      <w:r w:rsidR="001E65EE">
        <w:rPr>
          <w:rStyle w:val="FootnoteReference"/>
          <w:rFonts w:ascii="Times New Roman" w:hAnsi="Times New Roman" w:cs="Times New Roman"/>
          <w:sz w:val="24"/>
          <w:szCs w:val="24"/>
        </w:rPr>
        <w:footnoteReference w:id="8"/>
      </w:r>
      <w:r w:rsidR="00CE1D3D">
        <w:rPr>
          <w:rFonts w:ascii="Times New Roman" w:hAnsi="Times New Roman" w:cs="Times New Roman"/>
          <w:sz w:val="24"/>
          <w:szCs w:val="24"/>
        </w:rPr>
        <w:t xml:space="preserve"> The punishment to be imposed must fit both crime and the offender, it was further submitted. Appellant urged the </w:t>
      </w:r>
      <w:r w:rsidR="00434274">
        <w:rPr>
          <w:rFonts w:ascii="Times New Roman" w:hAnsi="Times New Roman" w:cs="Times New Roman"/>
          <w:sz w:val="24"/>
          <w:szCs w:val="24"/>
        </w:rPr>
        <w:t>court</w:t>
      </w:r>
      <w:r w:rsidR="00CE1D3D">
        <w:rPr>
          <w:rFonts w:ascii="Times New Roman" w:hAnsi="Times New Roman" w:cs="Times New Roman"/>
          <w:sz w:val="24"/>
          <w:szCs w:val="24"/>
        </w:rPr>
        <w:t xml:space="preserve"> to embrace change in sentencing </w:t>
      </w:r>
      <w:r w:rsidR="00CE1D3D">
        <w:rPr>
          <w:rFonts w:ascii="Times New Roman" w:hAnsi="Times New Roman" w:cs="Times New Roman"/>
          <w:sz w:val="24"/>
          <w:szCs w:val="24"/>
        </w:rPr>
        <w:lastRenderedPageBreak/>
        <w:t xml:space="preserve">patterns and appellant </w:t>
      </w:r>
      <w:r w:rsidR="00434274">
        <w:rPr>
          <w:rFonts w:ascii="Times New Roman" w:hAnsi="Times New Roman" w:cs="Times New Roman"/>
          <w:sz w:val="24"/>
          <w:szCs w:val="24"/>
        </w:rPr>
        <w:t>contended</w:t>
      </w:r>
      <w:r w:rsidR="00CE1D3D">
        <w:rPr>
          <w:rFonts w:ascii="Times New Roman" w:hAnsi="Times New Roman" w:cs="Times New Roman"/>
          <w:sz w:val="24"/>
          <w:szCs w:val="24"/>
        </w:rPr>
        <w:t xml:space="preserve"> that the court </w:t>
      </w:r>
      <w:r w:rsidR="00CE1D3D">
        <w:rPr>
          <w:rFonts w:ascii="Times New Roman" w:hAnsi="Times New Roman" w:cs="Times New Roman"/>
          <w:i/>
          <w:sz w:val="24"/>
          <w:szCs w:val="24"/>
        </w:rPr>
        <w:t>a quo</w:t>
      </w:r>
      <w:r w:rsidR="00CE1D3D">
        <w:rPr>
          <w:rFonts w:ascii="Times New Roman" w:hAnsi="Times New Roman" w:cs="Times New Roman"/>
          <w:sz w:val="24"/>
          <w:szCs w:val="24"/>
        </w:rPr>
        <w:t xml:space="preserve"> </w:t>
      </w:r>
      <w:r w:rsidR="00434274">
        <w:rPr>
          <w:rFonts w:ascii="Times New Roman" w:hAnsi="Times New Roman" w:cs="Times New Roman"/>
          <w:sz w:val="24"/>
          <w:szCs w:val="24"/>
        </w:rPr>
        <w:t>misdirected</w:t>
      </w:r>
      <w:r w:rsidR="0030402F">
        <w:rPr>
          <w:rFonts w:ascii="Times New Roman" w:hAnsi="Times New Roman" w:cs="Times New Roman"/>
          <w:sz w:val="24"/>
          <w:szCs w:val="24"/>
        </w:rPr>
        <w:t xml:space="preserve"> itself when</w:t>
      </w:r>
      <w:r w:rsidR="00CE1D3D">
        <w:rPr>
          <w:rFonts w:ascii="Times New Roman" w:hAnsi="Times New Roman" w:cs="Times New Roman"/>
          <w:sz w:val="24"/>
          <w:szCs w:val="24"/>
        </w:rPr>
        <w:t xml:space="preserve"> it failed to consider community service, the twelve months imposed on the appellant </w:t>
      </w:r>
      <w:r w:rsidR="006F4DED">
        <w:rPr>
          <w:rFonts w:ascii="Times New Roman" w:hAnsi="Times New Roman" w:cs="Times New Roman"/>
          <w:sz w:val="24"/>
          <w:szCs w:val="24"/>
        </w:rPr>
        <w:t>should have</w:t>
      </w:r>
      <w:r w:rsidR="00CE1D3D">
        <w:rPr>
          <w:rFonts w:ascii="Times New Roman" w:hAnsi="Times New Roman" w:cs="Times New Roman"/>
          <w:sz w:val="24"/>
          <w:szCs w:val="24"/>
        </w:rPr>
        <w:t xml:space="preserve">, automatically attracted community service particularly given the age of the appellant. The appellant prays that the sentence passed by the court </w:t>
      </w:r>
      <w:r w:rsidR="00CE1D3D">
        <w:rPr>
          <w:rFonts w:ascii="Times New Roman" w:hAnsi="Times New Roman" w:cs="Times New Roman"/>
          <w:i/>
          <w:sz w:val="24"/>
          <w:szCs w:val="24"/>
        </w:rPr>
        <w:t>a quo</w:t>
      </w:r>
      <w:r w:rsidR="00CE1D3D">
        <w:rPr>
          <w:rFonts w:ascii="Times New Roman" w:hAnsi="Times New Roman" w:cs="Times New Roman"/>
          <w:sz w:val="24"/>
          <w:szCs w:val="24"/>
        </w:rPr>
        <w:t xml:space="preserve"> be set aside and be substituted by a non-custodial sentence.  </w:t>
      </w:r>
    </w:p>
    <w:p w:rsidR="004E7AFD" w:rsidRDefault="006F4DED"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2244">
        <w:rPr>
          <w:rFonts w:ascii="Times New Roman" w:hAnsi="Times New Roman" w:cs="Times New Roman"/>
          <w:sz w:val="24"/>
          <w:szCs w:val="24"/>
        </w:rPr>
        <w:t xml:space="preserve">On the other hand the state has a different perception. Mrs </w:t>
      </w:r>
      <w:r w:rsidR="00E82244">
        <w:rPr>
          <w:rFonts w:ascii="Times New Roman" w:hAnsi="Times New Roman" w:cs="Times New Roman"/>
          <w:i/>
          <w:sz w:val="24"/>
          <w:szCs w:val="24"/>
        </w:rPr>
        <w:t>M</w:t>
      </w:r>
      <w:r w:rsidR="00352C88">
        <w:rPr>
          <w:rFonts w:ascii="Times New Roman" w:hAnsi="Times New Roman" w:cs="Times New Roman"/>
          <w:i/>
          <w:sz w:val="24"/>
          <w:szCs w:val="24"/>
        </w:rPr>
        <w:t>a</w:t>
      </w:r>
      <w:r w:rsidR="00E82244">
        <w:rPr>
          <w:rFonts w:ascii="Times New Roman" w:hAnsi="Times New Roman" w:cs="Times New Roman"/>
          <w:i/>
          <w:sz w:val="24"/>
          <w:szCs w:val="24"/>
        </w:rPr>
        <w:t>tsikidze</w:t>
      </w:r>
      <w:r w:rsidR="00E82244">
        <w:rPr>
          <w:rFonts w:ascii="Times New Roman" w:hAnsi="Times New Roman" w:cs="Times New Roman"/>
          <w:sz w:val="24"/>
          <w:szCs w:val="24"/>
        </w:rPr>
        <w:t xml:space="preserve"> submitted that there is no misdirection o</w:t>
      </w:r>
      <w:r w:rsidR="0006284A">
        <w:rPr>
          <w:rFonts w:ascii="Times New Roman" w:hAnsi="Times New Roman" w:cs="Times New Roman"/>
          <w:sz w:val="24"/>
          <w:szCs w:val="24"/>
        </w:rPr>
        <w:t>n</w:t>
      </w:r>
      <w:r w:rsidR="00E82244">
        <w:rPr>
          <w:rFonts w:ascii="Times New Roman" w:hAnsi="Times New Roman" w:cs="Times New Roman"/>
          <w:sz w:val="24"/>
          <w:szCs w:val="24"/>
        </w:rPr>
        <w:t xml:space="preserve"> the sentence imposed by the court </w:t>
      </w:r>
      <w:r w:rsidR="00E82244">
        <w:rPr>
          <w:rFonts w:ascii="Times New Roman" w:hAnsi="Times New Roman" w:cs="Times New Roman"/>
          <w:i/>
          <w:sz w:val="24"/>
          <w:szCs w:val="24"/>
        </w:rPr>
        <w:t>a quo</w:t>
      </w:r>
      <w:r w:rsidR="00E82244">
        <w:rPr>
          <w:rFonts w:ascii="Times New Roman" w:hAnsi="Times New Roman" w:cs="Times New Roman"/>
          <w:sz w:val="24"/>
          <w:szCs w:val="24"/>
        </w:rPr>
        <w:t xml:space="preserve">. The sentencing </w:t>
      </w:r>
      <w:r w:rsidR="00352C88">
        <w:rPr>
          <w:rFonts w:ascii="Times New Roman" w:hAnsi="Times New Roman" w:cs="Times New Roman"/>
          <w:sz w:val="24"/>
          <w:szCs w:val="24"/>
        </w:rPr>
        <w:t>process remains</w:t>
      </w:r>
      <w:r w:rsidR="00E82244">
        <w:rPr>
          <w:rFonts w:ascii="Times New Roman" w:hAnsi="Times New Roman" w:cs="Times New Roman"/>
          <w:sz w:val="24"/>
          <w:szCs w:val="24"/>
        </w:rPr>
        <w:t xml:space="preserve"> the domain of the </w:t>
      </w:r>
      <w:r w:rsidR="00352C88">
        <w:rPr>
          <w:rFonts w:ascii="Times New Roman" w:hAnsi="Times New Roman" w:cs="Times New Roman"/>
          <w:sz w:val="24"/>
          <w:szCs w:val="24"/>
        </w:rPr>
        <w:t>trial</w:t>
      </w:r>
      <w:r w:rsidR="00E82244">
        <w:rPr>
          <w:rFonts w:ascii="Times New Roman" w:hAnsi="Times New Roman" w:cs="Times New Roman"/>
          <w:sz w:val="24"/>
          <w:szCs w:val="24"/>
        </w:rPr>
        <w:t xml:space="preserve"> court.</w:t>
      </w:r>
      <w:r w:rsidR="00E82244">
        <w:rPr>
          <w:rStyle w:val="FootnoteReference"/>
          <w:rFonts w:ascii="Times New Roman" w:hAnsi="Times New Roman" w:cs="Times New Roman"/>
          <w:sz w:val="24"/>
          <w:szCs w:val="24"/>
        </w:rPr>
        <w:footnoteReference w:id="9"/>
      </w:r>
      <w:r w:rsidR="00352C88">
        <w:rPr>
          <w:rFonts w:ascii="Times New Roman" w:hAnsi="Times New Roman" w:cs="Times New Roman"/>
          <w:sz w:val="24"/>
          <w:szCs w:val="24"/>
        </w:rPr>
        <w:t xml:space="preserve"> </w:t>
      </w:r>
      <w:r w:rsidR="0053616A">
        <w:rPr>
          <w:rFonts w:ascii="Times New Roman" w:hAnsi="Times New Roman" w:cs="Times New Roman"/>
          <w:sz w:val="24"/>
          <w:szCs w:val="24"/>
        </w:rPr>
        <w:t>The</w:t>
      </w:r>
      <w:r w:rsidR="00352C88">
        <w:rPr>
          <w:rFonts w:ascii="Times New Roman" w:hAnsi="Times New Roman" w:cs="Times New Roman"/>
          <w:sz w:val="24"/>
          <w:szCs w:val="24"/>
        </w:rPr>
        <w:t xml:space="preserve"> state contended that superior courts ordinarily do not interfere with such discretion</w:t>
      </w:r>
      <w:r w:rsidR="00855DBA">
        <w:rPr>
          <w:rFonts w:ascii="Times New Roman" w:hAnsi="Times New Roman" w:cs="Times New Roman"/>
          <w:sz w:val="24"/>
          <w:szCs w:val="24"/>
        </w:rPr>
        <w:t xml:space="preserve"> </w:t>
      </w:r>
      <w:r w:rsidR="00CB17FA">
        <w:rPr>
          <w:rFonts w:ascii="Times New Roman" w:hAnsi="Times New Roman" w:cs="Times New Roman"/>
          <w:sz w:val="24"/>
          <w:szCs w:val="24"/>
        </w:rPr>
        <w:t xml:space="preserve">unless it can be shown that such discretion was not exercised judiciously. To the state nothing has been demonstrated by the appellant that the decision appealed against </w:t>
      </w:r>
      <w:r w:rsidR="00E31C77">
        <w:rPr>
          <w:rFonts w:ascii="Times New Roman" w:hAnsi="Times New Roman" w:cs="Times New Roman"/>
          <w:sz w:val="24"/>
          <w:szCs w:val="24"/>
        </w:rPr>
        <w:t>falls</w:t>
      </w:r>
      <w:r w:rsidR="00CB17FA">
        <w:rPr>
          <w:rFonts w:ascii="Times New Roman" w:hAnsi="Times New Roman" w:cs="Times New Roman"/>
          <w:sz w:val="24"/>
          <w:szCs w:val="24"/>
        </w:rPr>
        <w:t xml:space="preserve"> within this category. Mrs </w:t>
      </w:r>
      <w:r w:rsidR="00CB17FA">
        <w:rPr>
          <w:rFonts w:ascii="Times New Roman" w:hAnsi="Times New Roman" w:cs="Times New Roman"/>
          <w:i/>
          <w:sz w:val="24"/>
          <w:szCs w:val="24"/>
        </w:rPr>
        <w:t>Matsikidze</w:t>
      </w:r>
      <w:r w:rsidR="00CB17FA">
        <w:rPr>
          <w:rFonts w:ascii="Times New Roman" w:hAnsi="Times New Roman" w:cs="Times New Roman"/>
          <w:sz w:val="24"/>
          <w:szCs w:val="24"/>
        </w:rPr>
        <w:t xml:space="preserve"> in her submission highlighted the importance of an offender’s plea of guilty and the need for courts to keep youthful </w:t>
      </w:r>
      <w:r w:rsidR="00E31C77">
        <w:rPr>
          <w:rFonts w:ascii="Times New Roman" w:hAnsi="Times New Roman" w:cs="Times New Roman"/>
          <w:sz w:val="24"/>
          <w:szCs w:val="24"/>
        </w:rPr>
        <w:t>first</w:t>
      </w:r>
      <w:r w:rsidR="00CB17FA">
        <w:rPr>
          <w:rFonts w:ascii="Times New Roman" w:hAnsi="Times New Roman" w:cs="Times New Roman"/>
          <w:sz w:val="24"/>
          <w:szCs w:val="24"/>
        </w:rPr>
        <w:t xml:space="preserve"> offenders out of </w:t>
      </w:r>
      <w:r w:rsidR="00E31C77">
        <w:rPr>
          <w:rFonts w:ascii="Times New Roman" w:hAnsi="Times New Roman" w:cs="Times New Roman"/>
          <w:sz w:val="24"/>
          <w:szCs w:val="24"/>
        </w:rPr>
        <w:t>prison</w:t>
      </w:r>
      <w:r w:rsidR="00CB17FA">
        <w:rPr>
          <w:rFonts w:ascii="Times New Roman" w:hAnsi="Times New Roman" w:cs="Times New Roman"/>
          <w:sz w:val="24"/>
          <w:szCs w:val="24"/>
        </w:rPr>
        <w:t xml:space="preserve">. However, in this appeal </w:t>
      </w:r>
      <w:r w:rsidR="00E31C77">
        <w:rPr>
          <w:rFonts w:ascii="Times New Roman" w:hAnsi="Times New Roman" w:cs="Times New Roman"/>
          <w:sz w:val="24"/>
          <w:szCs w:val="24"/>
        </w:rPr>
        <w:t xml:space="preserve">the state feels the court </w:t>
      </w:r>
      <w:r w:rsidR="00CB17FA">
        <w:rPr>
          <w:rFonts w:ascii="Times New Roman" w:hAnsi="Times New Roman" w:cs="Times New Roman"/>
          <w:i/>
          <w:sz w:val="24"/>
          <w:szCs w:val="24"/>
        </w:rPr>
        <w:t>a quo</w:t>
      </w:r>
      <w:r w:rsidR="00CB17FA">
        <w:rPr>
          <w:rFonts w:ascii="Times New Roman" w:hAnsi="Times New Roman" w:cs="Times New Roman"/>
          <w:sz w:val="24"/>
          <w:szCs w:val="24"/>
        </w:rPr>
        <w:t xml:space="preserve">’s discretion was properly and </w:t>
      </w:r>
      <w:r w:rsidR="00E31C77">
        <w:rPr>
          <w:rFonts w:ascii="Times New Roman" w:hAnsi="Times New Roman" w:cs="Times New Roman"/>
          <w:sz w:val="24"/>
          <w:szCs w:val="24"/>
        </w:rPr>
        <w:t>judiciously</w:t>
      </w:r>
      <w:r w:rsidR="00CB17FA">
        <w:rPr>
          <w:rFonts w:ascii="Times New Roman" w:hAnsi="Times New Roman" w:cs="Times New Roman"/>
          <w:sz w:val="24"/>
          <w:szCs w:val="24"/>
        </w:rPr>
        <w:t xml:space="preserve"> exercised. </w:t>
      </w:r>
      <w:r w:rsidR="00E31C77">
        <w:rPr>
          <w:rFonts w:ascii="Times New Roman" w:hAnsi="Times New Roman" w:cs="Times New Roman"/>
          <w:sz w:val="24"/>
          <w:szCs w:val="24"/>
        </w:rPr>
        <w:t>The</w:t>
      </w:r>
      <w:r w:rsidR="00CB17FA">
        <w:rPr>
          <w:rFonts w:ascii="Times New Roman" w:hAnsi="Times New Roman" w:cs="Times New Roman"/>
          <w:sz w:val="24"/>
          <w:szCs w:val="24"/>
        </w:rPr>
        <w:t xml:space="preserve"> state agrees with the sentiments of the trial court that unlawful entry in aggravating </w:t>
      </w:r>
      <w:r w:rsidR="00E31C77">
        <w:rPr>
          <w:rFonts w:ascii="Times New Roman" w:hAnsi="Times New Roman" w:cs="Times New Roman"/>
          <w:sz w:val="24"/>
          <w:szCs w:val="24"/>
        </w:rPr>
        <w:t>circumstances</w:t>
      </w:r>
      <w:r w:rsidR="00CB17FA">
        <w:rPr>
          <w:rFonts w:ascii="Times New Roman" w:hAnsi="Times New Roman" w:cs="Times New Roman"/>
          <w:sz w:val="24"/>
          <w:szCs w:val="24"/>
        </w:rPr>
        <w:t xml:space="preserve"> cannot be trivialised by</w:t>
      </w:r>
      <w:r w:rsidR="008673AB">
        <w:rPr>
          <w:rFonts w:ascii="Times New Roman" w:hAnsi="Times New Roman" w:cs="Times New Roman"/>
          <w:sz w:val="24"/>
          <w:szCs w:val="24"/>
        </w:rPr>
        <w:t xml:space="preserve"> </w:t>
      </w:r>
      <w:r w:rsidR="00CF035E">
        <w:rPr>
          <w:rFonts w:ascii="Times New Roman" w:hAnsi="Times New Roman" w:cs="Times New Roman"/>
          <w:sz w:val="24"/>
          <w:szCs w:val="24"/>
        </w:rPr>
        <w:t>imposing a sentence of community service. To the state community service is not mandatory and should only be imposed where it meets the justice of the case and the principle of keeping first offenders out of prison remains a guiding principle to be applied with caution</w:t>
      </w:r>
      <w:r w:rsidR="00CF035E">
        <w:rPr>
          <w:rStyle w:val="FootnoteReference"/>
          <w:rFonts w:ascii="Times New Roman" w:hAnsi="Times New Roman" w:cs="Times New Roman"/>
          <w:sz w:val="24"/>
          <w:szCs w:val="24"/>
        </w:rPr>
        <w:footnoteReference w:id="10"/>
      </w:r>
      <w:r w:rsidR="00CF035E">
        <w:rPr>
          <w:rFonts w:ascii="Times New Roman" w:hAnsi="Times New Roman" w:cs="Times New Roman"/>
          <w:sz w:val="24"/>
          <w:szCs w:val="24"/>
        </w:rPr>
        <w:t>.</w:t>
      </w:r>
      <w:r w:rsidR="005047A6">
        <w:rPr>
          <w:rFonts w:ascii="Times New Roman" w:hAnsi="Times New Roman" w:cs="Times New Roman"/>
          <w:sz w:val="24"/>
          <w:szCs w:val="24"/>
        </w:rPr>
        <w:t xml:space="preserve"> The state went on to cite the matter of </w:t>
      </w:r>
      <w:r w:rsidR="005047A6">
        <w:rPr>
          <w:rFonts w:ascii="Times New Roman" w:hAnsi="Times New Roman" w:cs="Times New Roman"/>
          <w:i/>
          <w:sz w:val="24"/>
          <w:szCs w:val="24"/>
        </w:rPr>
        <w:t>S v Chiweshe</w:t>
      </w:r>
      <w:r w:rsidR="005047A6">
        <w:rPr>
          <w:rStyle w:val="FootnoteReference"/>
          <w:rFonts w:ascii="Times New Roman" w:hAnsi="Times New Roman" w:cs="Times New Roman"/>
          <w:i/>
          <w:sz w:val="24"/>
          <w:szCs w:val="24"/>
        </w:rPr>
        <w:footnoteReference w:id="11"/>
      </w:r>
      <w:r w:rsidR="00CF035E">
        <w:rPr>
          <w:rFonts w:ascii="Times New Roman" w:hAnsi="Times New Roman" w:cs="Times New Roman"/>
          <w:sz w:val="24"/>
          <w:szCs w:val="24"/>
        </w:rPr>
        <w:t xml:space="preserve"> </w:t>
      </w:r>
      <w:r w:rsidR="0014603F">
        <w:rPr>
          <w:rFonts w:ascii="Times New Roman" w:hAnsi="Times New Roman" w:cs="Times New Roman"/>
          <w:sz w:val="24"/>
          <w:szCs w:val="24"/>
        </w:rPr>
        <w:t xml:space="preserve">where the court held that it is actually a misdirection for a court to consider community service in more serious offences. The state </w:t>
      </w:r>
      <w:r w:rsidR="007C279D">
        <w:rPr>
          <w:rFonts w:ascii="Times New Roman" w:hAnsi="Times New Roman" w:cs="Times New Roman"/>
          <w:sz w:val="24"/>
          <w:szCs w:val="24"/>
        </w:rPr>
        <w:t xml:space="preserve">concluded its submission by stating that there is no basis for this court to interfere with the sentence passed as the appellant has not shown that the court </w:t>
      </w:r>
      <w:r w:rsidR="007C279D">
        <w:rPr>
          <w:rFonts w:ascii="Times New Roman" w:hAnsi="Times New Roman" w:cs="Times New Roman"/>
          <w:i/>
          <w:sz w:val="24"/>
          <w:szCs w:val="24"/>
        </w:rPr>
        <w:t>a quo</w:t>
      </w:r>
      <w:r w:rsidR="007C279D">
        <w:rPr>
          <w:rFonts w:ascii="Times New Roman" w:hAnsi="Times New Roman" w:cs="Times New Roman"/>
          <w:sz w:val="24"/>
          <w:szCs w:val="24"/>
        </w:rPr>
        <w:t xml:space="preserve"> misdirected itself in arriving at that sentence</w:t>
      </w:r>
      <w:r w:rsidR="007C279D">
        <w:rPr>
          <w:rStyle w:val="FootnoteReference"/>
          <w:rFonts w:ascii="Times New Roman" w:hAnsi="Times New Roman" w:cs="Times New Roman"/>
          <w:sz w:val="24"/>
          <w:szCs w:val="24"/>
        </w:rPr>
        <w:footnoteReference w:id="12"/>
      </w:r>
      <w:r w:rsidR="007443CB">
        <w:rPr>
          <w:rFonts w:ascii="Times New Roman" w:hAnsi="Times New Roman" w:cs="Times New Roman"/>
          <w:sz w:val="24"/>
          <w:szCs w:val="24"/>
        </w:rPr>
        <w:t xml:space="preserve">. The state prayed that the appeal be dismissed for lack of merit. </w:t>
      </w:r>
    </w:p>
    <w:p w:rsidR="006F4DED" w:rsidRDefault="004E7AFD" w:rsidP="000B3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counsel opened her heads of argument citing the judgment of </w:t>
      </w:r>
      <w:r w:rsidRPr="004E7AFD">
        <w:rPr>
          <w:rFonts w:ascii="Times New Roman" w:hAnsi="Times New Roman" w:cs="Times New Roman"/>
          <w:smallCaps/>
          <w:sz w:val="24"/>
          <w:szCs w:val="24"/>
        </w:rPr>
        <w:t>Mathonsi</w:t>
      </w:r>
      <w:r>
        <w:rPr>
          <w:rFonts w:ascii="Times New Roman" w:hAnsi="Times New Roman" w:cs="Times New Roman"/>
          <w:sz w:val="24"/>
          <w:szCs w:val="24"/>
        </w:rPr>
        <w:t xml:space="preserve"> J</w:t>
      </w:r>
      <w:r w:rsidR="00CB17FA">
        <w:rPr>
          <w:rFonts w:ascii="Times New Roman" w:hAnsi="Times New Roman" w:cs="Times New Roman"/>
          <w:sz w:val="24"/>
          <w:szCs w:val="24"/>
        </w:rPr>
        <w:t xml:space="preserve"> </w:t>
      </w:r>
      <w:r>
        <w:rPr>
          <w:rFonts w:ascii="Times New Roman" w:hAnsi="Times New Roman" w:cs="Times New Roman"/>
          <w:sz w:val="24"/>
          <w:szCs w:val="24"/>
        </w:rPr>
        <w:t xml:space="preserve">(as he then was) in the matter of </w:t>
      </w:r>
      <w:r>
        <w:rPr>
          <w:rFonts w:ascii="Times New Roman" w:hAnsi="Times New Roman" w:cs="Times New Roman"/>
          <w:i/>
          <w:sz w:val="24"/>
          <w:szCs w:val="24"/>
        </w:rPr>
        <w:t>S v Lameck</w:t>
      </w:r>
      <w:r w:rsidR="000D6667">
        <w:rPr>
          <w:rFonts w:ascii="Times New Roman" w:hAnsi="Times New Roman" w:cs="Times New Roman"/>
          <w:i/>
          <w:sz w:val="24"/>
          <w:szCs w:val="24"/>
        </w:rPr>
        <w:t xml:space="preserve"> </w:t>
      </w:r>
      <w:r>
        <w:rPr>
          <w:rFonts w:ascii="Times New Roman" w:hAnsi="Times New Roman" w:cs="Times New Roman"/>
          <w:i/>
          <w:sz w:val="24"/>
          <w:szCs w:val="24"/>
        </w:rPr>
        <w:t>Tshuma</w:t>
      </w:r>
      <w:r>
        <w:rPr>
          <w:rStyle w:val="FootnoteReference"/>
          <w:rFonts w:ascii="Times New Roman" w:hAnsi="Times New Roman" w:cs="Times New Roman"/>
          <w:i/>
          <w:sz w:val="24"/>
          <w:szCs w:val="24"/>
        </w:rPr>
        <w:footnoteReference w:id="13"/>
      </w:r>
      <w:r w:rsidR="00BF5979">
        <w:rPr>
          <w:rFonts w:ascii="Times New Roman" w:hAnsi="Times New Roman" w:cs="Times New Roman"/>
          <w:i/>
          <w:sz w:val="24"/>
          <w:szCs w:val="24"/>
        </w:rPr>
        <w:t xml:space="preserve"> </w:t>
      </w:r>
      <w:r w:rsidR="00BF5979">
        <w:rPr>
          <w:rFonts w:ascii="Times New Roman" w:hAnsi="Times New Roman" w:cs="Times New Roman"/>
          <w:sz w:val="24"/>
          <w:szCs w:val="24"/>
        </w:rPr>
        <w:t>where the learned judge remarked</w:t>
      </w:r>
      <w:r w:rsidR="007823FD">
        <w:rPr>
          <w:rFonts w:ascii="Times New Roman" w:hAnsi="Times New Roman" w:cs="Times New Roman"/>
          <w:sz w:val="24"/>
          <w:szCs w:val="24"/>
        </w:rPr>
        <w:t>:</w:t>
      </w:r>
    </w:p>
    <w:p w:rsidR="00D505B8" w:rsidRDefault="009F00DC" w:rsidP="00D505B8">
      <w:pPr>
        <w:spacing w:after="0" w:line="240" w:lineRule="auto"/>
        <w:ind w:left="720"/>
        <w:jc w:val="both"/>
        <w:rPr>
          <w:rFonts w:ascii="Times New Roman" w:hAnsi="Times New Roman" w:cs="Times New Roman"/>
          <w:szCs w:val="24"/>
        </w:rPr>
      </w:pPr>
      <w:r>
        <w:rPr>
          <w:rFonts w:ascii="Times New Roman" w:hAnsi="Times New Roman" w:cs="Times New Roman"/>
          <w:szCs w:val="24"/>
        </w:rPr>
        <w:t>“</w:t>
      </w:r>
      <w:r w:rsidR="00D505B8">
        <w:rPr>
          <w:rFonts w:ascii="Times New Roman" w:hAnsi="Times New Roman" w:cs="Times New Roman"/>
          <w:szCs w:val="24"/>
        </w:rPr>
        <w:t>The</w:t>
      </w:r>
      <w:r>
        <w:rPr>
          <w:rFonts w:ascii="Times New Roman" w:hAnsi="Times New Roman" w:cs="Times New Roman"/>
          <w:szCs w:val="24"/>
        </w:rPr>
        <w:t xml:space="preserve"> </w:t>
      </w:r>
      <w:r w:rsidR="00D505B8">
        <w:rPr>
          <w:rFonts w:ascii="Times New Roman" w:hAnsi="Times New Roman" w:cs="Times New Roman"/>
          <w:szCs w:val="24"/>
        </w:rPr>
        <w:t xml:space="preserve">trial magistrate must attempt </w:t>
      </w:r>
      <w:r>
        <w:rPr>
          <w:rFonts w:ascii="Times New Roman" w:hAnsi="Times New Roman" w:cs="Times New Roman"/>
          <w:szCs w:val="24"/>
        </w:rPr>
        <w:t xml:space="preserve">to grasp the guideline on that type of sentencing given in a line of cases coming out of the superior courts instead of just groping in the dark when there is a case law which binds him has settled </w:t>
      </w:r>
      <w:r w:rsidR="00D505B8">
        <w:rPr>
          <w:rFonts w:ascii="Times New Roman" w:hAnsi="Times New Roman" w:cs="Times New Roman"/>
          <w:szCs w:val="24"/>
        </w:rPr>
        <w:t xml:space="preserve">the </w:t>
      </w:r>
      <w:r>
        <w:rPr>
          <w:rFonts w:ascii="Times New Roman" w:hAnsi="Times New Roman" w:cs="Times New Roman"/>
          <w:szCs w:val="24"/>
        </w:rPr>
        <w:t xml:space="preserve">issue. See </w:t>
      </w:r>
      <w:r>
        <w:rPr>
          <w:rFonts w:ascii="Times New Roman" w:hAnsi="Times New Roman" w:cs="Times New Roman"/>
          <w:i/>
          <w:szCs w:val="24"/>
        </w:rPr>
        <w:t>S v Mabhena</w:t>
      </w:r>
      <w:r>
        <w:rPr>
          <w:rFonts w:ascii="Times New Roman" w:hAnsi="Times New Roman" w:cs="Times New Roman"/>
          <w:szCs w:val="24"/>
        </w:rPr>
        <w:t xml:space="preserve">, 1996 (1) ZLR 134 (H) 140, </w:t>
      </w:r>
      <w:r>
        <w:rPr>
          <w:rFonts w:ascii="Times New Roman" w:hAnsi="Times New Roman" w:cs="Times New Roman"/>
          <w:i/>
          <w:szCs w:val="24"/>
        </w:rPr>
        <w:lastRenderedPageBreak/>
        <w:t xml:space="preserve">S v Antonio and Others </w:t>
      </w:r>
      <w:r>
        <w:rPr>
          <w:rFonts w:ascii="Times New Roman" w:hAnsi="Times New Roman" w:cs="Times New Roman"/>
          <w:szCs w:val="24"/>
        </w:rPr>
        <w:t xml:space="preserve">1998 (2) ZLR 64 (H), </w:t>
      </w:r>
      <w:r>
        <w:rPr>
          <w:rFonts w:ascii="Times New Roman" w:hAnsi="Times New Roman" w:cs="Times New Roman"/>
          <w:i/>
          <w:szCs w:val="24"/>
        </w:rPr>
        <w:t xml:space="preserve">S v Chireyi and Others </w:t>
      </w:r>
      <w:r>
        <w:rPr>
          <w:rFonts w:ascii="Times New Roman" w:hAnsi="Times New Roman" w:cs="Times New Roman"/>
          <w:szCs w:val="24"/>
        </w:rPr>
        <w:t xml:space="preserve">2011 (1) ZLR 254 (H) 260. These authorities make it mandatory for a trial magistrate who has settled for an effective prison term of 24 months or less to inquire into the suitability of community service as a sentencing option in respect of a first offender. The magistrate simply has no choice and </w:t>
      </w:r>
      <w:r w:rsidR="00D505B8">
        <w:rPr>
          <w:rFonts w:ascii="Times New Roman" w:hAnsi="Times New Roman" w:cs="Times New Roman"/>
          <w:szCs w:val="24"/>
        </w:rPr>
        <w:t>cannot</w:t>
      </w:r>
      <w:r>
        <w:rPr>
          <w:rFonts w:ascii="Times New Roman" w:hAnsi="Times New Roman" w:cs="Times New Roman"/>
          <w:szCs w:val="24"/>
        </w:rPr>
        <w:t xml:space="preserve"> be heard to say he </w:t>
      </w:r>
      <w:r w:rsidR="00D505B8">
        <w:rPr>
          <w:rFonts w:ascii="Times New Roman" w:hAnsi="Times New Roman" w:cs="Times New Roman"/>
          <w:szCs w:val="24"/>
        </w:rPr>
        <w:t>did</w:t>
      </w:r>
      <w:r>
        <w:rPr>
          <w:rFonts w:ascii="Times New Roman" w:hAnsi="Times New Roman" w:cs="Times New Roman"/>
          <w:szCs w:val="24"/>
        </w:rPr>
        <w:t xml:space="preserve"> not consider community service as it would have trivialised the offence. This is not to say that the Magistrate may not opt out of the imposition of community service but everyone reading the record must be able to see that an enquiry </w:t>
      </w:r>
      <w:r w:rsidR="00D505B8">
        <w:rPr>
          <w:rFonts w:ascii="Times New Roman" w:hAnsi="Times New Roman" w:cs="Times New Roman"/>
          <w:szCs w:val="24"/>
        </w:rPr>
        <w:t>was</w:t>
      </w:r>
      <w:r>
        <w:rPr>
          <w:rFonts w:ascii="Times New Roman" w:hAnsi="Times New Roman" w:cs="Times New Roman"/>
          <w:szCs w:val="24"/>
        </w:rPr>
        <w:t xml:space="preserve"> conducted. If, following </w:t>
      </w:r>
      <w:r w:rsidR="00D505B8">
        <w:rPr>
          <w:rFonts w:ascii="Times New Roman" w:hAnsi="Times New Roman" w:cs="Times New Roman"/>
          <w:szCs w:val="24"/>
        </w:rPr>
        <w:t>such</w:t>
      </w:r>
      <w:r>
        <w:rPr>
          <w:rFonts w:ascii="Times New Roman" w:hAnsi="Times New Roman" w:cs="Times New Roman"/>
          <w:szCs w:val="24"/>
        </w:rPr>
        <w:t xml:space="preserve"> an enquiry, the magistrate comes to the conclusion that it is inappropriate, and that imprisonment is the proper sentence, he or she must give proper reasons for the decision which must also appear </w:t>
      </w:r>
      <w:r>
        <w:rPr>
          <w:rFonts w:ascii="Times New Roman" w:hAnsi="Times New Roman" w:cs="Times New Roman"/>
          <w:i/>
          <w:szCs w:val="24"/>
        </w:rPr>
        <w:t>ex facie</w:t>
      </w:r>
      <w:r>
        <w:rPr>
          <w:rFonts w:ascii="Times New Roman" w:hAnsi="Times New Roman" w:cs="Times New Roman"/>
          <w:szCs w:val="24"/>
        </w:rPr>
        <w:t xml:space="preserve"> the record. </w:t>
      </w:r>
      <w:r>
        <w:rPr>
          <w:rFonts w:ascii="Times New Roman" w:hAnsi="Times New Roman" w:cs="Times New Roman"/>
          <w:i/>
          <w:szCs w:val="24"/>
        </w:rPr>
        <w:t xml:space="preserve">State v Ndlovu </w:t>
      </w:r>
      <w:r>
        <w:rPr>
          <w:rFonts w:ascii="Times New Roman" w:hAnsi="Times New Roman" w:cs="Times New Roman"/>
          <w:szCs w:val="24"/>
        </w:rPr>
        <w:t>HB 267/16.”</w:t>
      </w:r>
    </w:p>
    <w:p w:rsidR="00D505B8" w:rsidRDefault="00D505B8" w:rsidP="007823FD">
      <w:pPr>
        <w:spacing w:after="0" w:line="240" w:lineRule="auto"/>
        <w:jc w:val="both"/>
        <w:rPr>
          <w:rFonts w:ascii="Times New Roman" w:hAnsi="Times New Roman" w:cs="Times New Roman"/>
          <w:szCs w:val="24"/>
        </w:rPr>
      </w:pPr>
    </w:p>
    <w:p w:rsidR="007823FD" w:rsidRDefault="009F00DC" w:rsidP="007823FD">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D505B8">
        <w:rPr>
          <w:rFonts w:ascii="Times New Roman" w:hAnsi="Times New Roman" w:cs="Times New Roman"/>
          <w:szCs w:val="24"/>
        </w:rPr>
        <w:tab/>
      </w:r>
      <w:r w:rsidR="00D505B8" w:rsidRPr="001C2889">
        <w:rPr>
          <w:rFonts w:ascii="Times New Roman" w:hAnsi="Times New Roman" w:cs="Times New Roman"/>
          <w:sz w:val="24"/>
          <w:szCs w:val="24"/>
        </w:rPr>
        <w:t xml:space="preserve">In the matter of </w:t>
      </w:r>
      <w:r w:rsidR="00D505B8" w:rsidRPr="001C2889">
        <w:rPr>
          <w:rFonts w:ascii="Times New Roman" w:hAnsi="Times New Roman" w:cs="Times New Roman"/>
          <w:i/>
          <w:sz w:val="24"/>
          <w:szCs w:val="24"/>
        </w:rPr>
        <w:t xml:space="preserve">Mabhena </w:t>
      </w:r>
      <w:r w:rsidR="00D505B8" w:rsidRPr="001C2889">
        <w:rPr>
          <w:rFonts w:ascii="Times New Roman" w:hAnsi="Times New Roman" w:cs="Times New Roman"/>
          <w:sz w:val="24"/>
          <w:szCs w:val="24"/>
        </w:rPr>
        <w:t>(</w:t>
      </w:r>
      <w:r w:rsidR="00D505B8" w:rsidRPr="001C2889">
        <w:rPr>
          <w:rFonts w:ascii="Times New Roman" w:hAnsi="Times New Roman" w:cs="Times New Roman"/>
          <w:i/>
          <w:sz w:val="24"/>
          <w:szCs w:val="24"/>
        </w:rPr>
        <w:t>supra</w:t>
      </w:r>
      <w:r w:rsidR="00D505B8" w:rsidRPr="001C2889">
        <w:rPr>
          <w:rFonts w:ascii="Times New Roman" w:hAnsi="Times New Roman" w:cs="Times New Roman"/>
          <w:sz w:val="24"/>
          <w:szCs w:val="24"/>
        </w:rPr>
        <w:t>) the court observed</w:t>
      </w:r>
      <w:r w:rsidR="00D505B8">
        <w:rPr>
          <w:rFonts w:ascii="Times New Roman" w:hAnsi="Times New Roman" w:cs="Times New Roman"/>
          <w:szCs w:val="24"/>
        </w:rPr>
        <w:t>:</w:t>
      </w:r>
    </w:p>
    <w:p w:rsidR="001C2889" w:rsidRDefault="001C2889" w:rsidP="007823FD">
      <w:pPr>
        <w:spacing w:after="0" w:line="240" w:lineRule="auto"/>
        <w:jc w:val="both"/>
        <w:rPr>
          <w:rFonts w:ascii="Times New Roman" w:hAnsi="Times New Roman" w:cs="Times New Roman"/>
          <w:szCs w:val="24"/>
        </w:rPr>
      </w:pPr>
      <w:r>
        <w:rPr>
          <w:rFonts w:ascii="Times New Roman" w:hAnsi="Times New Roman" w:cs="Times New Roman"/>
          <w:szCs w:val="24"/>
        </w:rPr>
        <w:tab/>
      </w:r>
    </w:p>
    <w:p w:rsidR="001C2889" w:rsidRPr="00D505B8" w:rsidRDefault="001C2889" w:rsidP="00047C58">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“Further it has been </w:t>
      </w:r>
      <w:r w:rsidR="00E70426">
        <w:rPr>
          <w:rFonts w:ascii="Times New Roman" w:hAnsi="Times New Roman" w:cs="Times New Roman"/>
          <w:szCs w:val="24"/>
        </w:rPr>
        <w:t xml:space="preserve">emphasized </w:t>
      </w:r>
      <w:r>
        <w:rPr>
          <w:rFonts w:ascii="Times New Roman" w:hAnsi="Times New Roman" w:cs="Times New Roman"/>
          <w:szCs w:val="24"/>
        </w:rPr>
        <w:t>by this court and the Supreme Court that an effective custodial sentence of imprisonment is a sever</w:t>
      </w:r>
      <w:r w:rsidR="00047C58">
        <w:rPr>
          <w:rFonts w:ascii="Times New Roman" w:hAnsi="Times New Roman" w:cs="Times New Roman"/>
          <w:szCs w:val="24"/>
        </w:rPr>
        <w:t>e</w:t>
      </w:r>
      <w:r>
        <w:rPr>
          <w:rFonts w:ascii="Times New Roman" w:hAnsi="Times New Roman" w:cs="Times New Roman"/>
          <w:szCs w:val="24"/>
        </w:rPr>
        <w:t xml:space="preserve"> and harsh form of punishment which should be imposed o</w:t>
      </w:r>
      <w:r w:rsidR="00047C58">
        <w:rPr>
          <w:rFonts w:ascii="Times New Roman" w:hAnsi="Times New Roman" w:cs="Times New Roman"/>
          <w:szCs w:val="24"/>
        </w:rPr>
        <w:t>n</w:t>
      </w:r>
      <w:r>
        <w:rPr>
          <w:rFonts w:ascii="Times New Roman" w:hAnsi="Times New Roman" w:cs="Times New Roman"/>
          <w:szCs w:val="24"/>
        </w:rPr>
        <w:t xml:space="preserve"> </w:t>
      </w:r>
      <w:r w:rsidR="00047C58">
        <w:rPr>
          <w:rFonts w:ascii="Times New Roman" w:hAnsi="Times New Roman" w:cs="Times New Roman"/>
          <w:szCs w:val="24"/>
        </w:rPr>
        <w:t>first</w:t>
      </w:r>
      <w:r>
        <w:rPr>
          <w:rFonts w:ascii="Times New Roman" w:hAnsi="Times New Roman" w:cs="Times New Roman"/>
          <w:szCs w:val="24"/>
        </w:rPr>
        <w:t xml:space="preserve"> offenders only if no other </w:t>
      </w:r>
      <w:r w:rsidR="00047C58">
        <w:rPr>
          <w:rFonts w:ascii="Times New Roman" w:hAnsi="Times New Roman" w:cs="Times New Roman"/>
          <w:szCs w:val="24"/>
        </w:rPr>
        <w:t>punishment</w:t>
      </w:r>
      <w:r>
        <w:rPr>
          <w:rFonts w:ascii="Times New Roman" w:hAnsi="Times New Roman" w:cs="Times New Roman"/>
          <w:szCs w:val="24"/>
        </w:rPr>
        <w:t xml:space="preserve"> would be appropriate. Needless to say there </w:t>
      </w:r>
      <w:r w:rsidR="00F83092">
        <w:rPr>
          <w:rFonts w:ascii="Times New Roman" w:hAnsi="Times New Roman" w:cs="Times New Roman"/>
          <w:szCs w:val="24"/>
        </w:rPr>
        <w:t>are certain</w:t>
      </w:r>
      <w:r w:rsidR="00047C58">
        <w:rPr>
          <w:rFonts w:ascii="Times New Roman" w:hAnsi="Times New Roman" w:cs="Times New Roman"/>
          <w:szCs w:val="24"/>
        </w:rPr>
        <w:t xml:space="preserve"> crimes which the foregoing does not only apply because of their nature and magnitude which necessitates the imposition of an effective term of imprisonment. </w:t>
      </w:r>
      <w:r w:rsidR="0044156C">
        <w:rPr>
          <w:rFonts w:ascii="Times New Roman" w:hAnsi="Times New Roman" w:cs="Times New Roman"/>
          <w:szCs w:val="24"/>
        </w:rPr>
        <w:t xml:space="preserve">Accordingly such </w:t>
      </w:r>
      <w:r w:rsidR="00E47433">
        <w:rPr>
          <w:rFonts w:ascii="Times New Roman" w:hAnsi="Times New Roman" w:cs="Times New Roman"/>
          <w:szCs w:val="24"/>
        </w:rPr>
        <w:t>serious</w:t>
      </w:r>
      <w:r w:rsidR="0044156C">
        <w:rPr>
          <w:rFonts w:ascii="Times New Roman" w:hAnsi="Times New Roman" w:cs="Times New Roman"/>
          <w:szCs w:val="24"/>
        </w:rPr>
        <w:t xml:space="preserve"> crimes as attempted murder, rape, attempted robbery, car thefts and aggravated type of assault with intent to cause </w:t>
      </w:r>
      <w:r w:rsidR="00E47433">
        <w:rPr>
          <w:rFonts w:ascii="Times New Roman" w:hAnsi="Times New Roman" w:cs="Times New Roman"/>
          <w:szCs w:val="24"/>
        </w:rPr>
        <w:t>grievous</w:t>
      </w:r>
      <w:r w:rsidR="0044156C">
        <w:rPr>
          <w:rFonts w:ascii="Times New Roman" w:hAnsi="Times New Roman" w:cs="Times New Roman"/>
          <w:szCs w:val="24"/>
        </w:rPr>
        <w:t xml:space="preserve"> bodily harm are examples of serious offences which generally </w:t>
      </w:r>
      <w:r w:rsidR="00E47433">
        <w:rPr>
          <w:rFonts w:ascii="Times New Roman" w:hAnsi="Times New Roman" w:cs="Times New Roman"/>
          <w:szCs w:val="24"/>
        </w:rPr>
        <w:t>magistrates</w:t>
      </w:r>
      <w:r w:rsidR="0044156C">
        <w:rPr>
          <w:rFonts w:ascii="Times New Roman" w:hAnsi="Times New Roman" w:cs="Times New Roman"/>
          <w:szCs w:val="24"/>
        </w:rPr>
        <w:t xml:space="preserve"> </w:t>
      </w:r>
      <w:r w:rsidR="00253619">
        <w:rPr>
          <w:rFonts w:ascii="Times New Roman" w:hAnsi="Times New Roman" w:cs="Times New Roman"/>
          <w:szCs w:val="24"/>
        </w:rPr>
        <w:t>have</w:t>
      </w:r>
      <w:r w:rsidR="00683E1F">
        <w:rPr>
          <w:rFonts w:ascii="Times New Roman" w:hAnsi="Times New Roman" w:cs="Times New Roman"/>
          <w:szCs w:val="24"/>
        </w:rPr>
        <w:t xml:space="preserve"> </w:t>
      </w:r>
      <w:r w:rsidR="0044156C">
        <w:rPr>
          <w:rFonts w:ascii="Times New Roman" w:hAnsi="Times New Roman" w:cs="Times New Roman"/>
          <w:szCs w:val="24"/>
        </w:rPr>
        <w:t xml:space="preserve">to impose an effective custodial term. Clearly fines, including those on </w:t>
      </w:r>
      <w:r w:rsidR="00E47433">
        <w:rPr>
          <w:rFonts w:ascii="Times New Roman" w:hAnsi="Times New Roman" w:cs="Times New Roman"/>
          <w:szCs w:val="24"/>
        </w:rPr>
        <w:t>conditions</w:t>
      </w:r>
      <w:r w:rsidR="0044156C">
        <w:rPr>
          <w:rFonts w:ascii="Times New Roman" w:hAnsi="Times New Roman" w:cs="Times New Roman"/>
          <w:szCs w:val="24"/>
        </w:rPr>
        <w:t xml:space="preserve"> of community service would normally be out of question </w:t>
      </w:r>
      <w:r w:rsidR="00E47433">
        <w:rPr>
          <w:rFonts w:ascii="Times New Roman" w:hAnsi="Times New Roman" w:cs="Times New Roman"/>
          <w:szCs w:val="24"/>
        </w:rPr>
        <w:t>for</w:t>
      </w:r>
      <w:r w:rsidR="0044156C">
        <w:rPr>
          <w:rFonts w:ascii="Times New Roman" w:hAnsi="Times New Roman" w:cs="Times New Roman"/>
          <w:szCs w:val="24"/>
        </w:rPr>
        <w:t xml:space="preserve"> them.”</w:t>
      </w:r>
      <w:r w:rsidR="0044156C">
        <w:rPr>
          <w:rStyle w:val="FootnoteReference"/>
          <w:rFonts w:ascii="Times New Roman" w:hAnsi="Times New Roman" w:cs="Times New Roman"/>
          <w:szCs w:val="24"/>
        </w:rPr>
        <w:footnoteReference w:id="14"/>
      </w:r>
    </w:p>
    <w:p w:rsidR="00C45898" w:rsidRDefault="00C45898" w:rsidP="00C45898">
      <w:pPr>
        <w:spacing w:after="0" w:line="360" w:lineRule="auto"/>
        <w:jc w:val="both"/>
        <w:rPr>
          <w:rFonts w:ascii="Times New Roman" w:hAnsi="Times New Roman" w:cs="Times New Roman"/>
          <w:sz w:val="24"/>
          <w:szCs w:val="24"/>
        </w:rPr>
      </w:pPr>
    </w:p>
    <w:p w:rsidR="00C45898" w:rsidRDefault="00C45898" w:rsidP="00C458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unlawful entry in aggravated circumstances cannot be classified as a genre of a serious offence which would not qualify for a sentence of community service in an appropriate case where all other factors have been befittingly considered.</w:t>
      </w:r>
    </w:p>
    <w:p w:rsidR="00C45898" w:rsidRDefault="00C45898" w:rsidP="00C458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w:t>
      </w:r>
      <w:r w:rsidR="0029566B">
        <w:rPr>
          <w:rFonts w:ascii="Times New Roman" w:hAnsi="Times New Roman" w:cs="Times New Roman"/>
          <w:sz w:val="24"/>
          <w:szCs w:val="24"/>
        </w:rPr>
        <w:t>ly</w:t>
      </w:r>
      <w:r>
        <w:rPr>
          <w:rFonts w:ascii="Times New Roman" w:hAnsi="Times New Roman" w:cs="Times New Roman"/>
          <w:sz w:val="24"/>
          <w:szCs w:val="24"/>
        </w:rPr>
        <w:t xml:space="preserve"> accepted approach by our courts dealing with a sentence of community service is to treat each case on its own peculiar perspective. The starting point is to see whether the offence is one which may qualify for community service or not</w:t>
      </w:r>
      <w:r w:rsidR="00BB3352">
        <w:rPr>
          <w:rFonts w:ascii="Times New Roman" w:hAnsi="Times New Roman" w:cs="Times New Roman"/>
          <w:sz w:val="24"/>
          <w:szCs w:val="24"/>
        </w:rPr>
        <w:t>,</w:t>
      </w:r>
      <w:r w:rsidR="004B65CF">
        <w:rPr>
          <w:rFonts w:ascii="Times New Roman" w:hAnsi="Times New Roman" w:cs="Times New Roman"/>
          <w:sz w:val="24"/>
          <w:szCs w:val="24"/>
        </w:rPr>
        <w:t xml:space="preserve"> i</w:t>
      </w:r>
      <w:r>
        <w:rPr>
          <w:rFonts w:ascii="Times New Roman" w:hAnsi="Times New Roman" w:cs="Times New Roman"/>
          <w:sz w:val="24"/>
          <w:szCs w:val="24"/>
        </w:rPr>
        <w:t>f the su</w:t>
      </w:r>
      <w:r w:rsidR="00894289">
        <w:rPr>
          <w:rFonts w:ascii="Times New Roman" w:hAnsi="Times New Roman" w:cs="Times New Roman"/>
          <w:sz w:val="24"/>
          <w:szCs w:val="24"/>
        </w:rPr>
        <w:t xml:space="preserve">bject offence </w:t>
      </w:r>
      <w:r w:rsidR="00FA59D2">
        <w:rPr>
          <w:rFonts w:ascii="Times New Roman" w:hAnsi="Times New Roman" w:cs="Times New Roman"/>
          <w:sz w:val="24"/>
          <w:szCs w:val="24"/>
        </w:rPr>
        <w:t xml:space="preserve">so </w:t>
      </w:r>
      <w:r w:rsidR="00894289">
        <w:rPr>
          <w:rFonts w:ascii="Times New Roman" w:hAnsi="Times New Roman" w:cs="Times New Roman"/>
          <w:sz w:val="24"/>
          <w:szCs w:val="24"/>
        </w:rPr>
        <w:t>qualifies</w:t>
      </w:r>
      <w:r>
        <w:rPr>
          <w:rFonts w:ascii="Times New Roman" w:hAnsi="Times New Roman" w:cs="Times New Roman"/>
          <w:sz w:val="24"/>
          <w:szCs w:val="24"/>
        </w:rPr>
        <w:t>, the court then decide</w:t>
      </w:r>
      <w:r w:rsidR="00894289">
        <w:rPr>
          <w:rFonts w:ascii="Times New Roman" w:hAnsi="Times New Roman" w:cs="Times New Roman"/>
          <w:sz w:val="24"/>
          <w:szCs w:val="24"/>
        </w:rPr>
        <w:t>s</w:t>
      </w:r>
      <w:r>
        <w:rPr>
          <w:rFonts w:ascii="Times New Roman" w:hAnsi="Times New Roman" w:cs="Times New Roman"/>
          <w:sz w:val="24"/>
          <w:szCs w:val="24"/>
        </w:rPr>
        <w:t xml:space="preserve"> on the duration of the sentence appropriate in the circumstances, if the court resolves to pass a sentence of 24 months or less then it proceeds to further look at both the aggravating and mitigating circumstances. If </w:t>
      </w:r>
      <w:r w:rsidR="00D378EF">
        <w:rPr>
          <w:rFonts w:ascii="Times New Roman" w:hAnsi="Times New Roman" w:cs="Times New Roman"/>
          <w:sz w:val="24"/>
          <w:szCs w:val="24"/>
        </w:rPr>
        <w:t xml:space="preserve">at </w:t>
      </w:r>
      <w:r>
        <w:rPr>
          <w:rFonts w:ascii="Times New Roman" w:hAnsi="Times New Roman" w:cs="Times New Roman"/>
          <w:sz w:val="24"/>
          <w:szCs w:val="24"/>
        </w:rPr>
        <w:t xml:space="preserve">looking at these factors it considers that community service is appropriate in the circumstances then an enquiry is made, which enquiry includes the role of the community service officer. More often accused or appellants argue that in an enquiry of that nature the trial court is duly bound to follow the community </w:t>
      </w:r>
      <w:r w:rsidR="00CD7C58">
        <w:rPr>
          <w:rFonts w:ascii="Times New Roman" w:hAnsi="Times New Roman" w:cs="Times New Roman"/>
          <w:sz w:val="24"/>
          <w:szCs w:val="24"/>
        </w:rPr>
        <w:t xml:space="preserve">service </w:t>
      </w:r>
      <w:r>
        <w:rPr>
          <w:rFonts w:ascii="Times New Roman" w:hAnsi="Times New Roman" w:cs="Times New Roman"/>
          <w:sz w:val="24"/>
          <w:szCs w:val="24"/>
        </w:rPr>
        <w:t xml:space="preserve">officer’s recommendations or that the community </w:t>
      </w:r>
      <w:r w:rsidR="006447A4">
        <w:rPr>
          <w:rFonts w:ascii="Times New Roman" w:hAnsi="Times New Roman" w:cs="Times New Roman"/>
          <w:sz w:val="24"/>
          <w:szCs w:val="24"/>
        </w:rPr>
        <w:t xml:space="preserve">service </w:t>
      </w:r>
      <w:r>
        <w:rPr>
          <w:rFonts w:ascii="Times New Roman" w:hAnsi="Times New Roman" w:cs="Times New Roman"/>
          <w:sz w:val="24"/>
          <w:szCs w:val="24"/>
        </w:rPr>
        <w:t>officers</w:t>
      </w:r>
      <w:r w:rsidR="002D5620">
        <w:rPr>
          <w:rFonts w:ascii="Times New Roman" w:hAnsi="Times New Roman" w:cs="Times New Roman"/>
          <w:sz w:val="24"/>
          <w:szCs w:val="24"/>
        </w:rPr>
        <w:t xml:space="preserve"> report should bind the sentencing</w:t>
      </w:r>
      <w:r>
        <w:rPr>
          <w:rFonts w:ascii="Times New Roman" w:hAnsi="Times New Roman" w:cs="Times New Roman"/>
          <w:sz w:val="24"/>
          <w:szCs w:val="24"/>
        </w:rPr>
        <w:t xml:space="preserve"> court, in my view that would amount to placing the community </w:t>
      </w:r>
      <w:r w:rsidR="006447A4">
        <w:rPr>
          <w:rFonts w:ascii="Times New Roman" w:hAnsi="Times New Roman" w:cs="Times New Roman"/>
          <w:sz w:val="24"/>
          <w:szCs w:val="24"/>
        </w:rPr>
        <w:t xml:space="preserve">service </w:t>
      </w:r>
      <w:r>
        <w:rPr>
          <w:rFonts w:ascii="Times New Roman" w:hAnsi="Times New Roman" w:cs="Times New Roman"/>
          <w:sz w:val="24"/>
          <w:szCs w:val="24"/>
        </w:rPr>
        <w:t>officer a grade above the judicial officer. The report by a community service officer assists the trial court and it can be disregard</w:t>
      </w:r>
      <w:r w:rsidR="00963E01">
        <w:rPr>
          <w:rFonts w:ascii="Times New Roman" w:hAnsi="Times New Roman" w:cs="Times New Roman"/>
          <w:sz w:val="24"/>
          <w:szCs w:val="24"/>
        </w:rPr>
        <w:t>ed</w:t>
      </w:r>
      <w:r>
        <w:rPr>
          <w:rFonts w:ascii="Times New Roman" w:hAnsi="Times New Roman" w:cs="Times New Roman"/>
          <w:sz w:val="24"/>
          <w:szCs w:val="24"/>
        </w:rPr>
        <w:t xml:space="preserve"> by the court as long as the judicial officer </w:t>
      </w:r>
      <w:r w:rsidR="009070C1">
        <w:rPr>
          <w:rFonts w:ascii="Times New Roman" w:hAnsi="Times New Roman" w:cs="Times New Roman"/>
          <w:sz w:val="24"/>
          <w:szCs w:val="24"/>
        </w:rPr>
        <w:t>gives reasons in his reasons for</w:t>
      </w:r>
      <w:r>
        <w:rPr>
          <w:rFonts w:ascii="Times New Roman" w:hAnsi="Times New Roman" w:cs="Times New Roman"/>
          <w:sz w:val="24"/>
          <w:szCs w:val="24"/>
        </w:rPr>
        <w:t xml:space="preserve"> sentence showing why he or she did not factor in t</w:t>
      </w:r>
      <w:r w:rsidR="00414825">
        <w:rPr>
          <w:rFonts w:ascii="Times New Roman" w:hAnsi="Times New Roman" w:cs="Times New Roman"/>
          <w:sz w:val="24"/>
          <w:szCs w:val="24"/>
        </w:rPr>
        <w:t xml:space="preserve">he report. With all </w:t>
      </w:r>
      <w:r w:rsidR="00414825">
        <w:rPr>
          <w:rFonts w:ascii="Times New Roman" w:hAnsi="Times New Roman" w:cs="Times New Roman"/>
          <w:sz w:val="24"/>
          <w:szCs w:val="24"/>
        </w:rPr>
        <w:lastRenderedPageBreak/>
        <w:t>due respect</w:t>
      </w:r>
      <w:r>
        <w:rPr>
          <w:rFonts w:ascii="Times New Roman" w:hAnsi="Times New Roman" w:cs="Times New Roman"/>
          <w:sz w:val="24"/>
          <w:szCs w:val="24"/>
        </w:rPr>
        <w:t xml:space="preserve"> to the sentiments by the Learned Judge in the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Lameck Tshuma</w:t>
      </w:r>
      <w:r>
        <w:rPr>
          <w:rFonts w:ascii="Times New Roman" w:hAnsi="Times New Roman" w:cs="Times New Roman"/>
          <w:sz w:val="24"/>
          <w:szCs w:val="24"/>
        </w:rPr>
        <w:t xml:space="preserve"> where</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the court remarked that it is mandatory for a Trial Magistrate who has settled for an effective prison term of 24 months or less to enquire into the suitability of community service as a sentencing option in respect of first offender. In my view where the sentencing court has settled for a period of 24 months or less then it becomes absolutely desirable to conduct an enquiry and record as much information as possible relating to the suitability or otherwise of the offender for community service. Such information forms part of the record where the court, after conducting such an enquiry and makes an informed decision that the offender does not qualify for community service but a custodial sentence, again such must be recorded explicitly. I am aware of the daily load of the Magistrates doing a lot of work under strenuous conditions and end up being a bit terse by dismissing community service in one or two sentences on the basis of the seriousness of the matter that would look to the world as if the Magistrate is trivialising the offence, that is not desirable. Such reference of trivialising should naturally flow from the gathered information and emerge as a product of an analytical process of each set of facts presented to the court. At the same time if the matter is so serious to the extent that community service is not applicable it is enough for the sentencing</w:t>
      </w:r>
      <w:r w:rsidR="00994657">
        <w:rPr>
          <w:rFonts w:ascii="Times New Roman" w:hAnsi="Times New Roman" w:cs="Times New Roman"/>
          <w:sz w:val="24"/>
          <w:szCs w:val="24"/>
        </w:rPr>
        <w:t xml:space="preserve"> court</w:t>
      </w:r>
      <w:r>
        <w:rPr>
          <w:rFonts w:ascii="Times New Roman" w:hAnsi="Times New Roman" w:cs="Times New Roman"/>
          <w:sz w:val="24"/>
          <w:szCs w:val="24"/>
        </w:rPr>
        <w:t xml:space="preserve"> to mention in its reasons for sentence that community service is not applicable as what the court in this matter did.</w:t>
      </w:r>
    </w:p>
    <w:p w:rsidR="00C45898" w:rsidRDefault="00C45898" w:rsidP="00C458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45898">
        <w:rPr>
          <w:rFonts w:ascii="Times New Roman" w:hAnsi="Times New Roman" w:cs="Times New Roman"/>
          <w:i/>
          <w:sz w:val="24"/>
          <w:szCs w:val="24"/>
        </w:rPr>
        <w:t>S v Mabhena</w:t>
      </w:r>
      <w:r>
        <w:rPr>
          <w:rFonts w:ascii="Times New Roman" w:hAnsi="Times New Roman" w:cs="Times New Roman"/>
          <w:sz w:val="24"/>
          <w:szCs w:val="24"/>
        </w:rPr>
        <w:t xml:space="preserve"> (</w:t>
      </w:r>
      <w:r w:rsidRPr="00C45898">
        <w:rPr>
          <w:rFonts w:ascii="Times New Roman" w:hAnsi="Times New Roman" w:cs="Times New Roman"/>
          <w:i/>
          <w:sz w:val="24"/>
          <w:szCs w:val="24"/>
        </w:rPr>
        <w:t>supra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Pr="00C45898">
        <w:rPr>
          <w:rFonts w:ascii="Times New Roman" w:hAnsi="Times New Roman" w:cs="Times New Roman"/>
          <w:smallCaps/>
          <w:sz w:val="24"/>
          <w:szCs w:val="24"/>
        </w:rPr>
        <w:t>Adam</w:t>
      </w:r>
      <w:r>
        <w:rPr>
          <w:rFonts w:ascii="Times New Roman" w:hAnsi="Times New Roman" w:cs="Times New Roman"/>
          <w:sz w:val="24"/>
          <w:szCs w:val="24"/>
        </w:rPr>
        <w:t xml:space="preserve"> J clearly explained.</w:t>
      </w:r>
    </w:p>
    <w:p w:rsidR="00C45898" w:rsidRDefault="00C45898" w:rsidP="00C45898">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In previous judgments reference has been made to the “Approach to be adopted by the magistrates courts imposing sentences suspended on condition that the accused carries out community service” Legal Forum (1994) Volume 6 at p17 – distributed by the National Committee on Community Service. </w:t>
      </w:r>
      <w:r>
        <w:rPr>
          <w:rFonts w:ascii="Times New Roman" w:hAnsi="Times New Roman" w:cs="Times New Roman"/>
          <w:u w:val="single"/>
        </w:rPr>
        <w:t>It must be stressed that these are merely guidelines</w:t>
      </w:r>
      <w:r>
        <w:rPr>
          <w:rFonts w:ascii="Times New Roman" w:hAnsi="Times New Roman" w:cs="Times New Roman"/>
        </w:rPr>
        <w:t xml:space="preserve"> “(my own emphasis)” </w:t>
      </w:r>
    </w:p>
    <w:p w:rsidR="00C45898" w:rsidRPr="00C45898" w:rsidRDefault="00C45898" w:rsidP="00C45898">
      <w:pPr>
        <w:spacing w:line="240" w:lineRule="auto"/>
        <w:ind w:left="720"/>
        <w:jc w:val="both"/>
        <w:rPr>
          <w:rFonts w:ascii="Times New Roman" w:hAnsi="Times New Roman" w:cs="Times New Roman"/>
          <w:sz w:val="24"/>
        </w:rPr>
      </w:pPr>
      <w:r w:rsidRPr="00C45898">
        <w:rPr>
          <w:rFonts w:ascii="Times New Roman" w:hAnsi="Times New Roman" w:cs="Times New Roman"/>
          <w:sz w:val="24"/>
        </w:rPr>
        <w:t xml:space="preserve">In </w:t>
      </w:r>
      <w:r w:rsidRPr="00C45898">
        <w:rPr>
          <w:rFonts w:ascii="Times New Roman" w:hAnsi="Times New Roman" w:cs="Times New Roman"/>
          <w:i/>
          <w:sz w:val="24"/>
        </w:rPr>
        <w:t>S v Ndlovu</w:t>
      </w:r>
      <w:r w:rsidRPr="00C45898">
        <w:rPr>
          <w:rFonts w:ascii="Times New Roman" w:hAnsi="Times New Roman" w:cs="Times New Roman"/>
          <w:sz w:val="24"/>
        </w:rPr>
        <w:t xml:space="preserve"> (supra) </w:t>
      </w:r>
      <w:r w:rsidRPr="00C45898">
        <w:rPr>
          <w:rFonts w:ascii="Times New Roman" w:hAnsi="Times New Roman" w:cs="Times New Roman"/>
          <w:smallCaps/>
          <w:sz w:val="24"/>
        </w:rPr>
        <w:t>Korsah</w:t>
      </w:r>
      <w:r w:rsidRPr="00C45898">
        <w:rPr>
          <w:rFonts w:ascii="Times New Roman" w:hAnsi="Times New Roman" w:cs="Times New Roman"/>
          <w:sz w:val="24"/>
        </w:rPr>
        <w:t xml:space="preserve"> J.A observed at p5</w:t>
      </w:r>
    </w:p>
    <w:p w:rsidR="00C45898" w:rsidRDefault="00C45898" w:rsidP="00C45898">
      <w:pPr>
        <w:spacing w:line="240" w:lineRule="auto"/>
        <w:ind w:left="720"/>
        <w:jc w:val="both"/>
        <w:rPr>
          <w:rFonts w:ascii="Times New Roman" w:hAnsi="Times New Roman" w:cs="Times New Roman"/>
        </w:rPr>
      </w:pPr>
      <w:r>
        <w:rPr>
          <w:rFonts w:ascii="Times New Roman" w:hAnsi="Times New Roman" w:cs="Times New Roman"/>
        </w:rPr>
        <w:t>“Community Service is considered a fine on leisure time and is particularly appropriate for persons who exhibit antisocial behaviour. It gives an opportunity for constructive activity as well as a possible change of outlook on the part of the offender. The essentials of an order for community service, all of which must co-exist to render  it meaningful, are to punish the culprit to make him pay reparation by way of his service to the community and to reintegrate him into society”</w:t>
      </w:r>
      <w:r>
        <w:rPr>
          <w:rStyle w:val="FootnoteReference"/>
          <w:rFonts w:ascii="Times New Roman" w:hAnsi="Times New Roman" w:cs="Times New Roman"/>
        </w:rPr>
        <w:footnoteReference w:id="17"/>
      </w:r>
      <w:r>
        <w:rPr>
          <w:rFonts w:ascii="Times New Roman" w:hAnsi="Times New Roman" w:cs="Times New Roman"/>
        </w:rPr>
        <w:t xml:space="preserve"> </w:t>
      </w:r>
    </w:p>
    <w:p w:rsidR="00C45898" w:rsidRDefault="00C45898" w:rsidP="00FA59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come to the further conclusion that the criticism levelled against the court </w:t>
      </w:r>
      <w:r>
        <w:rPr>
          <w:rFonts w:ascii="Times New Roman" w:hAnsi="Times New Roman" w:cs="Times New Roman"/>
          <w:i/>
          <w:sz w:val="24"/>
          <w:szCs w:val="24"/>
        </w:rPr>
        <w:t>a quo</w:t>
      </w:r>
      <w:r w:rsidR="00994657">
        <w:rPr>
          <w:rFonts w:ascii="Times New Roman" w:hAnsi="Times New Roman" w:cs="Times New Roman"/>
          <w:sz w:val="24"/>
          <w:szCs w:val="24"/>
        </w:rPr>
        <w:t xml:space="preserve"> relati</w:t>
      </w:r>
      <w:r>
        <w:rPr>
          <w:rFonts w:ascii="Times New Roman" w:hAnsi="Times New Roman" w:cs="Times New Roman"/>
          <w:sz w:val="24"/>
          <w:szCs w:val="24"/>
        </w:rPr>
        <w:t xml:space="preserve">ng to the assessment of Community Service is misplaced. The record shows that he was alert to the aspect of Community service but did not think that the appellant was a proper </w:t>
      </w:r>
      <w:r>
        <w:rPr>
          <w:rFonts w:ascii="Times New Roman" w:hAnsi="Times New Roman" w:cs="Times New Roman"/>
          <w:sz w:val="24"/>
          <w:szCs w:val="24"/>
        </w:rPr>
        <w:lastRenderedPageBreak/>
        <w:t xml:space="preserve">candidate for Community Service. I find no misdirection on his part. However when one looks at the weight of the totality of the mitigatory features of the appellant the sentence </w:t>
      </w:r>
      <w:r w:rsidR="00E90647">
        <w:rPr>
          <w:rFonts w:ascii="Times New Roman" w:hAnsi="Times New Roman" w:cs="Times New Roman"/>
          <w:sz w:val="24"/>
          <w:szCs w:val="24"/>
        </w:rPr>
        <w:t xml:space="preserve">of </w:t>
      </w:r>
      <w:r>
        <w:rPr>
          <w:rFonts w:ascii="Times New Roman" w:hAnsi="Times New Roman" w:cs="Times New Roman"/>
          <w:sz w:val="24"/>
          <w:szCs w:val="24"/>
        </w:rPr>
        <w:t>12 months imprisonment induces a sense of shock. Modern trends on sentencing of offenders show that the overall purpose of s 358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is to give the court a discretion to keep offenders who should not be there in the first place from being imprisoned. The appellant is aged 22 years, an undergraduate who has since been expelled from the University and his prospects of securing another university place is remote because of this conviction. That factor on its own is a punishment. H</w:t>
      </w:r>
      <w:r w:rsidR="00E90647">
        <w:rPr>
          <w:rFonts w:ascii="Times New Roman" w:hAnsi="Times New Roman" w:cs="Times New Roman"/>
          <w:sz w:val="24"/>
          <w:szCs w:val="24"/>
        </w:rPr>
        <w:t>e pleaded guilty to a</w:t>
      </w:r>
      <w:r>
        <w:rPr>
          <w:rFonts w:ascii="Times New Roman" w:hAnsi="Times New Roman" w:cs="Times New Roman"/>
          <w:sz w:val="24"/>
          <w:szCs w:val="24"/>
        </w:rPr>
        <w:t>ll four counts showing remarkable contrition, when he was found in possession of the gadgets by the University Security personnel he cooperated and admitted to stealing even some of the items not found in his possession. The whole idea of the sentence indeed must cater for the interests of both the offender, the complainant and the community. The sentence itself must essentially show a balance of all the stack holders with the sole purpose of rehabilitating the misguided conduct of the offender in order to reintegrate him or back into the society. This is achieved by suspending a portion of a sentence to guard him in the future, at the same time affording hi</w:t>
      </w:r>
      <w:r w:rsidR="00CF6C1C">
        <w:rPr>
          <w:rFonts w:ascii="Times New Roman" w:hAnsi="Times New Roman" w:cs="Times New Roman"/>
          <w:sz w:val="24"/>
          <w:szCs w:val="24"/>
        </w:rPr>
        <w:t>m</w:t>
      </w:r>
      <w:r>
        <w:rPr>
          <w:rFonts w:ascii="Times New Roman" w:hAnsi="Times New Roman" w:cs="Times New Roman"/>
          <w:sz w:val="24"/>
          <w:szCs w:val="24"/>
        </w:rPr>
        <w:t xml:space="preserve"> an opportunity to recover and continue with </w:t>
      </w:r>
      <w:r w:rsidR="002A4DB8">
        <w:rPr>
          <w:rFonts w:ascii="Times New Roman" w:hAnsi="Times New Roman" w:cs="Times New Roman"/>
          <w:sz w:val="24"/>
          <w:szCs w:val="24"/>
        </w:rPr>
        <w:t>h</w:t>
      </w:r>
      <w:r>
        <w:rPr>
          <w:rFonts w:ascii="Times New Roman" w:hAnsi="Times New Roman" w:cs="Times New Roman"/>
          <w:sz w:val="24"/>
          <w:szCs w:val="24"/>
        </w:rPr>
        <w:t>is life. The court will also take judicial notice of the overcrowded prisons as well as the meagre resources to maintain inmates. Hence it is desirable to minimise strain on the fiscus and afford the appellant another chance whilst serving the community. I am aware that sentencing is the domain of the trial court but where the sentence is disproportionate to the offence and also where there are compelling reasons to avoid a custodial sentence, this court is at large in imposing an appropriate sentence. Appellant has been on bail pending his appeal it will</w:t>
      </w:r>
      <w:r w:rsidR="001E3B04">
        <w:rPr>
          <w:rFonts w:ascii="Times New Roman" w:hAnsi="Times New Roman" w:cs="Times New Roman"/>
          <w:sz w:val="24"/>
          <w:szCs w:val="24"/>
        </w:rPr>
        <w:t xml:space="preserve"> not be ideal to send him to jail</w:t>
      </w:r>
      <w:r>
        <w:rPr>
          <w:rFonts w:ascii="Times New Roman" w:hAnsi="Times New Roman" w:cs="Times New Roman"/>
          <w:sz w:val="24"/>
          <w:szCs w:val="24"/>
        </w:rPr>
        <w:t>.</w:t>
      </w:r>
    </w:p>
    <w:p w:rsidR="00C45898" w:rsidRDefault="00C45898" w:rsidP="00FA59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against sentence succeed</w:t>
      </w:r>
      <w:r w:rsidR="001E3B04">
        <w:rPr>
          <w:rFonts w:ascii="Times New Roman" w:hAnsi="Times New Roman" w:cs="Times New Roman"/>
          <w:sz w:val="24"/>
          <w:szCs w:val="24"/>
        </w:rPr>
        <w:t>s,</w:t>
      </w:r>
      <w:r>
        <w:rPr>
          <w:rFonts w:ascii="Times New Roman" w:hAnsi="Times New Roman" w:cs="Times New Roman"/>
          <w:sz w:val="24"/>
          <w:szCs w:val="24"/>
        </w:rPr>
        <w:t xml:space="preserve"> the sentence of 20 months imprisonment 8 months imprisonment of which were suspended on condition of future good behaviour is set aside and substituted by the following.</w:t>
      </w:r>
    </w:p>
    <w:p w:rsidR="003F0935" w:rsidRDefault="00C45898" w:rsidP="00C45898">
      <w:pPr>
        <w:spacing w:after="0" w:line="360" w:lineRule="auto"/>
        <w:ind w:firstLine="720"/>
        <w:jc w:val="both"/>
        <w:rPr>
          <w:rFonts w:ascii="Times New Roman" w:hAnsi="Times New Roman" w:cs="Times New Roman"/>
          <w:sz w:val="24"/>
          <w:szCs w:val="24"/>
        </w:rPr>
      </w:pPr>
      <w:r w:rsidRPr="003F0935">
        <w:rPr>
          <w:rFonts w:ascii="Times New Roman" w:hAnsi="Times New Roman" w:cs="Times New Roman"/>
          <w:i/>
          <w:sz w:val="24"/>
          <w:szCs w:val="24"/>
        </w:rPr>
        <w:t>10 months imprisonment of which 6 months are suspended for 5 years on condition accused does not commit during that period any offence involving dishonesty for which he is sentenced to imprisonment without the option of a fine. A further 4 months imprisonment are suspended on condition that he performs 140 hours Community Service at a place to be identified by the trial court</w:t>
      </w:r>
      <w:r>
        <w:rPr>
          <w:rFonts w:ascii="Times New Roman" w:hAnsi="Times New Roman" w:cs="Times New Roman"/>
          <w:sz w:val="24"/>
          <w:szCs w:val="24"/>
        </w:rPr>
        <w:t xml:space="preserve">. </w:t>
      </w:r>
    </w:p>
    <w:p w:rsidR="00C45898" w:rsidRDefault="00C45898" w:rsidP="00C458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is remitted to the Magistrate at Mutasa for him to make the necessary arrangements for the due performance of the Community Service</w:t>
      </w:r>
      <w:r w:rsidR="0042424A">
        <w:rPr>
          <w:rFonts w:ascii="Times New Roman" w:hAnsi="Times New Roman" w:cs="Times New Roman"/>
          <w:sz w:val="24"/>
          <w:szCs w:val="24"/>
        </w:rPr>
        <w:t>.</w:t>
      </w:r>
    </w:p>
    <w:p w:rsidR="00C45898" w:rsidRDefault="00C45898" w:rsidP="00C45898">
      <w:pPr>
        <w:rPr>
          <w:rFonts w:ascii="Times New Roman" w:hAnsi="Times New Roman" w:cs="Times New Roman"/>
          <w:sz w:val="24"/>
          <w:szCs w:val="24"/>
        </w:rPr>
      </w:pPr>
    </w:p>
    <w:p w:rsidR="00C45898" w:rsidRDefault="00C45898" w:rsidP="00C45898">
      <w:pPr>
        <w:rPr>
          <w:rFonts w:ascii="Times New Roman" w:hAnsi="Times New Roman" w:cs="Times New Roman"/>
          <w:sz w:val="24"/>
          <w:szCs w:val="24"/>
        </w:rPr>
      </w:pPr>
    </w:p>
    <w:p w:rsidR="00C45898" w:rsidRDefault="00C45898" w:rsidP="00C45898">
      <w:pPr>
        <w:rPr>
          <w:rFonts w:ascii="Times New Roman" w:hAnsi="Times New Roman" w:cs="Times New Roman"/>
          <w:sz w:val="24"/>
          <w:szCs w:val="24"/>
        </w:rPr>
      </w:pPr>
    </w:p>
    <w:p w:rsidR="00C45898" w:rsidRDefault="00C45898" w:rsidP="00C45898">
      <w:pPr>
        <w:rPr>
          <w:rFonts w:ascii="Times New Roman" w:hAnsi="Times New Roman" w:cs="Times New Roman"/>
          <w:sz w:val="24"/>
          <w:szCs w:val="24"/>
        </w:rPr>
      </w:pPr>
    </w:p>
    <w:p w:rsidR="00C45898" w:rsidRDefault="00C45898" w:rsidP="00C45898">
      <w:pPr>
        <w:rPr>
          <w:rFonts w:ascii="Times New Roman" w:hAnsi="Times New Roman" w:cs="Times New Roman"/>
          <w:sz w:val="24"/>
          <w:szCs w:val="24"/>
        </w:rPr>
      </w:pPr>
      <w:r>
        <w:rPr>
          <w:rFonts w:ascii="Times New Roman" w:hAnsi="Times New Roman" w:cs="Times New Roman"/>
          <w:sz w:val="24"/>
          <w:szCs w:val="24"/>
        </w:rPr>
        <w:t>MWAYERA J agrees</w:t>
      </w:r>
    </w:p>
    <w:p w:rsidR="00C45898" w:rsidRDefault="00C45898" w:rsidP="00C45898">
      <w:pPr>
        <w:rPr>
          <w:rFonts w:ascii="Times New Roman" w:hAnsi="Times New Roman" w:cs="Times New Roman"/>
          <w:sz w:val="24"/>
          <w:szCs w:val="24"/>
        </w:rPr>
      </w:pPr>
    </w:p>
    <w:p w:rsidR="00C45898" w:rsidRDefault="00C45898" w:rsidP="00C45898">
      <w:pPr>
        <w:spacing w:after="0"/>
        <w:rPr>
          <w:rFonts w:ascii="Times New Roman" w:hAnsi="Times New Roman" w:cs="Times New Roman"/>
          <w:sz w:val="24"/>
          <w:szCs w:val="24"/>
        </w:rPr>
      </w:pPr>
      <w:r>
        <w:rPr>
          <w:rFonts w:ascii="Times New Roman" w:hAnsi="Times New Roman" w:cs="Times New Roman"/>
          <w:i/>
          <w:sz w:val="24"/>
          <w:szCs w:val="24"/>
        </w:rPr>
        <w:t>Mhungu and Associates</w:t>
      </w:r>
      <w:r>
        <w:rPr>
          <w:rFonts w:ascii="Times New Roman" w:hAnsi="Times New Roman" w:cs="Times New Roman"/>
          <w:sz w:val="24"/>
          <w:szCs w:val="24"/>
        </w:rPr>
        <w:t>, appellant’s legal practitioners</w:t>
      </w:r>
    </w:p>
    <w:p w:rsidR="00C45898" w:rsidRDefault="00C45898" w:rsidP="00C45898">
      <w:pPr>
        <w:spacing w:after="0"/>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C45898" w:rsidRPr="00BF0BD2" w:rsidRDefault="00C45898" w:rsidP="00C45898">
      <w:pPr>
        <w:spacing w:after="0" w:line="360" w:lineRule="auto"/>
        <w:jc w:val="both"/>
        <w:rPr>
          <w:rFonts w:ascii="Times New Roman" w:hAnsi="Times New Roman" w:cs="Times New Roman"/>
          <w:sz w:val="24"/>
          <w:szCs w:val="24"/>
        </w:rPr>
      </w:pPr>
    </w:p>
    <w:sectPr w:rsidR="00C45898" w:rsidRPr="00BF0B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F3C" w:rsidRDefault="008C7F3C" w:rsidP="000B43AC">
      <w:pPr>
        <w:spacing w:after="0" w:line="240" w:lineRule="auto"/>
      </w:pPr>
      <w:r>
        <w:separator/>
      </w:r>
    </w:p>
  </w:endnote>
  <w:endnote w:type="continuationSeparator" w:id="0">
    <w:p w:rsidR="008C7F3C" w:rsidRDefault="008C7F3C" w:rsidP="000B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F3C" w:rsidRDefault="008C7F3C" w:rsidP="000B43AC">
      <w:pPr>
        <w:spacing w:after="0" w:line="240" w:lineRule="auto"/>
      </w:pPr>
      <w:r>
        <w:separator/>
      </w:r>
    </w:p>
  </w:footnote>
  <w:footnote w:type="continuationSeparator" w:id="0">
    <w:p w:rsidR="008C7F3C" w:rsidRDefault="008C7F3C" w:rsidP="000B43AC">
      <w:pPr>
        <w:spacing w:after="0" w:line="240" w:lineRule="auto"/>
      </w:pPr>
      <w:r>
        <w:continuationSeparator/>
      </w:r>
    </w:p>
  </w:footnote>
  <w:footnote w:id="1">
    <w:p w:rsidR="001C2889" w:rsidRDefault="001C2889">
      <w:pPr>
        <w:pStyle w:val="FootnoteText"/>
      </w:pPr>
      <w:r>
        <w:rPr>
          <w:rStyle w:val="FootnoteReference"/>
        </w:rPr>
        <w:footnoteRef/>
      </w:r>
      <w:r>
        <w:t xml:space="preserve"> S v Dzotizei HH 126/14</w:t>
      </w:r>
    </w:p>
  </w:footnote>
  <w:footnote w:id="2">
    <w:p w:rsidR="001C2889" w:rsidRDefault="001C2889">
      <w:pPr>
        <w:pStyle w:val="FootnoteText"/>
      </w:pPr>
      <w:r>
        <w:rPr>
          <w:rStyle w:val="FootnoteReference"/>
        </w:rPr>
        <w:footnoteRef/>
      </w:r>
      <w:r>
        <w:t xml:space="preserve"> S v Mabhena 1996 (1) ZLR 134 @ (H) @ 140 E, </w:t>
      </w:r>
    </w:p>
    <w:p w:rsidR="001C2889" w:rsidRDefault="001C2889">
      <w:pPr>
        <w:pStyle w:val="FootnoteText"/>
      </w:pPr>
      <w:r>
        <w:t>S v Chireyi &amp; Ors 2011 (1) ZLR 254 (H) @ 260</w:t>
      </w:r>
    </w:p>
  </w:footnote>
  <w:footnote w:id="3">
    <w:p w:rsidR="001C2889" w:rsidRDefault="001C2889">
      <w:pPr>
        <w:pStyle w:val="FootnoteText"/>
      </w:pPr>
      <w:r>
        <w:rPr>
          <w:rStyle w:val="FootnoteReference"/>
        </w:rPr>
        <w:footnoteRef/>
      </w:r>
      <w:r>
        <w:t xml:space="preserve"> S v Shariwa HB 37/03</w:t>
      </w:r>
    </w:p>
  </w:footnote>
  <w:footnote w:id="4">
    <w:p w:rsidR="001C2889" w:rsidRDefault="001C2889">
      <w:pPr>
        <w:pStyle w:val="FootnoteText"/>
      </w:pPr>
      <w:r>
        <w:rPr>
          <w:rStyle w:val="FootnoteReference"/>
        </w:rPr>
        <w:footnoteRef/>
      </w:r>
      <w:r>
        <w:t xml:space="preserve"> S v Makumbe HH 39/19, S v Mpofu 1985 (1) ZLR 285 </w:t>
      </w:r>
    </w:p>
  </w:footnote>
  <w:footnote w:id="5">
    <w:p w:rsidR="001C2889" w:rsidRDefault="001C2889">
      <w:pPr>
        <w:pStyle w:val="FootnoteText"/>
      </w:pPr>
      <w:r>
        <w:rPr>
          <w:rStyle w:val="FootnoteReference"/>
        </w:rPr>
        <w:footnoteRef/>
      </w:r>
      <w:r>
        <w:t xml:space="preserve"> S v Madembo &amp; Another 2003 (1) ZLR 137 @ 140 B-D</w:t>
      </w:r>
    </w:p>
  </w:footnote>
  <w:footnote w:id="6">
    <w:p w:rsidR="001C2889" w:rsidRDefault="001C2889">
      <w:pPr>
        <w:pStyle w:val="FootnoteText"/>
      </w:pPr>
      <w:r>
        <w:rPr>
          <w:rStyle w:val="FootnoteReference"/>
        </w:rPr>
        <w:footnoteRef/>
      </w:r>
      <w:r>
        <w:t xml:space="preserve"> S v Gwaranda ZLR 17 @19, S v Sidambi HH 122/85</w:t>
      </w:r>
    </w:p>
  </w:footnote>
  <w:footnote w:id="7">
    <w:p w:rsidR="001C2889" w:rsidRDefault="001C2889">
      <w:pPr>
        <w:pStyle w:val="FootnoteText"/>
      </w:pPr>
      <w:r>
        <w:rPr>
          <w:rStyle w:val="FootnoteReference"/>
        </w:rPr>
        <w:footnoteRef/>
      </w:r>
      <w:r>
        <w:t xml:space="preserve"> S v Katsaura 1997 (2) ZLR 102 (H) </w:t>
      </w:r>
    </w:p>
  </w:footnote>
  <w:footnote w:id="8">
    <w:p w:rsidR="001C2889" w:rsidRDefault="001C2889">
      <w:pPr>
        <w:pStyle w:val="FootnoteText"/>
      </w:pPr>
      <w:r>
        <w:rPr>
          <w:rStyle w:val="FootnoteReference"/>
        </w:rPr>
        <w:footnoteRef/>
      </w:r>
      <w:r>
        <w:t xml:space="preserve"> S v Simon Ngulube HH 48/02, S v Dullabh 1994 (2) ZLR 129 @ 135</w:t>
      </w:r>
    </w:p>
  </w:footnote>
  <w:footnote w:id="9">
    <w:p w:rsidR="001C2889" w:rsidRDefault="001C2889">
      <w:pPr>
        <w:pStyle w:val="FootnoteText"/>
      </w:pPr>
      <w:r>
        <w:rPr>
          <w:rStyle w:val="FootnoteReference"/>
        </w:rPr>
        <w:footnoteRef/>
      </w:r>
      <w:r>
        <w:t xml:space="preserve"> S v Majaya HB 15/03. S v bonda HH 67/2010</w:t>
      </w:r>
    </w:p>
    <w:p w:rsidR="001C2889" w:rsidRDefault="001C2889">
      <w:pPr>
        <w:pStyle w:val="FootnoteText"/>
      </w:pPr>
      <w:r>
        <w:t>S v Gumede 2003 (1) ZLR  408 @ 410</w:t>
      </w:r>
    </w:p>
    <w:p w:rsidR="001C2889" w:rsidRDefault="001C2889">
      <w:pPr>
        <w:pStyle w:val="FootnoteText"/>
      </w:pPr>
      <w:r>
        <w:t>S v Patience Usavi HH 182/10, S v Mudondo Zama HMA 15/17</w:t>
      </w:r>
    </w:p>
  </w:footnote>
  <w:footnote w:id="10">
    <w:p w:rsidR="001C2889" w:rsidRDefault="001C2889">
      <w:pPr>
        <w:pStyle w:val="FootnoteText"/>
      </w:pPr>
      <w:r>
        <w:rPr>
          <w:rStyle w:val="FootnoteReference"/>
        </w:rPr>
        <w:footnoteRef/>
      </w:r>
      <w:r>
        <w:t xml:space="preserve"> S v Donga and Ohters HB 37/87</w:t>
      </w:r>
    </w:p>
  </w:footnote>
  <w:footnote w:id="11">
    <w:p w:rsidR="001C2889" w:rsidRDefault="001C2889">
      <w:pPr>
        <w:pStyle w:val="FootnoteText"/>
      </w:pPr>
      <w:r>
        <w:rPr>
          <w:rStyle w:val="FootnoteReference"/>
        </w:rPr>
        <w:footnoteRef/>
      </w:r>
      <w:r>
        <w:t xml:space="preserve"> 1996 (1) ZLR 425 (H) </w:t>
      </w:r>
    </w:p>
  </w:footnote>
  <w:footnote w:id="12">
    <w:p w:rsidR="001C2889" w:rsidRPr="007C279D" w:rsidRDefault="001C2889">
      <w:pPr>
        <w:pStyle w:val="FootnoteText"/>
      </w:pPr>
      <w:r>
        <w:rPr>
          <w:rStyle w:val="FootnoteReference"/>
        </w:rPr>
        <w:footnoteRef/>
      </w:r>
      <w:r>
        <w:t xml:space="preserve"> See S v Mack HH 412/14 and </w:t>
      </w:r>
      <w:r>
        <w:rPr>
          <w:i/>
        </w:rPr>
        <w:t xml:space="preserve">S v Sikala </w:t>
      </w:r>
      <w:r>
        <w:t>HH 698/14</w:t>
      </w:r>
    </w:p>
  </w:footnote>
  <w:footnote w:id="13">
    <w:p w:rsidR="001C2889" w:rsidRDefault="001C2889">
      <w:pPr>
        <w:pStyle w:val="FootnoteText"/>
      </w:pPr>
      <w:r>
        <w:rPr>
          <w:rStyle w:val="FootnoteReference"/>
        </w:rPr>
        <w:footnoteRef/>
      </w:r>
      <w:r>
        <w:t xml:space="preserve"> HB 302/16</w:t>
      </w:r>
    </w:p>
  </w:footnote>
  <w:footnote w:id="14">
    <w:p w:rsidR="0044156C" w:rsidRDefault="0044156C">
      <w:pPr>
        <w:pStyle w:val="FootnoteText"/>
      </w:pPr>
      <w:r>
        <w:rPr>
          <w:rStyle w:val="FootnoteReference"/>
        </w:rPr>
        <w:footnoteRef/>
      </w:r>
      <w:r>
        <w:t xml:space="preserve"> </w:t>
      </w:r>
      <w:r w:rsidR="00573687">
        <w:t>At 138 G - 139 A</w:t>
      </w:r>
      <w:r w:rsidR="00E47433">
        <w:t xml:space="preserve"> as per </w:t>
      </w:r>
      <w:r w:rsidR="00E47433" w:rsidRPr="00E47433">
        <w:rPr>
          <w:smallCaps/>
        </w:rPr>
        <w:t>Adam</w:t>
      </w:r>
      <w:r w:rsidR="00E47433">
        <w:t xml:space="preserve"> J </w:t>
      </w:r>
    </w:p>
  </w:footnote>
  <w:footnote w:id="15">
    <w:p w:rsidR="00C45898" w:rsidRDefault="00C45898" w:rsidP="00C45898">
      <w:pPr>
        <w:pStyle w:val="FootnoteText"/>
      </w:pPr>
      <w:r>
        <w:rPr>
          <w:rStyle w:val="FootnoteReference"/>
        </w:rPr>
        <w:footnoteRef/>
      </w:r>
      <w:r>
        <w:t xml:space="preserve"> supra</w:t>
      </w:r>
    </w:p>
  </w:footnote>
  <w:footnote w:id="16">
    <w:p w:rsidR="00C45898" w:rsidRDefault="00C45898" w:rsidP="00C45898">
      <w:pPr>
        <w:pStyle w:val="FootnoteText"/>
      </w:pPr>
      <w:r>
        <w:rPr>
          <w:rStyle w:val="FootnoteReference"/>
        </w:rPr>
        <w:footnoteRef/>
      </w:r>
      <w:r>
        <w:t xml:space="preserve"> at 139B</w:t>
      </w:r>
    </w:p>
  </w:footnote>
  <w:footnote w:id="17">
    <w:p w:rsidR="00C45898" w:rsidRDefault="00C45898" w:rsidP="00C45898">
      <w:pPr>
        <w:pStyle w:val="FootnoteText"/>
      </w:pPr>
      <w:r>
        <w:rPr>
          <w:rStyle w:val="FootnoteReference"/>
        </w:rPr>
        <w:footnoteRef/>
      </w:r>
      <w:r>
        <w:t xml:space="preserve"> </w:t>
      </w:r>
      <w:r>
        <w:rPr>
          <w:i/>
        </w:rPr>
        <w:t>S</w:t>
      </w:r>
      <w:r>
        <w:t xml:space="preserve"> v </w:t>
      </w:r>
      <w:r>
        <w:rPr>
          <w:i/>
        </w:rPr>
        <w:t>Mabhena</w:t>
      </w:r>
      <w:r>
        <w:t>, at 139D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09827"/>
      <w:docPartObj>
        <w:docPartGallery w:val="Page Numbers (Top of Page)"/>
        <w:docPartUnique/>
      </w:docPartObj>
    </w:sdtPr>
    <w:sdtEndPr>
      <w:rPr>
        <w:noProof/>
      </w:rPr>
    </w:sdtEndPr>
    <w:sdtContent>
      <w:p w:rsidR="001C2889" w:rsidRDefault="001C2889">
        <w:pPr>
          <w:pStyle w:val="Header"/>
          <w:jc w:val="right"/>
          <w:rPr>
            <w:noProof/>
          </w:rPr>
        </w:pPr>
        <w:r>
          <w:fldChar w:fldCharType="begin"/>
        </w:r>
        <w:r>
          <w:instrText xml:space="preserve"> PAGE   \* MERGEFORMAT </w:instrText>
        </w:r>
        <w:r>
          <w:fldChar w:fldCharType="separate"/>
        </w:r>
        <w:r w:rsidR="00A2438A">
          <w:rPr>
            <w:noProof/>
          </w:rPr>
          <w:t>1</w:t>
        </w:r>
        <w:r>
          <w:rPr>
            <w:noProof/>
          </w:rPr>
          <w:fldChar w:fldCharType="end"/>
        </w:r>
      </w:p>
      <w:p w:rsidR="001C2889" w:rsidRDefault="00E33C2D">
        <w:pPr>
          <w:pStyle w:val="Header"/>
          <w:jc w:val="right"/>
          <w:rPr>
            <w:noProof/>
          </w:rPr>
        </w:pPr>
        <w:r>
          <w:rPr>
            <w:noProof/>
          </w:rPr>
          <w:t>HMT 53-</w:t>
        </w:r>
        <w:r w:rsidR="001C2889">
          <w:rPr>
            <w:noProof/>
          </w:rPr>
          <w:t>20</w:t>
        </w:r>
      </w:p>
      <w:p w:rsidR="001C2889" w:rsidRDefault="001C2889">
        <w:pPr>
          <w:pStyle w:val="Header"/>
          <w:jc w:val="right"/>
        </w:pPr>
        <w:r>
          <w:rPr>
            <w:noProof/>
          </w:rPr>
          <w:t>CA 23/19</w:t>
        </w:r>
      </w:p>
    </w:sdtContent>
  </w:sdt>
  <w:p w:rsidR="001C2889" w:rsidRDefault="001C2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C520B"/>
    <w:multiLevelType w:val="hybridMultilevel"/>
    <w:tmpl w:val="8702BB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E4"/>
    <w:rsid w:val="00047C58"/>
    <w:rsid w:val="00055735"/>
    <w:rsid w:val="0006284A"/>
    <w:rsid w:val="00090F1A"/>
    <w:rsid w:val="00092F57"/>
    <w:rsid w:val="000B3823"/>
    <w:rsid w:val="000B43AC"/>
    <w:rsid w:val="000D6667"/>
    <w:rsid w:val="000D7EE4"/>
    <w:rsid w:val="00140043"/>
    <w:rsid w:val="0014603F"/>
    <w:rsid w:val="001C2889"/>
    <w:rsid w:val="001C5E9C"/>
    <w:rsid w:val="001E3B04"/>
    <w:rsid w:val="001E65EE"/>
    <w:rsid w:val="001E7CB8"/>
    <w:rsid w:val="00222C8B"/>
    <w:rsid w:val="002241AA"/>
    <w:rsid w:val="002313A0"/>
    <w:rsid w:val="00253619"/>
    <w:rsid w:val="00283B67"/>
    <w:rsid w:val="0029566B"/>
    <w:rsid w:val="002A4DB8"/>
    <w:rsid w:val="002C194E"/>
    <w:rsid w:val="002D5620"/>
    <w:rsid w:val="0030402F"/>
    <w:rsid w:val="00310FDB"/>
    <w:rsid w:val="00320CA8"/>
    <w:rsid w:val="00352C88"/>
    <w:rsid w:val="003664BA"/>
    <w:rsid w:val="003F0935"/>
    <w:rsid w:val="00414825"/>
    <w:rsid w:val="0042424A"/>
    <w:rsid w:val="00434274"/>
    <w:rsid w:val="0044156C"/>
    <w:rsid w:val="004B55EB"/>
    <w:rsid w:val="004B65CF"/>
    <w:rsid w:val="004E7AFD"/>
    <w:rsid w:val="005047A6"/>
    <w:rsid w:val="0053616A"/>
    <w:rsid w:val="00562CBB"/>
    <w:rsid w:val="00573687"/>
    <w:rsid w:val="006447A4"/>
    <w:rsid w:val="00652393"/>
    <w:rsid w:val="00676A05"/>
    <w:rsid w:val="00683E1F"/>
    <w:rsid w:val="0069133F"/>
    <w:rsid w:val="006A052F"/>
    <w:rsid w:val="006A4319"/>
    <w:rsid w:val="006F4DED"/>
    <w:rsid w:val="0070764A"/>
    <w:rsid w:val="00731362"/>
    <w:rsid w:val="007443CB"/>
    <w:rsid w:val="00774390"/>
    <w:rsid w:val="007823FD"/>
    <w:rsid w:val="007945D5"/>
    <w:rsid w:val="007C279D"/>
    <w:rsid w:val="007D72E5"/>
    <w:rsid w:val="00855DBA"/>
    <w:rsid w:val="00866D22"/>
    <w:rsid w:val="008673AB"/>
    <w:rsid w:val="00894289"/>
    <w:rsid w:val="008C7F3C"/>
    <w:rsid w:val="009070C1"/>
    <w:rsid w:val="00963E01"/>
    <w:rsid w:val="00993C83"/>
    <w:rsid w:val="00994657"/>
    <w:rsid w:val="009C51C3"/>
    <w:rsid w:val="009F00DC"/>
    <w:rsid w:val="00A2438A"/>
    <w:rsid w:val="00AA324D"/>
    <w:rsid w:val="00AE68C0"/>
    <w:rsid w:val="00B766D7"/>
    <w:rsid w:val="00BB3352"/>
    <w:rsid w:val="00BE3641"/>
    <w:rsid w:val="00BF0BD2"/>
    <w:rsid w:val="00BF5979"/>
    <w:rsid w:val="00BF71F0"/>
    <w:rsid w:val="00C15F8E"/>
    <w:rsid w:val="00C2168C"/>
    <w:rsid w:val="00C45898"/>
    <w:rsid w:val="00C61D3A"/>
    <w:rsid w:val="00CA5716"/>
    <w:rsid w:val="00CB17FA"/>
    <w:rsid w:val="00CD7C58"/>
    <w:rsid w:val="00CE1D3D"/>
    <w:rsid w:val="00CF035E"/>
    <w:rsid w:val="00CF6C1C"/>
    <w:rsid w:val="00D378EF"/>
    <w:rsid w:val="00D44D18"/>
    <w:rsid w:val="00D505B8"/>
    <w:rsid w:val="00E31C77"/>
    <w:rsid w:val="00E33C2D"/>
    <w:rsid w:val="00E47433"/>
    <w:rsid w:val="00E70426"/>
    <w:rsid w:val="00E778A0"/>
    <w:rsid w:val="00E82244"/>
    <w:rsid w:val="00E90647"/>
    <w:rsid w:val="00EC0E1E"/>
    <w:rsid w:val="00EC4E9D"/>
    <w:rsid w:val="00EE70AB"/>
    <w:rsid w:val="00F04378"/>
    <w:rsid w:val="00F07CBD"/>
    <w:rsid w:val="00F83092"/>
    <w:rsid w:val="00FA59D2"/>
    <w:rsid w:val="00FC1F4B"/>
    <w:rsid w:val="00FC784D"/>
    <w:rsid w:val="00FD1F2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06541-CF27-4E6D-95F1-505BB6B3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3AC"/>
  </w:style>
  <w:style w:type="paragraph" w:styleId="Footer">
    <w:name w:val="footer"/>
    <w:basedOn w:val="Normal"/>
    <w:link w:val="FooterChar"/>
    <w:uiPriority w:val="99"/>
    <w:unhideWhenUsed/>
    <w:rsid w:val="000B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3AC"/>
  </w:style>
  <w:style w:type="paragraph" w:styleId="ListParagraph">
    <w:name w:val="List Paragraph"/>
    <w:basedOn w:val="Normal"/>
    <w:uiPriority w:val="34"/>
    <w:qFormat/>
    <w:rsid w:val="001C5E9C"/>
    <w:pPr>
      <w:ind w:left="720"/>
      <w:contextualSpacing/>
    </w:pPr>
  </w:style>
  <w:style w:type="paragraph" w:styleId="FootnoteText">
    <w:name w:val="footnote text"/>
    <w:basedOn w:val="Normal"/>
    <w:link w:val="FootnoteTextChar"/>
    <w:uiPriority w:val="99"/>
    <w:semiHidden/>
    <w:unhideWhenUsed/>
    <w:rsid w:val="00224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1AA"/>
    <w:rPr>
      <w:sz w:val="20"/>
      <w:szCs w:val="20"/>
    </w:rPr>
  </w:style>
  <w:style w:type="character" w:styleId="FootnoteReference">
    <w:name w:val="footnote reference"/>
    <w:basedOn w:val="DefaultParagraphFont"/>
    <w:uiPriority w:val="99"/>
    <w:semiHidden/>
    <w:unhideWhenUsed/>
    <w:rsid w:val="00224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315C-6F82-4E95-A37A-D7FD1618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2020-07-31T09:32:00Z</dcterms:created>
  <dcterms:modified xsi:type="dcterms:W3CDTF">2020-07-31T09:32:00Z</dcterms:modified>
</cp:coreProperties>
</file>