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A3A32" w14:textId="0D63AF9D" w:rsidR="004A69B6" w:rsidRPr="00E15CBB" w:rsidRDefault="008857EF" w:rsidP="00BB675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TOKOZANI MAZVIMBAKUPA (DHLIWAYO)</w:t>
      </w:r>
    </w:p>
    <w:p w14:paraId="33BC3996" w14:textId="6FDB2FEE" w:rsidR="004A69B6" w:rsidRPr="00E15CBB" w:rsidRDefault="00BB6758" w:rsidP="00BB6758">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4A69B6" w:rsidRPr="00E15CBB">
        <w:rPr>
          <w:rFonts w:ascii="Times New Roman" w:hAnsi="Times New Roman" w:cs="Times New Roman"/>
          <w:sz w:val="24"/>
          <w:szCs w:val="24"/>
        </w:rPr>
        <w:t>ersus</w:t>
      </w:r>
    </w:p>
    <w:p w14:paraId="7421C349" w14:textId="73B666C4" w:rsidR="004A69B6" w:rsidRDefault="008857EF" w:rsidP="00BB6758">
      <w:pPr>
        <w:spacing w:after="0" w:line="240" w:lineRule="auto"/>
        <w:rPr>
          <w:rFonts w:ascii="Times New Roman" w:hAnsi="Times New Roman" w:cs="Times New Roman"/>
          <w:sz w:val="24"/>
          <w:szCs w:val="24"/>
        </w:rPr>
      </w:pPr>
      <w:r>
        <w:rPr>
          <w:rFonts w:ascii="Times New Roman" w:hAnsi="Times New Roman" w:cs="Times New Roman"/>
          <w:sz w:val="24"/>
          <w:szCs w:val="24"/>
        </w:rPr>
        <w:t>THE MASTER OF THE HIGH COURT</w:t>
      </w:r>
    </w:p>
    <w:p w14:paraId="3A17531B" w14:textId="207A4123" w:rsidR="008857EF" w:rsidRDefault="008857EF" w:rsidP="00BB675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3096B3BE" w14:textId="5F0B3887" w:rsidR="008857EF" w:rsidRDefault="008857EF" w:rsidP="00BB6758">
      <w:pPr>
        <w:spacing w:after="0" w:line="240" w:lineRule="auto"/>
        <w:rPr>
          <w:rFonts w:ascii="Times New Roman" w:hAnsi="Times New Roman" w:cs="Times New Roman"/>
          <w:sz w:val="24"/>
          <w:szCs w:val="24"/>
        </w:rPr>
      </w:pPr>
      <w:r>
        <w:rPr>
          <w:rFonts w:ascii="Times New Roman" w:hAnsi="Times New Roman" w:cs="Times New Roman"/>
          <w:sz w:val="24"/>
          <w:szCs w:val="24"/>
        </w:rPr>
        <w:t>ZAMBE NYIKA N.O.</w:t>
      </w:r>
    </w:p>
    <w:p w14:paraId="0D21AFA3" w14:textId="234A2E0C" w:rsidR="008857EF" w:rsidRDefault="008857EF" w:rsidP="00BB675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w:t>
      </w:r>
      <w:r w:rsidR="00805310">
        <w:rPr>
          <w:rFonts w:ascii="Times New Roman" w:hAnsi="Times New Roman" w:cs="Times New Roman"/>
          <w:sz w:val="24"/>
          <w:szCs w:val="24"/>
        </w:rPr>
        <w:t>h</w:t>
      </w:r>
      <w:r>
        <w:rPr>
          <w:rFonts w:ascii="Times New Roman" w:hAnsi="Times New Roman" w:cs="Times New Roman"/>
          <w:sz w:val="24"/>
          <w:szCs w:val="24"/>
        </w:rPr>
        <w:t xml:space="preserve">is </w:t>
      </w:r>
      <w:r w:rsidR="00805310">
        <w:rPr>
          <w:rFonts w:ascii="Times New Roman" w:hAnsi="Times New Roman" w:cs="Times New Roman"/>
          <w:sz w:val="24"/>
          <w:szCs w:val="24"/>
        </w:rPr>
        <w:t>c</w:t>
      </w:r>
      <w:r>
        <w:rPr>
          <w:rFonts w:ascii="Times New Roman" w:hAnsi="Times New Roman" w:cs="Times New Roman"/>
          <w:sz w:val="24"/>
          <w:szCs w:val="24"/>
        </w:rPr>
        <w:t>apacity as Executor Dative of Estate Late Shepherd Gwasira)</w:t>
      </w:r>
    </w:p>
    <w:p w14:paraId="1AD1C106" w14:textId="3B0301F4" w:rsidR="008857EF" w:rsidRDefault="008857EF" w:rsidP="00BB675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7BE6B827" w14:textId="2376457A" w:rsidR="008857EF" w:rsidRPr="00E15CBB" w:rsidRDefault="008857EF" w:rsidP="00BB6758">
      <w:pPr>
        <w:spacing w:after="0" w:line="240" w:lineRule="auto"/>
        <w:rPr>
          <w:rFonts w:ascii="Times New Roman" w:hAnsi="Times New Roman" w:cs="Times New Roman"/>
          <w:sz w:val="24"/>
          <w:szCs w:val="24"/>
        </w:rPr>
      </w:pPr>
      <w:r>
        <w:rPr>
          <w:rFonts w:ascii="Times New Roman" w:hAnsi="Times New Roman" w:cs="Times New Roman"/>
          <w:sz w:val="24"/>
          <w:szCs w:val="24"/>
        </w:rPr>
        <w:t>SHIELA GWASIRA</w:t>
      </w:r>
    </w:p>
    <w:p w14:paraId="570C4155" w14:textId="77777777" w:rsidR="00BB6758" w:rsidRDefault="00BB6758" w:rsidP="00BB6758">
      <w:pPr>
        <w:spacing w:after="0" w:line="240" w:lineRule="auto"/>
        <w:rPr>
          <w:rFonts w:ascii="Times New Roman" w:hAnsi="Times New Roman" w:cs="Times New Roman"/>
          <w:sz w:val="24"/>
          <w:szCs w:val="24"/>
        </w:rPr>
      </w:pPr>
    </w:p>
    <w:p w14:paraId="0C33512B" w14:textId="77777777" w:rsidR="00BB6758" w:rsidRDefault="00BB6758" w:rsidP="00BB6758">
      <w:pPr>
        <w:spacing w:after="0" w:line="240" w:lineRule="auto"/>
        <w:rPr>
          <w:rFonts w:ascii="Times New Roman" w:hAnsi="Times New Roman" w:cs="Times New Roman"/>
          <w:sz w:val="24"/>
          <w:szCs w:val="24"/>
        </w:rPr>
      </w:pPr>
    </w:p>
    <w:p w14:paraId="3033BE8C" w14:textId="77129802" w:rsidR="004A69B6" w:rsidRPr="00E15CBB" w:rsidRDefault="004A69B6" w:rsidP="00BB6758">
      <w:pPr>
        <w:spacing w:after="0" w:line="240" w:lineRule="auto"/>
        <w:rPr>
          <w:rFonts w:ascii="Times New Roman" w:hAnsi="Times New Roman" w:cs="Times New Roman"/>
          <w:sz w:val="24"/>
          <w:szCs w:val="24"/>
        </w:rPr>
      </w:pPr>
      <w:r w:rsidRPr="00E15CBB">
        <w:rPr>
          <w:rFonts w:ascii="Times New Roman" w:hAnsi="Times New Roman" w:cs="Times New Roman"/>
          <w:sz w:val="24"/>
          <w:szCs w:val="24"/>
        </w:rPr>
        <w:t>HIGH COURT OF ZIMBABWE</w:t>
      </w:r>
    </w:p>
    <w:p w14:paraId="0715FC1C" w14:textId="0A624A86" w:rsidR="004A69B6" w:rsidRPr="00E15CBB" w:rsidRDefault="004A69B6" w:rsidP="00BB6758">
      <w:pPr>
        <w:spacing w:after="0" w:line="240" w:lineRule="auto"/>
        <w:rPr>
          <w:rFonts w:ascii="Times New Roman" w:hAnsi="Times New Roman" w:cs="Times New Roman"/>
          <w:sz w:val="24"/>
          <w:szCs w:val="24"/>
        </w:rPr>
      </w:pPr>
      <w:r w:rsidRPr="00E15CBB">
        <w:rPr>
          <w:rFonts w:ascii="Times New Roman" w:hAnsi="Times New Roman" w:cs="Times New Roman"/>
          <w:sz w:val="24"/>
          <w:szCs w:val="24"/>
        </w:rPr>
        <w:t>MUCHAWA J</w:t>
      </w:r>
    </w:p>
    <w:p w14:paraId="43790D32" w14:textId="4D261FA6" w:rsidR="004A69B6" w:rsidRPr="00E15CBB" w:rsidRDefault="004A69B6" w:rsidP="00BB6758">
      <w:pPr>
        <w:spacing w:after="0" w:line="240" w:lineRule="auto"/>
        <w:rPr>
          <w:rFonts w:ascii="Times New Roman" w:hAnsi="Times New Roman" w:cs="Times New Roman"/>
          <w:sz w:val="24"/>
          <w:szCs w:val="24"/>
        </w:rPr>
      </w:pPr>
      <w:r w:rsidRPr="00E15CBB">
        <w:rPr>
          <w:rFonts w:ascii="Times New Roman" w:hAnsi="Times New Roman" w:cs="Times New Roman"/>
          <w:sz w:val="24"/>
          <w:szCs w:val="24"/>
        </w:rPr>
        <w:t xml:space="preserve">HARARE, </w:t>
      </w:r>
      <w:r w:rsidR="008857EF">
        <w:rPr>
          <w:rFonts w:ascii="Times New Roman" w:hAnsi="Times New Roman" w:cs="Times New Roman"/>
          <w:sz w:val="24"/>
          <w:szCs w:val="24"/>
        </w:rPr>
        <w:t xml:space="preserve">20 February </w:t>
      </w:r>
      <w:r w:rsidRPr="00E15CBB">
        <w:rPr>
          <w:rFonts w:ascii="Times New Roman" w:hAnsi="Times New Roman" w:cs="Times New Roman"/>
          <w:sz w:val="24"/>
          <w:szCs w:val="24"/>
        </w:rPr>
        <w:t>&amp;</w:t>
      </w:r>
      <w:r w:rsidR="005C6DCD" w:rsidRPr="00E15CBB">
        <w:rPr>
          <w:rFonts w:ascii="Times New Roman" w:hAnsi="Times New Roman" w:cs="Times New Roman"/>
          <w:sz w:val="24"/>
          <w:szCs w:val="24"/>
        </w:rPr>
        <w:t xml:space="preserve"> </w:t>
      </w:r>
      <w:r w:rsidR="008857EF">
        <w:rPr>
          <w:rFonts w:ascii="Times New Roman" w:hAnsi="Times New Roman" w:cs="Times New Roman"/>
          <w:sz w:val="24"/>
          <w:szCs w:val="24"/>
        </w:rPr>
        <w:t xml:space="preserve">27 March </w:t>
      </w:r>
      <w:r w:rsidR="0004429D">
        <w:rPr>
          <w:rFonts w:ascii="Times New Roman" w:hAnsi="Times New Roman" w:cs="Times New Roman"/>
          <w:sz w:val="24"/>
          <w:szCs w:val="24"/>
        </w:rPr>
        <w:t>2024</w:t>
      </w:r>
    </w:p>
    <w:p w14:paraId="5D62FF08" w14:textId="77777777" w:rsidR="005C6DCD" w:rsidRDefault="005C6DCD" w:rsidP="00BB6758">
      <w:pPr>
        <w:spacing w:after="0" w:line="240" w:lineRule="auto"/>
        <w:rPr>
          <w:rFonts w:ascii="Times New Roman" w:hAnsi="Times New Roman" w:cs="Times New Roman"/>
          <w:sz w:val="24"/>
          <w:szCs w:val="24"/>
        </w:rPr>
      </w:pPr>
    </w:p>
    <w:p w14:paraId="27BD98B1" w14:textId="77777777" w:rsidR="00BB6758" w:rsidRPr="00E15CBB" w:rsidRDefault="00BB6758" w:rsidP="00BB6758">
      <w:pPr>
        <w:spacing w:after="0" w:line="240" w:lineRule="auto"/>
        <w:rPr>
          <w:rFonts w:ascii="Times New Roman" w:hAnsi="Times New Roman" w:cs="Times New Roman"/>
          <w:sz w:val="24"/>
          <w:szCs w:val="24"/>
        </w:rPr>
      </w:pPr>
    </w:p>
    <w:p w14:paraId="300318CF" w14:textId="010CCA1F" w:rsidR="005C6DCD" w:rsidRPr="00E15CBB" w:rsidRDefault="00776EE6" w:rsidP="00BB675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Opposed Matter</w:t>
      </w:r>
    </w:p>
    <w:p w14:paraId="391B6E14" w14:textId="77777777" w:rsidR="005C6DCD" w:rsidRPr="00E15CBB" w:rsidRDefault="005C6DCD" w:rsidP="00BB6758">
      <w:pPr>
        <w:spacing w:after="0" w:line="240" w:lineRule="auto"/>
        <w:rPr>
          <w:rFonts w:ascii="Times New Roman" w:hAnsi="Times New Roman" w:cs="Times New Roman"/>
          <w:b/>
          <w:bCs/>
          <w:sz w:val="24"/>
          <w:szCs w:val="24"/>
        </w:rPr>
      </w:pPr>
    </w:p>
    <w:p w14:paraId="2F978F60" w14:textId="77777777" w:rsidR="00BB6758" w:rsidRDefault="00BB6758" w:rsidP="00BB6758">
      <w:pPr>
        <w:spacing w:after="0" w:line="240" w:lineRule="auto"/>
        <w:rPr>
          <w:rFonts w:ascii="Times New Roman" w:hAnsi="Times New Roman" w:cs="Times New Roman"/>
          <w:sz w:val="24"/>
          <w:szCs w:val="24"/>
        </w:rPr>
      </w:pPr>
    </w:p>
    <w:p w14:paraId="7201B967" w14:textId="7F1163C7" w:rsidR="005C6DCD" w:rsidRDefault="0034052C" w:rsidP="00BB675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00776EE6" w:rsidRPr="00776EE6">
        <w:rPr>
          <w:rFonts w:ascii="Times New Roman" w:hAnsi="Times New Roman" w:cs="Times New Roman"/>
          <w:i/>
          <w:sz w:val="24"/>
          <w:szCs w:val="24"/>
        </w:rPr>
        <w:t>T S Musundire</w:t>
      </w:r>
      <w:r w:rsidR="005C6DCD" w:rsidRPr="00E15CBB">
        <w:rPr>
          <w:rFonts w:ascii="Times New Roman" w:hAnsi="Times New Roman" w:cs="Times New Roman"/>
          <w:sz w:val="24"/>
          <w:szCs w:val="24"/>
        </w:rPr>
        <w:t>, for the applicant</w:t>
      </w:r>
    </w:p>
    <w:p w14:paraId="592DD808" w14:textId="0AAAA340" w:rsidR="00776EE6" w:rsidRPr="00E15CBB" w:rsidRDefault="00776EE6" w:rsidP="00BB6758">
      <w:pPr>
        <w:spacing w:after="0" w:line="240" w:lineRule="auto"/>
        <w:rPr>
          <w:rFonts w:ascii="Times New Roman" w:hAnsi="Times New Roman" w:cs="Times New Roman"/>
          <w:sz w:val="24"/>
          <w:szCs w:val="24"/>
        </w:rPr>
      </w:pPr>
      <w:r>
        <w:rPr>
          <w:rFonts w:ascii="Times New Roman" w:hAnsi="Times New Roman" w:cs="Times New Roman"/>
          <w:sz w:val="24"/>
          <w:szCs w:val="24"/>
        </w:rPr>
        <w:t>No appearance for first respondent</w:t>
      </w:r>
    </w:p>
    <w:p w14:paraId="7F419539" w14:textId="2BDBBC98" w:rsidR="005C6DCD" w:rsidRDefault="00776EE6" w:rsidP="00BB675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w:t>
      </w:r>
      <w:r w:rsidRPr="00776EE6">
        <w:rPr>
          <w:rFonts w:ascii="Times New Roman" w:hAnsi="Times New Roman" w:cs="Times New Roman"/>
          <w:i/>
          <w:sz w:val="24"/>
          <w:szCs w:val="24"/>
        </w:rPr>
        <w:t>T Nyamidzi</w:t>
      </w:r>
      <w:r w:rsidR="0034052C">
        <w:rPr>
          <w:rFonts w:ascii="Times New Roman" w:hAnsi="Times New Roman" w:cs="Times New Roman"/>
          <w:sz w:val="24"/>
          <w:szCs w:val="24"/>
        </w:rPr>
        <w:t>,</w:t>
      </w:r>
      <w:r w:rsidR="005C6DCD" w:rsidRPr="00E15CBB">
        <w:rPr>
          <w:rFonts w:ascii="Times New Roman" w:hAnsi="Times New Roman" w:cs="Times New Roman"/>
          <w:sz w:val="24"/>
          <w:szCs w:val="24"/>
        </w:rPr>
        <w:t xml:space="preserve"> for the </w:t>
      </w:r>
      <w:r>
        <w:rPr>
          <w:rFonts w:ascii="Times New Roman" w:hAnsi="Times New Roman" w:cs="Times New Roman"/>
          <w:sz w:val="24"/>
          <w:szCs w:val="24"/>
        </w:rPr>
        <w:t xml:space="preserve">second </w:t>
      </w:r>
      <w:r w:rsidR="005C6DCD" w:rsidRPr="00E15CBB">
        <w:rPr>
          <w:rFonts w:ascii="Times New Roman" w:hAnsi="Times New Roman" w:cs="Times New Roman"/>
          <w:sz w:val="24"/>
          <w:szCs w:val="24"/>
        </w:rPr>
        <w:t>respondent</w:t>
      </w:r>
    </w:p>
    <w:p w14:paraId="27DEE844" w14:textId="47DF0954" w:rsidR="00776EE6" w:rsidRDefault="00776EE6" w:rsidP="00BB675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Pr="00776EE6">
        <w:rPr>
          <w:rFonts w:ascii="Times New Roman" w:hAnsi="Times New Roman" w:cs="Times New Roman"/>
          <w:i/>
          <w:sz w:val="24"/>
          <w:szCs w:val="24"/>
        </w:rPr>
        <w:t>T W Nyamakura</w:t>
      </w:r>
      <w:r>
        <w:rPr>
          <w:rFonts w:ascii="Times New Roman" w:hAnsi="Times New Roman" w:cs="Times New Roman"/>
          <w:sz w:val="24"/>
          <w:szCs w:val="24"/>
        </w:rPr>
        <w:t>, for the third respondent</w:t>
      </w:r>
    </w:p>
    <w:p w14:paraId="042D572F" w14:textId="77777777" w:rsidR="00537FDE" w:rsidRPr="00E15CBB" w:rsidRDefault="00537FDE" w:rsidP="00BB6758">
      <w:pPr>
        <w:spacing w:after="0" w:line="240" w:lineRule="auto"/>
        <w:rPr>
          <w:rFonts w:ascii="Times New Roman" w:hAnsi="Times New Roman" w:cs="Times New Roman"/>
          <w:sz w:val="24"/>
          <w:szCs w:val="24"/>
        </w:rPr>
      </w:pPr>
    </w:p>
    <w:p w14:paraId="57654DD5" w14:textId="77777777" w:rsidR="005C6DCD" w:rsidRPr="00E15CBB" w:rsidRDefault="005C6DCD" w:rsidP="00BB6758">
      <w:pPr>
        <w:spacing w:after="0" w:line="240" w:lineRule="auto"/>
        <w:rPr>
          <w:rFonts w:ascii="Times New Roman" w:hAnsi="Times New Roman" w:cs="Times New Roman"/>
          <w:sz w:val="24"/>
          <w:szCs w:val="24"/>
        </w:rPr>
      </w:pPr>
    </w:p>
    <w:p w14:paraId="6350C79D" w14:textId="63FD47B4" w:rsidR="00EA747D" w:rsidRDefault="00BB6758" w:rsidP="008053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C6DCD" w:rsidRPr="00537FDE">
        <w:rPr>
          <w:rFonts w:ascii="Times New Roman" w:hAnsi="Times New Roman" w:cs="Times New Roman"/>
          <w:b/>
          <w:sz w:val="24"/>
          <w:szCs w:val="24"/>
        </w:rPr>
        <w:t>MUCHAWA J</w:t>
      </w:r>
      <w:r w:rsidR="005C6DCD" w:rsidRPr="00E15CBB">
        <w:rPr>
          <w:rFonts w:ascii="Times New Roman" w:hAnsi="Times New Roman" w:cs="Times New Roman"/>
          <w:sz w:val="24"/>
          <w:szCs w:val="24"/>
        </w:rPr>
        <w:t>:</w:t>
      </w:r>
      <w:r>
        <w:rPr>
          <w:rFonts w:ascii="Times New Roman" w:hAnsi="Times New Roman" w:cs="Times New Roman"/>
          <w:sz w:val="24"/>
          <w:szCs w:val="24"/>
        </w:rPr>
        <w:t xml:space="preserve">   </w:t>
      </w:r>
      <w:r w:rsidR="005C6DCD" w:rsidRPr="00E15CBB">
        <w:rPr>
          <w:rFonts w:ascii="Times New Roman" w:hAnsi="Times New Roman" w:cs="Times New Roman"/>
          <w:sz w:val="24"/>
          <w:szCs w:val="24"/>
        </w:rPr>
        <w:t xml:space="preserve">This is </w:t>
      </w:r>
      <w:r w:rsidR="00B945B4">
        <w:rPr>
          <w:rFonts w:ascii="Times New Roman" w:hAnsi="Times New Roman" w:cs="Times New Roman"/>
          <w:sz w:val="24"/>
          <w:szCs w:val="24"/>
        </w:rPr>
        <w:t>a court application for a declaratory order in which the following order is sought:</w:t>
      </w:r>
    </w:p>
    <w:p w14:paraId="36255038" w14:textId="5AF605CB" w:rsidR="00B945B4" w:rsidRDefault="00B945B4" w:rsidP="008053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05310" w:rsidRPr="00805310">
        <w:rPr>
          <w:rFonts w:ascii="Times New Roman" w:hAnsi="Times New Roman" w:cs="Times New Roman"/>
          <w:b/>
          <w:sz w:val="24"/>
          <w:szCs w:val="24"/>
        </w:rPr>
        <w:t>IT IS ORDERED THAT</w:t>
      </w:r>
      <w:r>
        <w:rPr>
          <w:rFonts w:ascii="Times New Roman" w:hAnsi="Times New Roman" w:cs="Times New Roman"/>
          <w:sz w:val="24"/>
          <w:szCs w:val="24"/>
        </w:rPr>
        <w:t>:</w:t>
      </w:r>
    </w:p>
    <w:p w14:paraId="72E034AC" w14:textId="605DD39A" w:rsidR="00B945B4" w:rsidRDefault="00B945B4" w:rsidP="00805310">
      <w:pPr>
        <w:pStyle w:val="ListParagraph"/>
        <w:tabs>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application for a declaratory order be and is hereby granted.</w:t>
      </w:r>
    </w:p>
    <w:p w14:paraId="3FFFBE40" w14:textId="7775DD82" w:rsidR="00B945B4" w:rsidRDefault="00B945B4" w:rsidP="00B945B4">
      <w:pPr>
        <w:pStyle w:val="ListParagraph"/>
        <w:tabs>
          <w:tab w:val="left" w:pos="1080"/>
        </w:tabs>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 applicant be and is hereby declared to have been married customarily to </w:t>
      </w:r>
      <w:r>
        <w:rPr>
          <w:rFonts w:ascii="Times New Roman" w:hAnsi="Times New Roman" w:cs="Times New Roman"/>
          <w:sz w:val="24"/>
          <w:szCs w:val="24"/>
        </w:rPr>
        <w:tab/>
        <w:t xml:space="preserve">Shepherd Gwasira, and that she be declared a surviving spouse to the Estate </w:t>
      </w:r>
      <w:r>
        <w:rPr>
          <w:rFonts w:ascii="Times New Roman" w:hAnsi="Times New Roman" w:cs="Times New Roman"/>
          <w:sz w:val="24"/>
          <w:szCs w:val="24"/>
        </w:rPr>
        <w:tab/>
        <w:t>Late Shepherd Gwasira.</w:t>
      </w:r>
    </w:p>
    <w:p w14:paraId="0A7CB06E" w14:textId="7FBFB717" w:rsidR="00B945B4" w:rsidRDefault="00B945B4" w:rsidP="00B945B4">
      <w:pPr>
        <w:pStyle w:val="ListParagraph"/>
        <w:tabs>
          <w:tab w:val="left" w:pos="1080"/>
        </w:tabs>
        <w:spacing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The Late Shepherd Gwasira/deceased’s estate is declared to be governed by </w:t>
      </w:r>
      <w:r>
        <w:rPr>
          <w:rFonts w:ascii="Times New Roman" w:hAnsi="Times New Roman" w:cs="Times New Roman"/>
          <w:sz w:val="24"/>
          <w:szCs w:val="24"/>
        </w:rPr>
        <w:tab/>
        <w:t>customary law.</w:t>
      </w:r>
    </w:p>
    <w:p w14:paraId="31C5C9B6" w14:textId="08A8338B" w:rsidR="00B945B4" w:rsidRDefault="00B945B4" w:rsidP="00B945B4">
      <w:pPr>
        <w:pStyle w:val="ListParagraph"/>
        <w:tabs>
          <w:tab w:val="left" w:pos="1080"/>
        </w:tabs>
        <w:spacing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The third respondent be and is hereby ordered to pay costs of suit. </w:t>
      </w:r>
    </w:p>
    <w:p w14:paraId="16E3EF55" w14:textId="7E20AD44" w:rsidR="00B945B4" w:rsidRDefault="00B945B4" w:rsidP="002E730A">
      <w:pPr>
        <w:pStyle w:val="ListParagraph"/>
        <w:tabs>
          <w:tab w:val="left" w:pos="1080"/>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the Master of the High Court, is cited in his official capacity as the </w:t>
      </w:r>
      <w:r w:rsidR="002E730A">
        <w:rPr>
          <w:rFonts w:ascii="Times New Roman" w:hAnsi="Times New Roman" w:cs="Times New Roman"/>
          <w:sz w:val="24"/>
          <w:szCs w:val="24"/>
        </w:rPr>
        <w:t>one responsible for administration of deceased estates.</w:t>
      </w:r>
    </w:p>
    <w:p w14:paraId="3CC26DBE" w14:textId="77777777" w:rsidR="002E730A" w:rsidRDefault="002E730A" w:rsidP="002E730A">
      <w:pPr>
        <w:pStyle w:val="ListParagraph"/>
        <w:tabs>
          <w:tab w:val="left" w:pos="1080"/>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second respondent is cited in his capacity as executor of the estate of the late Shepherd Gwasira.</w:t>
      </w:r>
    </w:p>
    <w:p w14:paraId="70C97713" w14:textId="77777777" w:rsidR="002E730A" w:rsidRDefault="002E730A" w:rsidP="002E730A">
      <w:pPr>
        <w:pStyle w:val="ListParagraph"/>
        <w:tabs>
          <w:tab w:val="left" w:pos="1080"/>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third respondent is cited in her capacity as a surviving spouse of the late Shepherd Gwasira.</w:t>
      </w:r>
    </w:p>
    <w:p w14:paraId="075D1E46" w14:textId="77777777" w:rsidR="00480FC4" w:rsidRDefault="00480FC4" w:rsidP="002E730A">
      <w:pPr>
        <w:pStyle w:val="ListParagraph"/>
        <w:tabs>
          <w:tab w:val="left" w:pos="1080"/>
        </w:tabs>
        <w:spacing w:line="360" w:lineRule="auto"/>
        <w:ind w:left="0" w:firstLine="720"/>
        <w:jc w:val="both"/>
        <w:rPr>
          <w:rFonts w:ascii="Times New Roman" w:hAnsi="Times New Roman" w:cs="Times New Roman"/>
          <w:sz w:val="24"/>
          <w:szCs w:val="24"/>
        </w:rPr>
      </w:pPr>
    </w:p>
    <w:p w14:paraId="5CE682E1" w14:textId="77777777" w:rsidR="002E730A" w:rsidRPr="00480FC4" w:rsidRDefault="002E730A" w:rsidP="002E730A">
      <w:pPr>
        <w:pStyle w:val="ListParagraph"/>
        <w:tabs>
          <w:tab w:val="left" w:pos="1080"/>
        </w:tabs>
        <w:spacing w:line="360" w:lineRule="auto"/>
        <w:ind w:left="0" w:firstLine="720"/>
        <w:jc w:val="both"/>
        <w:rPr>
          <w:rFonts w:ascii="Times New Roman" w:hAnsi="Times New Roman" w:cs="Times New Roman"/>
          <w:b/>
          <w:sz w:val="24"/>
          <w:szCs w:val="24"/>
          <w:u w:val="single"/>
        </w:rPr>
      </w:pPr>
      <w:r w:rsidRPr="00480FC4">
        <w:rPr>
          <w:rFonts w:ascii="Times New Roman" w:hAnsi="Times New Roman" w:cs="Times New Roman"/>
          <w:b/>
          <w:sz w:val="24"/>
          <w:szCs w:val="24"/>
          <w:u w:val="single"/>
        </w:rPr>
        <w:lastRenderedPageBreak/>
        <w:t>The applicant’s submissions</w:t>
      </w:r>
    </w:p>
    <w:p w14:paraId="46A3FBD2" w14:textId="4D928EB9" w:rsidR="002E730A" w:rsidRDefault="002E730A" w:rsidP="002E730A">
      <w:pPr>
        <w:pStyle w:val="ListParagraph"/>
        <w:tabs>
          <w:tab w:val="left" w:pos="1080"/>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applicant, in support </w:t>
      </w:r>
      <w:r w:rsidR="00480FC4">
        <w:rPr>
          <w:rFonts w:ascii="Times New Roman" w:hAnsi="Times New Roman" w:cs="Times New Roman"/>
          <w:sz w:val="24"/>
          <w:szCs w:val="24"/>
        </w:rPr>
        <w:t xml:space="preserve">of </w:t>
      </w:r>
      <w:r>
        <w:rPr>
          <w:rFonts w:ascii="Times New Roman" w:hAnsi="Times New Roman" w:cs="Times New Roman"/>
          <w:sz w:val="24"/>
          <w:szCs w:val="24"/>
        </w:rPr>
        <w:t>her claim, submitted that she is a surviving spouse of the late Shepherd Gwasira as she was married cust</w:t>
      </w:r>
      <w:r w:rsidR="00480FC4">
        <w:rPr>
          <w:rFonts w:ascii="Times New Roman" w:hAnsi="Times New Roman" w:cs="Times New Roman"/>
          <w:sz w:val="24"/>
          <w:szCs w:val="24"/>
        </w:rPr>
        <w:t>omarily in a ceremony held at Number</w:t>
      </w:r>
      <w:r>
        <w:rPr>
          <w:rFonts w:ascii="Times New Roman" w:hAnsi="Times New Roman" w:cs="Times New Roman"/>
          <w:sz w:val="24"/>
          <w:szCs w:val="24"/>
        </w:rPr>
        <w:t xml:space="preserve"> 27 Makazhi Road</w:t>
      </w:r>
      <w:r w:rsidR="00480FC4">
        <w:rPr>
          <w:rFonts w:ascii="Times New Roman" w:hAnsi="Times New Roman" w:cs="Times New Roman"/>
          <w:sz w:val="24"/>
          <w:szCs w:val="24"/>
        </w:rPr>
        <w:t>,</w:t>
      </w:r>
      <w:r>
        <w:rPr>
          <w:rFonts w:ascii="Times New Roman" w:hAnsi="Times New Roman" w:cs="Times New Roman"/>
          <w:sz w:val="24"/>
          <w:szCs w:val="24"/>
        </w:rPr>
        <w:t xml:space="preserve"> Karoi on 6 October 2007. One Simbayi Cogen Gwasira, a brother to the deceased is alleged to have been present at this ceremony and his supporting affidavit is attached as Annexure </w:t>
      </w:r>
      <w:r w:rsidR="00480FC4">
        <w:rPr>
          <w:rFonts w:ascii="Times New Roman" w:hAnsi="Times New Roman" w:cs="Times New Roman"/>
          <w:sz w:val="24"/>
          <w:szCs w:val="24"/>
        </w:rPr>
        <w:t>“</w:t>
      </w:r>
      <w:r>
        <w:rPr>
          <w:rFonts w:ascii="Times New Roman" w:hAnsi="Times New Roman" w:cs="Times New Roman"/>
          <w:sz w:val="24"/>
          <w:szCs w:val="24"/>
        </w:rPr>
        <w:t>A</w:t>
      </w:r>
      <w:r w:rsidR="00480FC4">
        <w:rPr>
          <w:rFonts w:ascii="Times New Roman" w:hAnsi="Times New Roman" w:cs="Times New Roman"/>
          <w:sz w:val="24"/>
          <w:szCs w:val="24"/>
        </w:rPr>
        <w:t>”</w:t>
      </w:r>
      <w:r>
        <w:rPr>
          <w:rFonts w:ascii="Times New Roman" w:hAnsi="Times New Roman" w:cs="Times New Roman"/>
          <w:sz w:val="24"/>
          <w:szCs w:val="24"/>
        </w:rPr>
        <w:t>.</w:t>
      </w:r>
    </w:p>
    <w:p w14:paraId="501157B9" w14:textId="08070D73" w:rsidR="001F3567" w:rsidRDefault="002E730A" w:rsidP="002E730A">
      <w:pPr>
        <w:pStyle w:val="ListParagraph"/>
        <w:tabs>
          <w:tab w:val="left" w:pos="1080"/>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Further a supporting affidavit of the applicant’s uncle, one Willard Mahlaba is also attached confirming that the customary marriage ceremony did happen as alleged. It appears as Annexure </w:t>
      </w:r>
      <w:r w:rsidR="00480FC4">
        <w:rPr>
          <w:rFonts w:ascii="Times New Roman" w:hAnsi="Times New Roman" w:cs="Times New Roman"/>
          <w:sz w:val="24"/>
          <w:szCs w:val="24"/>
        </w:rPr>
        <w:t>“</w:t>
      </w:r>
      <w:r>
        <w:rPr>
          <w:rFonts w:ascii="Times New Roman" w:hAnsi="Times New Roman" w:cs="Times New Roman"/>
          <w:sz w:val="24"/>
          <w:szCs w:val="24"/>
        </w:rPr>
        <w:t>B</w:t>
      </w:r>
      <w:r w:rsidR="00480FC4">
        <w:rPr>
          <w:rFonts w:ascii="Times New Roman" w:hAnsi="Times New Roman" w:cs="Times New Roman"/>
          <w:sz w:val="24"/>
          <w:szCs w:val="24"/>
        </w:rPr>
        <w:t>”</w:t>
      </w:r>
      <w:r>
        <w:rPr>
          <w:rFonts w:ascii="Times New Roman" w:hAnsi="Times New Roman" w:cs="Times New Roman"/>
          <w:sz w:val="24"/>
          <w:szCs w:val="24"/>
        </w:rPr>
        <w:t xml:space="preserve">.  A </w:t>
      </w:r>
      <w:r w:rsidRPr="001F3567">
        <w:rPr>
          <w:rFonts w:ascii="Times New Roman" w:hAnsi="Times New Roman" w:cs="Times New Roman"/>
          <w:i/>
          <w:sz w:val="24"/>
          <w:szCs w:val="24"/>
        </w:rPr>
        <w:t>roora</w:t>
      </w:r>
      <w:r>
        <w:rPr>
          <w:rFonts w:ascii="Times New Roman" w:hAnsi="Times New Roman" w:cs="Times New Roman"/>
          <w:sz w:val="24"/>
          <w:szCs w:val="24"/>
        </w:rPr>
        <w:t xml:space="preserve"> list is attached </w:t>
      </w:r>
      <w:r w:rsidR="001F3567">
        <w:rPr>
          <w:rFonts w:ascii="Times New Roman" w:hAnsi="Times New Roman" w:cs="Times New Roman"/>
          <w:sz w:val="24"/>
          <w:szCs w:val="24"/>
        </w:rPr>
        <w:t xml:space="preserve">as Annexure </w:t>
      </w:r>
      <w:r w:rsidR="00480FC4">
        <w:rPr>
          <w:rFonts w:ascii="Times New Roman" w:hAnsi="Times New Roman" w:cs="Times New Roman"/>
          <w:sz w:val="24"/>
          <w:szCs w:val="24"/>
        </w:rPr>
        <w:t>“C”</w:t>
      </w:r>
      <w:r w:rsidR="001F3567">
        <w:rPr>
          <w:rFonts w:ascii="Times New Roman" w:hAnsi="Times New Roman" w:cs="Times New Roman"/>
          <w:sz w:val="24"/>
          <w:szCs w:val="24"/>
        </w:rPr>
        <w:t xml:space="preserve"> confirming the same </w:t>
      </w:r>
      <w:r w:rsidR="00480FC4">
        <w:rPr>
          <w:rFonts w:ascii="Times New Roman" w:hAnsi="Times New Roman" w:cs="Times New Roman"/>
          <w:sz w:val="24"/>
          <w:szCs w:val="24"/>
        </w:rPr>
        <w:t>position</w:t>
      </w:r>
      <w:r w:rsidR="001F3567">
        <w:rPr>
          <w:rFonts w:ascii="Times New Roman" w:hAnsi="Times New Roman" w:cs="Times New Roman"/>
          <w:sz w:val="24"/>
          <w:szCs w:val="24"/>
        </w:rPr>
        <w:t>.</w:t>
      </w:r>
    </w:p>
    <w:p w14:paraId="4DEFF8E5" w14:textId="7BB05F77" w:rsidR="001F3567" w:rsidRDefault="001F3567" w:rsidP="002E730A">
      <w:pPr>
        <w:pStyle w:val="ListParagraph"/>
        <w:tabs>
          <w:tab w:val="left" w:pos="1080"/>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avers that the deceased went on to give her House Number 31 Helena Marlborough, Harare in which she resides as he wanted to avoid animosity between the applicant and </w:t>
      </w:r>
      <w:r w:rsidR="00480FC4">
        <w:rPr>
          <w:rFonts w:ascii="Times New Roman" w:hAnsi="Times New Roman" w:cs="Times New Roman"/>
          <w:sz w:val="24"/>
          <w:szCs w:val="24"/>
        </w:rPr>
        <w:t>the third respondent. Annexure “</w:t>
      </w:r>
      <w:r>
        <w:rPr>
          <w:rFonts w:ascii="Times New Roman" w:hAnsi="Times New Roman" w:cs="Times New Roman"/>
          <w:sz w:val="24"/>
          <w:szCs w:val="24"/>
        </w:rPr>
        <w:t>QE</w:t>
      </w:r>
      <w:r w:rsidR="00480FC4">
        <w:rPr>
          <w:rFonts w:ascii="Times New Roman" w:hAnsi="Times New Roman" w:cs="Times New Roman"/>
          <w:sz w:val="24"/>
          <w:szCs w:val="24"/>
        </w:rPr>
        <w:t>”</w:t>
      </w:r>
      <w:r>
        <w:rPr>
          <w:rFonts w:ascii="Times New Roman" w:hAnsi="Times New Roman" w:cs="Times New Roman"/>
          <w:sz w:val="24"/>
          <w:szCs w:val="24"/>
        </w:rPr>
        <w:t xml:space="preserve"> an interpleader notice and claimant’s founding affidavit (the deceased) is attached thereto as establishing this position. </w:t>
      </w:r>
    </w:p>
    <w:p w14:paraId="5A4CAD2D" w14:textId="62CAD890" w:rsidR="001F3567" w:rsidRDefault="001F3567" w:rsidP="002E730A">
      <w:pPr>
        <w:pStyle w:val="ListParagraph"/>
        <w:tabs>
          <w:tab w:val="left" w:pos="1080"/>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A child, Rudo Evia Gwasira was born to the applicant and the deceased and her birth certi</w:t>
      </w:r>
      <w:r w:rsidR="00480FC4">
        <w:rPr>
          <w:rFonts w:ascii="Times New Roman" w:hAnsi="Times New Roman" w:cs="Times New Roman"/>
          <w:sz w:val="24"/>
          <w:szCs w:val="24"/>
        </w:rPr>
        <w:t>ficate is attached as Annexure “D”</w:t>
      </w:r>
      <w:r>
        <w:rPr>
          <w:rFonts w:ascii="Times New Roman" w:hAnsi="Times New Roman" w:cs="Times New Roman"/>
          <w:sz w:val="24"/>
          <w:szCs w:val="24"/>
        </w:rPr>
        <w:t xml:space="preserve">. Several wedding pictures of family members are attached as Annexure </w:t>
      </w:r>
      <w:r w:rsidR="00480FC4">
        <w:rPr>
          <w:rFonts w:ascii="Times New Roman" w:hAnsi="Times New Roman" w:cs="Times New Roman"/>
          <w:sz w:val="24"/>
          <w:szCs w:val="24"/>
        </w:rPr>
        <w:t>“</w:t>
      </w:r>
      <w:r>
        <w:rPr>
          <w:rFonts w:ascii="Times New Roman" w:hAnsi="Times New Roman" w:cs="Times New Roman"/>
          <w:sz w:val="24"/>
          <w:szCs w:val="24"/>
        </w:rPr>
        <w:t>E</w:t>
      </w:r>
      <w:r w:rsidR="00480FC4">
        <w:rPr>
          <w:rFonts w:ascii="Times New Roman" w:hAnsi="Times New Roman" w:cs="Times New Roman"/>
          <w:sz w:val="24"/>
          <w:szCs w:val="24"/>
        </w:rPr>
        <w:t>”</w:t>
      </w:r>
      <w:r>
        <w:rPr>
          <w:rFonts w:ascii="Times New Roman" w:hAnsi="Times New Roman" w:cs="Times New Roman"/>
          <w:sz w:val="24"/>
          <w:szCs w:val="24"/>
        </w:rPr>
        <w:t xml:space="preserve"> series as proof that the applicant and her daughter were acknowledged and embraced as family and in particular that she was a spouse.  </w:t>
      </w:r>
    </w:p>
    <w:p w14:paraId="24AEB46B" w14:textId="62726EB9" w:rsidR="001F3567" w:rsidRDefault="001F3567" w:rsidP="002E730A">
      <w:pPr>
        <w:pStyle w:val="ListParagraph"/>
        <w:tabs>
          <w:tab w:val="left" w:pos="1080"/>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Additionally a further supporting affidavit from the deceased’s son, Munyaradzi G</w:t>
      </w:r>
      <w:r w:rsidR="00506E60">
        <w:rPr>
          <w:rFonts w:ascii="Times New Roman" w:hAnsi="Times New Roman" w:cs="Times New Roman"/>
          <w:sz w:val="24"/>
          <w:szCs w:val="24"/>
        </w:rPr>
        <w:t>wasira is attached as Annexure “</w:t>
      </w:r>
      <w:r>
        <w:rPr>
          <w:rFonts w:ascii="Times New Roman" w:hAnsi="Times New Roman" w:cs="Times New Roman"/>
          <w:sz w:val="24"/>
          <w:szCs w:val="24"/>
        </w:rPr>
        <w:t>F</w:t>
      </w:r>
      <w:r w:rsidR="00506E60">
        <w:rPr>
          <w:rFonts w:ascii="Times New Roman" w:hAnsi="Times New Roman" w:cs="Times New Roman"/>
          <w:sz w:val="24"/>
          <w:szCs w:val="24"/>
        </w:rPr>
        <w:t>”</w:t>
      </w:r>
      <w:r>
        <w:rPr>
          <w:rFonts w:ascii="Times New Roman" w:hAnsi="Times New Roman" w:cs="Times New Roman"/>
          <w:sz w:val="24"/>
          <w:szCs w:val="24"/>
        </w:rPr>
        <w:t xml:space="preserve">, which is alleged to confirm that the applicant was a spouse to the deceased.  </w:t>
      </w:r>
    </w:p>
    <w:p w14:paraId="7B57BCD5" w14:textId="7C916A7C" w:rsidR="001F3567" w:rsidRDefault="001F3567" w:rsidP="002E730A">
      <w:pPr>
        <w:pStyle w:val="ListParagraph"/>
        <w:tabs>
          <w:tab w:val="left" w:pos="1080"/>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A judgment in divorce proceedings between the deceased and one Sophia G</w:t>
      </w:r>
      <w:r w:rsidR="00506E60">
        <w:rPr>
          <w:rFonts w:ascii="Times New Roman" w:hAnsi="Times New Roman" w:cs="Times New Roman"/>
          <w:sz w:val="24"/>
          <w:szCs w:val="24"/>
        </w:rPr>
        <w:t>wasira is attached as Annexure “G”</w:t>
      </w:r>
      <w:r>
        <w:rPr>
          <w:rFonts w:ascii="Times New Roman" w:hAnsi="Times New Roman" w:cs="Times New Roman"/>
          <w:sz w:val="24"/>
          <w:szCs w:val="24"/>
        </w:rPr>
        <w:t xml:space="preserve"> and is said to show that the deceased was a polygamist and she was one of the wives.</w:t>
      </w:r>
    </w:p>
    <w:p w14:paraId="34A631D0" w14:textId="77777777" w:rsidR="001F3567" w:rsidRDefault="001F3567" w:rsidP="002E730A">
      <w:pPr>
        <w:pStyle w:val="ListParagraph"/>
        <w:tabs>
          <w:tab w:val="left" w:pos="1080"/>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It was contended that the applicant has a direct interest in the estate of the late Shepherd Gwasira as she was customarily married to him. Her interest is said to be real, in the circumstances.  </w:t>
      </w:r>
    </w:p>
    <w:p w14:paraId="42A05984" w14:textId="77777777" w:rsidR="00DA406C" w:rsidRDefault="001F3567" w:rsidP="002E730A">
      <w:pPr>
        <w:pStyle w:val="ListParagraph"/>
        <w:tabs>
          <w:tab w:val="left" w:pos="1080"/>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case of </w:t>
      </w:r>
      <w:r w:rsidRPr="00DA406C">
        <w:rPr>
          <w:rFonts w:ascii="Times New Roman" w:hAnsi="Times New Roman" w:cs="Times New Roman"/>
          <w:i/>
          <w:sz w:val="24"/>
          <w:szCs w:val="24"/>
        </w:rPr>
        <w:t>Hosho</w:t>
      </w:r>
      <w:r>
        <w:rPr>
          <w:rFonts w:ascii="Times New Roman" w:hAnsi="Times New Roman" w:cs="Times New Roman"/>
          <w:sz w:val="24"/>
          <w:szCs w:val="24"/>
        </w:rPr>
        <w:t xml:space="preserve"> v </w:t>
      </w:r>
      <w:r w:rsidRPr="00DA406C">
        <w:rPr>
          <w:rFonts w:ascii="Times New Roman" w:hAnsi="Times New Roman" w:cs="Times New Roman"/>
          <w:i/>
          <w:sz w:val="24"/>
          <w:szCs w:val="24"/>
        </w:rPr>
        <w:t>Hasisi</w:t>
      </w:r>
      <w:r>
        <w:rPr>
          <w:rFonts w:ascii="Times New Roman" w:hAnsi="Times New Roman" w:cs="Times New Roman"/>
          <w:sz w:val="24"/>
          <w:szCs w:val="24"/>
        </w:rPr>
        <w:t xml:space="preserve"> HH 491/15 was relied on to argue that there is adequate proof in the applicant’s evidence to show that the process of </w:t>
      </w:r>
      <w:r w:rsidRPr="001F3567">
        <w:rPr>
          <w:rFonts w:ascii="Times New Roman" w:hAnsi="Times New Roman" w:cs="Times New Roman"/>
          <w:i/>
          <w:sz w:val="24"/>
          <w:szCs w:val="24"/>
        </w:rPr>
        <w:t>roora</w:t>
      </w:r>
      <w:r>
        <w:rPr>
          <w:rFonts w:ascii="Times New Roman" w:hAnsi="Times New Roman" w:cs="Times New Roman"/>
          <w:sz w:val="24"/>
          <w:szCs w:val="24"/>
        </w:rPr>
        <w:t xml:space="preserve"> payment involving key representatives of both families did occur and such</w:t>
      </w:r>
      <w:r w:rsidR="00DA406C">
        <w:rPr>
          <w:rFonts w:ascii="Times New Roman" w:hAnsi="Times New Roman" w:cs="Times New Roman"/>
          <w:sz w:val="24"/>
          <w:szCs w:val="24"/>
        </w:rPr>
        <w:t xml:space="preserve"> representatives have attested to the process having occurred as outlined above and appearing in annexures attached thereto.</w:t>
      </w:r>
    </w:p>
    <w:p w14:paraId="60B0F935" w14:textId="34591ECF" w:rsidR="00356182" w:rsidRDefault="00DA406C" w:rsidP="002E730A">
      <w:pPr>
        <w:pStyle w:val="ListParagraph"/>
        <w:tabs>
          <w:tab w:val="left" w:pos="1080"/>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Constitution of Zimbabwe, 2013 in </w:t>
      </w:r>
      <w:r w:rsidR="00506E60">
        <w:rPr>
          <w:rFonts w:ascii="Times New Roman" w:hAnsi="Times New Roman" w:cs="Times New Roman"/>
          <w:sz w:val="24"/>
          <w:szCs w:val="24"/>
        </w:rPr>
        <w:t>s</w:t>
      </w:r>
      <w:r>
        <w:rPr>
          <w:rFonts w:ascii="Times New Roman" w:hAnsi="Times New Roman" w:cs="Times New Roman"/>
          <w:sz w:val="24"/>
          <w:szCs w:val="24"/>
        </w:rPr>
        <w:t xml:space="preserve"> 26(a) is relied on to argue for the necessary protection </w:t>
      </w:r>
      <w:r w:rsidR="00356182">
        <w:rPr>
          <w:rFonts w:ascii="Times New Roman" w:hAnsi="Times New Roman" w:cs="Times New Roman"/>
          <w:sz w:val="24"/>
          <w:szCs w:val="24"/>
        </w:rPr>
        <w:t xml:space="preserve">of any children and spouses of a deceased person as well as s 68(3) of the </w:t>
      </w:r>
      <w:r w:rsidR="00356182">
        <w:rPr>
          <w:rFonts w:ascii="Times New Roman" w:hAnsi="Times New Roman" w:cs="Times New Roman"/>
          <w:sz w:val="24"/>
          <w:szCs w:val="24"/>
        </w:rPr>
        <w:lastRenderedPageBreak/>
        <w:t>Administration of Estates Act [</w:t>
      </w:r>
      <w:r w:rsidR="00356182" w:rsidRPr="00356182">
        <w:rPr>
          <w:rFonts w:ascii="Times New Roman" w:hAnsi="Times New Roman" w:cs="Times New Roman"/>
          <w:i/>
          <w:sz w:val="24"/>
          <w:szCs w:val="24"/>
        </w:rPr>
        <w:t>Chapter 6:01</w:t>
      </w:r>
      <w:r w:rsidR="00506E60">
        <w:rPr>
          <w:rFonts w:ascii="Times New Roman" w:hAnsi="Times New Roman" w:cs="Times New Roman"/>
          <w:sz w:val="24"/>
          <w:szCs w:val="24"/>
        </w:rPr>
        <w:t>] which recognised a u</w:t>
      </w:r>
      <w:r w:rsidR="00356182">
        <w:rPr>
          <w:rFonts w:ascii="Times New Roman" w:hAnsi="Times New Roman" w:cs="Times New Roman"/>
          <w:sz w:val="24"/>
          <w:szCs w:val="24"/>
        </w:rPr>
        <w:t>nion contracted in terms of customary law rites.</w:t>
      </w:r>
    </w:p>
    <w:p w14:paraId="73E434C4" w14:textId="2B5A8F7B" w:rsidR="00047A32" w:rsidRDefault="00356182" w:rsidP="002E730A">
      <w:pPr>
        <w:pStyle w:val="ListParagraph"/>
        <w:tabs>
          <w:tab w:val="left" w:pos="1080"/>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applicant therefore prays for the granting of the draft </w:t>
      </w:r>
      <w:r w:rsidR="00047A32">
        <w:rPr>
          <w:rFonts w:ascii="Times New Roman" w:hAnsi="Times New Roman" w:cs="Times New Roman"/>
          <w:sz w:val="24"/>
          <w:szCs w:val="24"/>
        </w:rPr>
        <w:t>order set out above.</w:t>
      </w:r>
    </w:p>
    <w:p w14:paraId="78D29239" w14:textId="77777777" w:rsidR="00047A32" w:rsidRPr="00506E60" w:rsidRDefault="00047A32" w:rsidP="002E730A">
      <w:pPr>
        <w:pStyle w:val="ListParagraph"/>
        <w:tabs>
          <w:tab w:val="left" w:pos="1080"/>
        </w:tabs>
        <w:spacing w:line="360" w:lineRule="auto"/>
        <w:ind w:left="0" w:firstLine="720"/>
        <w:jc w:val="both"/>
        <w:rPr>
          <w:rFonts w:ascii="Times New Roman" w:hAnsi="Times New Roman" w:cs="Times New Roman"/>
          <w:b/>
          <w:sz w:val="24"/>
          <w:szCs w:val="24"/>
          <w:u w:val="single"/>
        </w:rPr>
      </w:pPr>
      <w:r w:rsidRPr="00506E60">
        <w:rPr>
          <w:rFonts w:ascii="Times New Roman" w:hAnsi="Times New Roman" w:cs="Times New Roman"/>
          <w:b/>
          <w:sz w:val="24"/>
          <w:szCs w:val="24"/>
          <w:u w:val="single"/>
        </w:rPr>
        <w:t>Second Respondent’s Submissions</w:t>
      </w:r>
    </w:p>
    <w:p w14:paraId="4C3F2BCA" w14:textId="1881EBAE" w:rsidR="00047A32" w:rsidRDefault="00047A32" w:rsidP="002E730A">
      <w:pPr>
        <w:pStyle w:val="ListParagraph"/>
        <w:tabs>
          <w:tab w:val="left" w:pos="1080"/>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second respondent’s counsel indicated that the second respondent has no vested interest and would abide by the ruling of the court.  </w:t>
      </w:r>
    </w:p>
    <w:p w14:paraId="7AD35572" w14:textId="164EF931" w:rsidR="00047A32" w:rsidRPr="00285F4B" w:rsidRDefault="00047A32" w:rsidP="002E730A">
      <w:pPr>
        <w:pStyle w:val="ListParagraph"/>
        <w:tabs>
          <w:tab w:val="left" w:pos="1080"/>
        </w:tabs>
        <w:spacing w:line="360" w:lineRule="auto"/>
        <w:ind w:left="0" w:firstLine="720"/>
        <w:jc w:val="both"/>
        <w:rPr>
          <w:rFonts w:ascii="Times New Roman" w:hAnsi="Times New Roman" w:cs="Times New Roman"/>
          <w:b/>
          <w:sz w:val="24"/>
          <w:szCs w:val="24"/>
          <w:u w:val="single"/>
        </w:rPr>
      </w:pPr>
      <w:r w:rsidRPr="00285F4B">
        <w:rPr>
          <w:rFonts w:ascii="Times New Roman" w:hAnsi="Times New Roman" w:cs="Times New Roman"/>
          <w:b/>
          <w:sz w:val="24"/>
          <w:szCs w:val="24"/>
          <w:u w:val="single"/>
        </w:rPr>
        <w:t>Third Respondent’s Submissions</w:t>
      </w:r>
    </w:p>
    <w:p w14:paraId="22EDC298" w14:textId="22BC0106" w:rsidR="00047A32" w:rsidRDefault="00047A32" w:rsidP="002E730A">
      <w:pPr>
        <w:pStyle w:val="ListParagraph"/>
        <w:tabs>
          <w:tab w:val="left" w:pos="1080"/>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Mr Nyamakura opened his submissions by pointing out that this matter is replete with disputes of fact.  For their resolution the court was urged to follow the case of </w:t>
      </w:r>
      <w:r w:rsidRPr="00285F4B">
        <w:rPr>
          <w:rFonts w:ascii="Times New Roman" w:hAnsi="Times New Roman" w:cs="Times New Roman"/>
          <w:i/>
          <w:sz w:val="24"/>
          <w:szCs w:val="24"/>
        </w:rPr>
        <w:t xml:space="preserve">Moyo </w:t>
      </w:r>
      <w:r w:rsidRPr="00285F4B">
        <w:rPr>
          <w:rFonts w:ascii="Times New Roman" w:hAnsi="Times New Roman" w:cs="Times New Roman"/>
          <w:sz w:val="24"/>
          <w:szCs w:val="24"/>
        </w:rPr>
        <w:t>v</w:t>
      </w:r>
      <w:r w:rsidRPr="00285F4B">
        <w:rPr>
          <w:rFonts w:ascii="Times New Roman" w:hAnsi="Times New Roman" w:cs="Times New Roman"/>
          <w:i/>
          <w:sz w:val="24"/>
          <w:szCs w:val="24"/>
        </w:rPr>
        <w:t xml:space="preserve"> Zvoma</w:t>
      </w:r>
      <w:r>
        <w:rPr>
          <w:rFonts w:ascii="Times New Roman" w:hAnsi="Times New Roman" w:cs="Times New Roman"/>
          <w:sz w:val="24"/>
          <w:szCs w:val="24"/>
        </w:rPr>
        <w:t xml:space="preserve"> </w:t>
      </w:r>
      <w:r w:rsidRPr="00285F4B">
        <w:rPr>
          <w:rFonts w:ascii="Times New Roman" w:hAnsi="Times New Roman" w:cs="Times New Roman"/>
          <w:i/>
          <w:sz w:val="24"/>
          <w:szCs w:val="24"/>
        </w:rPr>
        <w:t xml:space="preserve">N.O. </w:t>
      </w:r>
      <w:r w:rsidR="00285F4B">
        <w:rPr>
          <w:rFonts w:ascii="Times New Roman" w:hAnsi="Times New Roman" w:cs="Times New Roman"/>
          <w:i/>
          <w:sz w:val="24"/>
          <w:szCs w:val="24"/>
        </w:rPr>
        <w:t>&amp;</w:t>
      </w:r>
      <w:r w:rsidRPr="00285F4B">
        <w:rPr>
          <w:rFonts w:ascii="Times New Roman" w:hAnsi="Times New Roman" w:cs="Times New Roman"/>
          <w:i/>
          <w:sz w:val="24"/>
          <w:szCs w:val="24"/>
        </w:rPr>
        <w:t xml:space="preserve"> Anor</w:t>
      </w:r>
      <w:r>
        <w:rPr>
          <w:rFonts w:ascii="Times New Roman" w:hAnsi="Times New Roman" w:cs="Times New Roman"/>
          <w:sz w:val="24"/>
          <w:szCs w:val="24"/>
        </w:rPr>
        <w:t xml:space="preserve"> 2011</w:t>
      </w:r>
      <w:r w:rsidR="00687933">
        <w:rPr>
          <w:rFonts w:ascii="Times New Roman" w:hAnsi="Times New Roman" w:cs="Times New Roman"/>
          <w:sz w:val="24"/>
          <w:szCs w:val="24"/>
        </w:rPr>
        <w:t> </w:t>
      </w:r>
      <w:r>
        <w:rPr>
          <w:rFonts w:ascii="Times New Roman" w:hAnsi="Times New Roman" w:cs="Times New Roman"/>
          <w:sz w:val="24"/>
          <w:szCs w:val="24"/>
        </w:rPr>
        <w:t xml:space="preserve">(1) ZLR 395 in </w:t>
      </w:r>
      <w:r w:rsidR="00514797">
        <w:rPr>
          <w:rFonts w:ascii="Times New Roman" w:hAnsi="Times New Roman" w:cs="Times New Roman"/>
          <w:sz w:val="24"/>
          <w:szCs w:val="24"/>
        </w:rPr>
        <w:t>which</w:t>
      </w:r>
      <w:r>
        <w:rPr>
          <w:rFonts w:ascii="Times New Roman" w:hAnsi="Times New Roman" w:cs="Times New Roman"/>
          <w:sz w:val="24"/>
          <w:szCs w:val="24"/>
        </w:rPr>
        <w:t xml:space="preserve"> the court adopted the Plascon Evans rule and held that disputes of fact</w:t>
      </w:r>
      <w:r w:rsidR="00F235C5">
        <w:rPr>
          <w:rFonts w:ascii="Times New Roman" w:hAnsi="Times New Roman" w:cs="Times New Roman"/>
          <w:sz w:val="24"/>
          <w:szCs w:val="24"/>
        </w:rPr>
        <w:t xml:space="preserve"> must be</w:t>
      </w:r>
      <w:r>
        <w:rPr>
          <w:rFonts w:ascii="Times New Roman" w:hAnsi="Times New Roman" w:cs="Times New Roman"/>
          <w:sz w:val="24"/>
          <w:szCs w:val="24"/>
        </w:rPr>
        <w:t xml:space="preserve"> resolved against the party w</w:t>
      </w:r>
      <w:r w:rsidR="00687933">
        <w:rPr>
          <w:rFonts w:ascii="Times New Roman" w:hAnsi="Times New Roman" w:cs="Times New Roman"/>
          <w:sz w:val="24"/>
          <w:szCs w:val="24"/>
        </w:rPr>
        <w:t>h</w:t>
      </w:r>
      <w:r>
        <w:rPr>
          <w:rFonts w:ascii="Times New Roman" w:hAnsi="Times New Roman" w:cs="Times New Roman"/>
          <w:sz w:val="24"/>
          <w:szCs w:val="24"/>
        </w:rPr>
        <w:t>o adopted the application procedure fully aware of the attendant disputes of fact. The final</w:t>
      </w:r>
      <w:r w:rsidR="00F235C5">
        <w:rPr>
          <w:rFonts w:ascii="Times New Roman" w:hAnsi="Times New Roman" w:cs="Times New Roman"/>
          <w:sz w:val="24"/>
          <w:szCs w:val="24"/>
        </w:rPr>
        <w:t xml:space="preserve"> order</w:t>
      </w:r>
      <w:r>
        <w:rPr>
          <w:rFonts w:ascii="Times New Roman" w:hAnsi="Times New Roman" w:cs="Times New Roman"/>
          <w:sz w:val="24"/>
          <w:szCs w:val="24"/>
        </w:rPr>
        <w:t xml:space="preserve">, it was argued, could only be granted in application proceedings if the facts alleged by the applicant together with the admitted facts, justify it.  See also </w:t>
      </w:r>
      <w:r w:rsidRPr="00687933">
        <w:rPr>
          <w:rFonts w:ascii="Times New Roman" w:hAnsi="Times New Roman" w:cs="Times New Roman"/>
          <w:i/>
          <w:sz w:val="24"/>
          <w:szCs w:val="24"/>
        </w:rPr>
        <w:t>Savanhu</w:t>
      </w:r>
      <w:r>
        <w:rPr>
          <w:rFonts w:ascii="Times New Roman" w:hAnsi="Times New Roman" w:cs="Times New Roman"/>
          <w:sz w:val="24"/>
          <w:szCs w:val="24"/>
        </w:rPr>
        <w:t xml:space="preserve"> v </w:t>
      </w:r>
      <w:r w:rsidRPr="00687933">
        <w:rPr>
          <w:rFonts w:ascii="Times New Roman" w:hAnsi="Times New Roman" w:cs="Times New Roman"/>
          <w:i/>
          <w:sz w:val="24"/>
          <w:szCs w:val="24"/>
        </w:rPr>
        <w:t>Marere N.O</w:t>
      </w:r>
      <w:r>
        <w:rPr>
          <w:rFonts w:ascii="Times New Roman" w:hAnsi="Times New Roman" w:cs="Times New Roman"/>
          <w:sz w:val="24"/>
          <w:szCs w:val="24"/>
        </w:rPr>
        <w:t>. 2009 (1) ZLR 320 @ 324.</w:t>
      </w:r>
    </w:p>
    <w:p w14:paraId="0E49920F" w14:textId="1F361C7A" w:rsidR="00077277" w:rsidRDefault="00047A32" w:rsidP="002E730A">
      <w:pPr>
        <w:pStyle w:val="ListParagraph"/>
        <w:tabs>
          <w:tab w:val="left" w:pos="1080"/>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authenticity of the </w:t>
      </w:r>
      <w:r w:rsidRPr="00047A32">
        <w:rPr>
          <w:rFonts w:ascii="Times New Roman" w:hAnsi="Times New Roman" w:cs="Times New Roman"/>
          <w:i/>
          <w:sz w:val="24"/>
          <w:szCs w:val="24"/>
        </w:rPr>
        <w:t>roora</w:t>
      </w:r>
      <w:r>
        <w:rPr>
          <w:rFonts w:ascii="Times New Roman" w:hAnsi="Times New Roman" w:cs="Times New Roman"/>
          <w:sz w:val="24"/>
          <w:szCs w:val="24"/>
        </w:rPr>
        <w:t xml:space="preserve"> list, Annexure </w:t>
      </w:r>
      <w:r w:rsidR="00687933">
        <w:rPr>
          <w:rFonts w:ascii="Times New Roman" w:hAnsi="Times New Roman" w:cs="Times New Roman"/>
          <w:sz w:val="24"/>
          <w:szCs w:val="24"/>
        </w:rPr>
        <w:t>“</w:t>
      </w:r>
      <w:r>
        <w:rPr>
          <w:rFonts w:ascii="Times New Roman" w:hAnsi="Times New Roman" w:cs="Times New Roman"/>
          <w:sz w:val="24"/>
          <w:szCs w:val="24"/>
        </w:rPr>
        <w:t>C</w:t>
      </w:r>
      <w:r w:rsidR="00687933">
        <w:rPr>
          <w:rFonts w:ascii="Times New Roman" w:hAnsi="Times New Roman" w:cs="Times New Roman"/>
          <w:sz w:val="24"/>
          <w:szCs w:val="24"/>
        </w:rPr>
        <w:t>”</w:t>
      </w:r>
      <w:r>
        <w:rPr>
          <w:rFonts w:ascii="Times New Roman" w:hAnsi="Times New Roman" w:cs="Times New Roman"/>
          <w:sz w:val="24"/>
          <w:szCs w:val="24"/>
        </w:rPr>
        <w:t xml:space="preserve"> is questioned.  It is questioned who auth</w:t>
      </w:r>
      <w:r w:rsidR="00F235C5">
        <w:rPr>
          <w:rFonts w:ascii="Times New Roman" w:hAnsi="Times New Roman" w:cs="Times New Roman"/>
          <w:sz w:val="24"/>
          <w:szCs w:val="24"/>
        </w:rPr>
        <w:t>or</w:t>
      </w:r>
      <w:r>
        <w:rPr>
          <w:rFonts w:ascii="Times New Roman" w:hAnsi="Times New Roman" w:cs="Times New Roman"/>
          <w:sz w:val="24"/>
          <w:szCs w:val="24"/>
        </w:rPr>
        <w:t>ed it and whether listed amounts were indeed paid.  Further, it is said not to</w:t>
      </w:r>
      <w:r w:rsidR="00514797">
        <w:rPr>
          <w:rFonts w:ascii="Times New Roman" w:hAnsi="Times New Roman" w:cs="Times New Roman"/>
          <w:sz w:val="24"/>
          <w:szCs w:val="24"/>
        </w:rPr>
        <w:t xml:space="preserve"> accord with what is generally paid in Zimbabwe for </w:t>
      </w:r>
      <w:r w:rsidR="00514797" w:rsidRPr="00514797">
        <w:rPr>
          <w:rFonts w:ascii="Times New Roman" w:hAnsi="Times New Roman" w:cs="Times New Roman"/>
          <w:i/>
          <w:sz w:val="24"/>
          <w:szCs w:val="24"/>
        </w:rPr>
        <w:t>roora</w:t>
      </w:r>
      <w:r w:rsidR="00514797">
        <w:rPr>
          <w:rFonts w:ascii="Times New Roman" w:hAnsi="Times New Roman" w:cs="Times New Roman"/>
          <w:sz w:val="24"/>
          <w:szCs w:val="24"/>
        </w:rPr>
        <w:t>.  The applicant is said not to have dealt with this in her answering affidavit but instead admitted that in proceedings under HC 4789/23 she did not attach this list and she therefore did not have adequate proof in support of her claim.  This current list is alleged to have been hastily prepared therefore</w:t>
      </w:r>
      <w:r w:rsidR="00077277">
        <w:rPr>
          <w:rFonts w:ascii="Times New Roman" w:hAnsi="Times New Roman" w:cs="Times New Roman"/>
          <w:sz w:val="24"/>
          <w:szCs w:val="24"/>
        </w:rPr>
        <w:t>.</w:t>
      </w:r>
    </w:p>
    <w:p w14:paraId="4DCBFCCC" w14:textId="4A70D88D" w:rsidR="00D5654E" w:rsidRDefault="00077277" w:rsidP="002E730A">
      <w:pPr>
        <w:pStyle w:val="ListParagraph"/>
        <w:tabs>
          <w:tab w:val="left" w:pos="1080"/>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supporting affidavit of Simba</w:t>
      </w:r>
      <w:r w:rsidR="00ED1D00">
        <w:rPr>
          <w:rFonts w:ascii="Times New Roman" w:hAnsi="Times New Roman" w:cs="Times New Roman"/>
          <w:sz w:val="24"/>
          <w:szCs w:val="24"/>
        </w:rPr>
        <w:t>y</w:t>
      </w:r>
      <w:r>
        <w:rPr>
          <w:rFonts w:ascii="Times New Roman" w:hAnsi="Times New Roman" w:cs="Times New Roman"/>
          <w:sz w:val="24"/>
          <w:szCs w:val="24"/>
        </w:rPr>
        <w:t>i Cogen Gwasira is attacked by pointing out that in recorded minutes of meetings held by the second respondent, he had participated and professed ignorance of the alleged marriage. Such minutes appear in HC 910/22 and both the applicant and Simbai Cogen Gwa</w:t>
      </w:r>
      <w:r w:rsidR="00D5654E">
        <w:rPr>
          <w:rFonts w:ascii="Times New Roman" w:hAnsi="Times New Roman" w:cs="Times New Roman"/>
          <w:sz w:val="24"/>
          <w:szCs w:val="24"/>
        </w:rPr>
        <w:t xml:space="preserve">sira had not objected to same. A letter had even been written by the second respondent to applicant’s erstwhile legal practitioners pointing out the conflicting statements. </w:t>
      </w:r>
      <w:r w:rsidR="00514797">
        <w:rPr>
          <w:rFonts w:ascii="Times New Roman" w:hAnsi="Times New Roman" w:cs="Times New Roman"/>
          <w:sz w:val="24"/>
          <w:szCs w:val="24"/>
        </w:rPr>
        <w:t xml:space="preserve"> </w:t>
      </w:r>
    </w:p>
    <w:p w14:paraId="2F35BDF4" w14:textId="79EF265F" w:rsidR="00E13ABD" w:rsidRDefault="00D5654E" w:rsidP="002E730A">
      <w:pPr>
        <w:pStyle w:val="ListParagraph"/>
        <w:tabs>
          <w:tab w:val="left" w:pos="1080"/>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Applicant is also alleged to have sought to rely on an affidavit by one Brighton Gwasira before the magistrates court and in HH 94/23 which affidavit</w:t>
      </w:r>
      <w:r w:rsidR="00514797">
        <w:rPr>
          <w:rFonts w:ascii="Times New Roman" w:hAnsi="Times New Roman" w:cs="Times New Roman"/>
          <w:sz w:val="24"/>
          <w:szCs w:val="24"/>
        </w:rPr>
        <w:t xml:space="preserve"> </w:t>
      </w:r>
      <w:r>
        <w:rPr>
          <w:rFonts w:ascii="Times New Roman" w:hAnsi="Times New Roman" w:cs="Times New Roman"/>
          <w:sz w:val="24"/>
          <w:szCs w:val="24"/>
        </w:rPr>
        <w:t>has been omitted in this case.  The said Brighton has distanced himself from that affidavit and it turns out that he was only 17 years</w:t>
      </w:r>
      <w:r w:rsidR="00E13ABD">
        <w:rPr>
          <w:rFonts w:ascii="Times New Roman" w:hAnsi="Times New Roman" w:cs="Times New Roman"/>
          <w:sz w:val="24"/>
          <w:szCs w:val="24"/>
        </w:rPr>
        <w:t xml:space="preserve"> old at the time and is a distant relative.</w:t>
      </w:r>
    </w:p>
    <w:p w14:paraId="545F20BC" w14:textId="77777777" w:rsidR="00E13ABD" w:rsidRDefault="00E13ABD" w:rsidP="002E730A">
      <w:pPr>
        <w:pStyle w:val="ListParagraph"/>
        <w:tabs>
          <w:tab w:val="left" w:pos="1080"/>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One Ephraim Gwasira and Samuel Kapfumvuti who were used by the deceased consistently as “vanyai” in his marriages to the third respondent, Neddy Mutingondo and Sophia Njanike have professed ignorance of the applicant’s alleged marriage.  </w:t>
      </w:r>
    </w:p>
    <w:p w14:paraId="1CEFF01D" w14:textId="669FF13D" w:rsidR="004B14AE" w:rsidRDefault="00E13ABD" w:rsidP="002E730A">
      <w:pPr>
        <w:pStyle w:val="ListParagraph"/>
        <w:tabs>
          <w:tab w:val="left" w:pos="1080"/>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The third responde</w:t>
      </w:r>
      <w:r w:rsidR="007B35E6">
        <w:rPr>
          <w:rFonts w:ascii="Times New Roman" w:hAnsi="Times New Roman" w:cs="Times New Roman"/>
          <w:sz w:val="24"/>
          <w:szCs w:val="24"/>
        </w:rPr>
        <w:t>nt has attached as Annexures “F</w:t>
      </w:r>
      <w:r>
        <w:rPr>
          <w:rFonts w:ascii="Times New Roman" w:hAnsi="Times New Roman" w:cs="Times New Roman"/>
          <w:sz w:val="24"/>
          <w:szCs w:val="24"/>
        </w:rPr>
        <w:t>1” to “F3” affidavits by Ephraim Gwasira and Samuel Kapfumvuti and</w:t>
      </w:r>
      <w:r w:rsidR="00A61D90">
        <w:rPr>
          <w:rFonts w:ascii="Times New Roman" w:hAnsi="Times New Roman" w:cs="Times New Roman"/>
          <w:sz w:val="24"/>
          <w:szCs w:val="24"/>
        </w:rPr>
        <w:t xml:space="preserve"> Annexure “G1” an affidavit by Zambe Nyika, deceased’s blood brother.  They all confess ignorance of the existence of this marriage.</w:t>
      </w:r>
    </w:p>
    <w:p w14:paraId="361D714A" w14:textId="3667DBBA" w:rsidR="005A20D5" w:rsidRDefault="004B14AE" w:rsidP="002E730A">
      <w:pPr>
        <w:pStyle w:val="ListParagraph"/>
        <w:tabs>
          <w:tab w:val="left" w:pos="1080"/>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It is pointed out too that earlier on, the applicant approached the Mutare magistrates’ court without notifying all interested parties and clandestinely obtained confirmation on her status as surviving spouse.  This was set aside under HH 552/21.  Interestingly the applicant has not brought the same evidence she had placed before the magistrates court, in particular affidavits of Omer Gwasira and </w:t>
      </w:r>
      <w:r w:rsidR="00B03C8A">
        <w:rPr>
          <w:rFonts w:ascii="Times New Roman" w:hAnsi="Times New Roman" w:cs="Times New Roman"/>
          <w:sz w:val="24"/>
          <w:szCs w:val="24"/>
        </w:rPr>
        <w:t xml:space="preserve">Leven Gwasira. </w:t>
      </w:r>
      <w:r w:rsidR="007B35E6">
        <w:rPr>
          <w:rFonts w:ascii="Times New Roman" w:hAnsi="Times New Roman" w:cs="Times New Roman"/>
          <w:sz w:val="24"/>
          <w:szCs w:val="24"/>
        </w:rPr>
        <w:t> </w:t>
      </w:r>
      <w:r w:rsidR="00B03C8A">
        <w:rPr>
          <w:rFonts w:ascii="Times New Roman" w:hAnsi="Times New Roman" w:cs="Times New Roman"/>
          <w:sz w:val="24"/>
          <w:szCs w:val="24"/>
        </w:rPr>
        <w:t>It is argued that this might mean that th</w:t>
      </w:r>
      <w:r w:rsidR="007B35E6">
        <w:rPr>
          <w:rFonts w:ascii="Times New Roman" w:hAnsi="Times New Roman" w:cs="Times New Roman"/>
          <w:sz w:val="24"/>
          <w:szCs w:val="24"/>
        </w:rPr>
        <w:t>e</w:t>
      </w:r>
      <w:r w:rsidR="00B03C8A">
        <w:rPr>
          <w:rFonts w:ascii="Times New Roman" w:hAnsi="Times New Roman" w:cs="Times New Roman"/>
          <w:sz w:val="24"/>
          <w:szCs w:val="24"/>
        </w:rPr>
        <w:t xml:space="preserve"> two knew nothing of the </w:t>
      </w:r>
      <w:r w:rsidR="005A20D5">
        <w:rPr>
          <w:rFonts w:ascii="Times New Roman" w:hAnsi="Times New Roman" w:cs="Times New Roman"/>
          <w:sz w:val="24"/>
          <w:szCs w:val="24"/>
        </w:rPr>
        <w:t>alleged marriage.</w:t>
      </w:r>
    </w:p>
    <w:p w14:paraId="413A08B7" w14:textId="2642A72B" w:rsidR="005A20D5" w:rsidRDefault="005A20D5" w:rsidP="002E730A">
      <w:pPr>
        <w:pStyle w:val="ListParagraph"/>
        <w:tabs>
          <w:tab w:val="left" w:pos="1080"/>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House Number 31 Helena Marlborough is said to</w:t>
      </w:r>
      <w:r w:rsidR="00574E46">
        <w:rPr>
          <w:rFonts w:ascii="Times New Roman" w:hAnsi="Times New Roman" w:cs="Times New Roman"/>
          <w:sz w:val="24"/>
          <w:szCs w:val="24"/>
        </w:rPr>
        <w:t xml:space="preserve"> be registered in the name of the deceased and not in the applicant’s name.  She is said to have been allowed to stay there so that the child born to the affair would be in comfortable accommodation as the deceased loved all his children equally.</w:t>
      </w:r>
      <w:r>
        <w:rPr>
          <w:rFonts w:ascii="Times New Roman" w:hAnsi="Times New Roman" w:cs="Times New Roman"/>
          <w:sz w:val="24"/>
          <w:szCs w:val="24"/>
        </w:rPr>
        <w:t xml:space="preserve">   </w:t>
      </w:r>
    </w:p>
    <w:p w14:paraId="16AC2415" w14:textId="20F68C33" w:rsidR="00987746" w:rsidRDefault="004155D3" w:rsidP="002E730A">
      <w:pPr>
        <w:pStyle w:val="ListParagraph"/>
        <w:tabs>
          <w:tab w:val="left" w:pos="1080"/>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third respondent denies that the child Rudo Eva Gwasira was born to the applicant and her deceased husband during the alleged customary marriage.  This is so because the child </w:t>
      </w:r>
      <w:r w:rsidR="00987746">
        <w:rPr>
          <w:rFonts w:ascii="Times New Roman" w:hAnsi="Times New Roman" w:cs="Times New Roman"/>
          <w:sz w:val="24"/>
          <w:szCs w:val="24"/>
        </w:rPr>
        <w:t xml:space="preserve">who was born on 27 January 2006 prior to the alleged </w:t>
      </w:r>
      <w:r w:rsidR="00987746" w:rsidRPr="00987746">
        <w:rPr>
          <w:rFonts w:ascii="Times New Roman" w:hAnsi="Times New Roman" w:cs="Times New Roman"/>
          <w:i/>
          <w:sz w:val="24"/>
          <w:szCs w:val="24"/>
        </w:rPr>
        <w:t>roora</w:t>
      </w:r>
      <w:r w:rsidR="00987746">
        <w:rPr>
          <w:rFonts w:ascii="Times New Roman" w:hAnsi="Times New Roman" w:cs="Times New Roman"/>
          <w:sz w:val="24"/>
          <w:szCs w:val="24"/>
        </w:rPr>
        <w:t xml:space="preserve"> ceremony which happened on 6 </w:t>
      </w:r>
      <w:r w:rsidR="00A93210">
        <w:rPr>
          <w:rFonts w:ascii="Times New Roman" w:hAnsi="Times New Roman" w:cs="Times New Roman"/>
          <w:sz w:val="24"/>
          <w:szCs w:val="24"/>
        </w:rPr>
        <w:t>October</w:t>
      </w:r>
      <w:r w:rsidR="00987746">
        <w:rPr>
          <w:rFonts w:ascii="Times New Roman" w:hAnsi="Times New Roman" w:cs="Times New Roman"/>
          <w:sz w:val="24"/>
          <w:szCs w:val="24"/>
        </w:rPr>
        <w:t xml:space="preserve"> 2007.  It also pointed out that at th</w:t>
      </w:r>
      <w:r w:rsidR="00A93210">
        <w:rPr>
          <w:rFonts w:ascii="Times New Roman" w:hAnsi="Times New Roman" w:cs="Times New Roman"/>
          <w:sz w:val="24"/>
          <w:szCs w:val="24"/>
        </w:rPr>
        <w:t>at</w:t>
      </w:r>
      <w:r w:rsidR="00987746">
        <w:rPr>
          <w:rFonts w:ascii="Times New Roman" w:hAnsi="Times New Roman" w:cs="Times New Roman"/>
          <w:sz w:val="24"/>
          <w:szCs w:val="24"/>
        </w:rPr>
        <w:t xml:space="preserve"> time of the child’s birth, the applicant was still married to her now ex-husband as per the marriage certificate attached as Annexure “J”.</w:t>
      </w:r>
    </w:p>
    <w:p w14:paraId="1E61B148" w14:textId="556D4E20" w:rsidR="002A5ED7" w:rsidRDefault="00987746" w:rsidP="002E730A">
      <w:pPr>
        <w:pStyle w:val="ListParagraph"/>
        <w:tabs>
          <w:tab w:val="left" w:pos="1080"/>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pictures of family events are </w:t>
      </w:r>
      <w:r w:rsidR="002973EB">
        <w:rPr>
          <w:rFonts w:ascii="Times New Roman" w:hAnsi="Times New Roman" w:cs="Times New Roman"/>
          <w:sz w:val="24"/>
          <w:szCs w:val="24"/>
        </w:rPr>
        <w:t>explained</w:t>
      </w:r>
      <w:r>
        <w:rPr>
          <w:rFonts w:ascii="Times New Roman" w:hAnsi="Times New Roman" w:cs="Times New Roman"/>
          <w:sz w:val="24"/>
          <w:szCs w:val="24"/>
        </w:rPr>
        <w:t xml:space="preserve"> away as the deceased’s attempt to </w:t>
      </w:r>
      <w:r w:rsidR="00F235C5">
        <w:rPr>
          <w:rFonts w:ascii="Times New Roman" w:hAnsi="Times New Roman" w:cs="Times New Roman"/>
          <w:sz w:val="24"/>
          <w:szCs w:val="24"/>
        </w:rPr>
        <w:t>integrate</w:t>
      </w:r>
      <w:r>
        <w:rPr>
          <w:rFonts w:ascii="Times New Roman" w:hAnsi="Times New Roman" w:cs="Times New Roman"/>
          <w:sz w:val="24"/>
          <w:szCs w:val="24"/>
        </w:rPr>
        <w:t xml:space="preserve"> the child into the Gwasira Family. </w:t>
      </w:r>
      <w:r w:rsidR="002973EB">
        <w:rPr>
          <w:rFonts w:ascii="Times New Roman" w:hAnsi="Times New Roman" w:cs="Times New Roman"/>
          <w:sz w:val="24"/>
          <w:szCs w:val="24"/>
        </w:rPr>
        <w:t xml:space="preserve"> The applicant is said to never have been introduced to the family as a wife of the deceased and even the deceased’</w:t>
      </w:r>
      <w:r w:rsidR="00BC017F">
        <w:rPr>
          <w:rFonts w:ascii="Times New Roman" w:hAnsi="Times New Roman" w:cs="Times New Roman"/>
          <w:sz w:val="24"/>
          <w:szCs w:val="24"/>
        </w:rPr>
        <w:t>s sisters have deposed to affidavits professing ignorance of the applicant’s marriage.</w:t>
      </w:r>
    </w:p>
    <w:p w14:paraId="7A99F24F" w14:textId="05963F9B" w:rsidR="002F482C" w:rsidRDefault="002A5ED7" w:rsidP="002E730A">
      <w:pPr>
        <w:pStyle w:val="ListParagraph"/>
        <w:tabs>
          <w:tab w:val="left" w:pos="1080"/>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fact that the applicant was provided with accommodation is said not to point to the existence </w:t>
      </w:r>
      <w:r w:rsidR="00413777">
        <w:rPr>
          <w:rFonts w:ascii="Times New Roman" w:hAnsi="Times New Roman" w:cs="Times New Roman"/>
          <w:sz w:val="24"/>
          <w:szCs w:val="24"/>
        </w:rPr>
        <w:t>of any marriage as this was the deceased’s manner of dealing with his girlfriends who</w:t>
      </w:r>
      <w:r w:rsidR="00861231">
        <w:rPr>
          <w:rFonts w:ascii="Times New Roman" w:hAnsi="Times New Roman" w:cs="Times New Roman"/>
          <w:sz w:val="24"/>
          <w:szCs w:val="24"/>
        </w:rPr>
        <w:t xml:space="preserve"> included one Gracious Chiduza who</w:t>
      </w:r>
      <w:r w:rsidR="00F235C5">
        <w:rPr>
          <w:rFonts w:ascii="Times New Roman" w:hAnsi="Times New Roman" w:cs="Times New Roman"/>
          <w:sz w:val="24"/>
          <w:szCs w:val="24"/>
        </w:rPr>
        <w:t>se</w:t>
      </w:r>
      <w:r w:rsidR="00861231">
        <w:rPr>
          <w:rFonts w:ascii="Times New Roman" w:hAnsi="Times New Roman" w:cs="Times New Roman"/>
          <w:sz w:val="24"/>
          <w:szCs w:val="24"/>
        </w:rPr>
        <w:t xml:space="preserve"> claim to being a spouse was dismissed by the court in a judgment HH 94/23.  She too had been provided with accommodation by the deceased.</w:t>
      </w:r>
    </w:p>
    <w:p w14:paraId="080FFF76" w14:textId="54096340" w:rsidR="00A44D85" w:rsidRDefault="002F482C" w:rsidP="002E730A">
      <w:pPr>
        <w:pStyle w:val="ListParagraph"/>
        <w:tabs>
          <w:tab w:val="left" w:pos="1080"/>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court was urged to cautiously deal with the affidavit of Munyaradzi Gwasira who firstly gives the date of the marriage as 2006 yet the applicant says it was October 2007.  Munyaradzai who was born on 19 March 1991 is said to have been only 15 years old in 2006.  As a minor, it is averred that he could not have been aware</w:t>
      </w:r>
      <w:r w:rsidR="00A44D85">
        <w:rPr>
          <w:rFonts w:ascii="Times New Roman" w:hAnsi="Times New Roman" w:cs="Times New Roman"/>
          <w:sz w:val="24"/>
          <w:szCs w:val="24"/>
        </w:rPr>
        <w:t xml:space="preserve"> that the applicant was married.</w:t>
      </w:r>
    </w:p>
    <w:p w14:paraId="3A2E4DB3" w14:textId="77777777" w:rsidR="00A44D85" w:rsidRDefault="00A44D85" w:rsidP="002E730A">
      <w:pPr>
        <w:pStyle w:val="ListParagraph"/>
        <w:tabs>
          <w:tab w:val="left" w:pos="1080"/>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Munyaradzi who was legally represented before the first respondent and in the subsequent application for review cannot, it is argued, successfully say that he made his first </w:t>
      </w:r>
      <w:r>
        <w:rPr>
          <w:rFonts w:ascii="Times New Roman" w:hAnsi="Times New Roman" w:cs="Times New Roman"/>
          <w:sz w:val="24"/>
          <w:szCs w:val="24"/>
        </w:rPr>
        <w:lastRenderedPageBreak/>
        <w:t>statement under oath due to duress in which he professed ignorance of the existence of the marriage.  See Annexure “K”.</w:t>
      </w:r>
    </w:p>
    <w:p w14:paraId="72A6991F" w14:textId="1EA9AA03" w:rsidR="007D2886" w:rsidRDefault="00A44D85" w:rsidP="002E730A">
      <w:pPr>
        <w:pStyle w:val="ListParagraph"/>
        <w:tabs>
          <w:tab w:val="left" w:pos="1080"/>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attempt by the applicant to rely on a divorce judgment between the deceased and one Sophia Njanike is said to be unhelpful to the</w:t>
      </w:r>
      <w:r w:rsidR="000957CB">
        <w:rPr>
          <w:rFonts w:ascii="Times New Roman" w:hAnsi="Times New Roman" w:cs="Times New Roman"/>
          <w:sz w:val="24"/>
          <w:szCs w:val="24"/>
        </w:rPr>
        <w:t xml:space="preserve"> applicant as it relates to proceedings not before the court.  The third respondent states that the deceased lied, as he was used to, that he had 5 wives.  The applicant is challenged to list the 5 wives as the deceased is no longer here to speak for himself. The judgment makes reference to one Neddy Mutingondo and the applicant as “both alleged wives.”  </w:t>
      </w:r>
      <w:r w:rsidR="007D2886">
        <w:rPr>
          <w:rFonts w:ascii="Times New Roman" w:hAnsi="Times New Roman" w:cs="Times New Roman"/>
          <w:sz w:val="24"/>
          <w:szCs w:val="24"/>
        </w:rPr>
        <w:t>They were in fact not found to be wives.  It was just an allegation.</w:t>
      </w:r>
    </w:p>
    <w:p w14:paraId="628846A0" w14:textId="77777777" w:rsidR="007D2886" w:rsidRDefault="007D2886" w:rsidP="002E730A">
      <w:pPr>
        <w:pStyle w:val="ListParagraph"/>
        <w:tabs>
          <w:tab w:val="left" w:pos="1080"/>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affidavit of the deceased in the interpleader proceedings is said to support the assertion that the applicant was a mere girlfriend and not a wife as the deceased did not boldly state that she was his wife.  He only said that he frequently visits the applicant and puts up for a night or two.  </w:t>
      </w:r>
    </w:p>
    <w:p w14:paraId="78D7D3A3" w14:textId="77777777" w:rsidR="003F62C2" w:rsidRDefault="007D2886" w:rsidP="002E730A">
      <w:pPr>
        <w:pStyle w:val="ListParagraph"/>
        <w:tabs>
          <w:tab w:val="left" w:pos="1080"/>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It was further argued that the third respondent </w:t>
      </w:r>
      <w:r w:rsidR="003F62C2">
        <w:rPr>
          <w:rFonts w:ascii="Times New Roman" w:hAnsi="Times New Roman" w:cs="Times New Roman"/>
          <w:sz w:val="24"/>
          <w:szCs w:val="24"/>
        </w:rPr>
        <w:t xml:space="preserve">does acknowledge the existence of other wives such as Sophia Njanike and Neddy Mutingondo and is therefore not malicious.  </w:t>
      </w:r>
    </w:p>
    <w:p w14:paraId="46C0A565" w14:textId="77777777" w:rsidR="003F62C2" w:rsidRDefault="003F62C2" w:rsidP="002E730A">
      <w:pPr>
        <w:pStyle w:val="ListParagraph"/>
        <w:tabs>
          <w:tab w:val="left" w:pos="1080"/>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It was prayed that the application be dismissed.</w:t>
      </w:r>
    </w:p>
    <w:p w14:paraId="63E284A9" w14:textId="77777777" w:rsidR="003F62C2" w:rsidRPr="00411DBD" w:rsidRDefault="003F62C2" w:rsidP="002E730A">
      <w:pPr>
        <w:pStyle w:val="ListParagraph"/>
        <w:tabs>
          <w:tab w:val="left" w:pos="1080"/>
        </w:tabs>
        <w:spacing w:line="360" w:lineRule="auto"/>
        <w:ind w:left="0" w:firstLine="720"/>
        <w:jc w:val="both"/>
        <w:rPr>
          <w:rFonts w:ascii="Times New Roman" w:hAnsi="Times New Roman" w:cs="Times New Roman"/>
          <w:b/>
          <w:sz w:val="24"/>
          <w:szCs w:val="24"/>
          <w:u w:val="single"/>
        </w:rPr>
      </w:pPr>
      <w:r w:rsidRPr="00411DBD">
        <w:rPr>
          <w:rFonts w:ascii="Times New Roman" w:hAnsi="Times New Roman" w:cs="Times New Roman"/>
          <w:b/>
          <w:sz w:val="24"/>
          <w:szCs w:val="24"/>
          <w:u w:val="single"/>
        </w:rPr>
        <w:t>The Law</w:t>
      </w:r>
    </w:p>
    <w:p w14:paraId="368AC8CD" w14:textId="77777777" w:rsidR="003F62C2" w:rsidRDefault="003F62C2" w:rsidP="002E730A">
      <w:pPr>
        <w:pStyle w:val="ListParagraph"/>
        <w:tabs>
          <w:tab w:val="left" w:pos="1080"/>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411DBD">
        <w:rPr>
          <w:rFonts w:ascii="Times New Roman" w:hAnsi="Times New Roman" w:cs="Times New Roman"/>
          <w:i/>
          <w:sz w:val="24"/>
          <w:szCs w:val="24"/>
        </w:rPr>
        <w:t>Chivise</w:t>
      </w:r>
      <w:r>
        <w:rPr>
          <w:rFonts w:ascii="Times New Roman" w:hAnsi="Times New Roman" w:cs="Times New Roman"/>
          <w:sz w:val="24"/>
          <w:szCs w:val="24"/>
        </w:rPr>
        <w:t xml:space="preserve"> v </w:t>
      </w:r>
      <w:r w:rsidRPr="00411DBD">
        <w:rPr>
          <w:rFonts w:ascii="Times New Roman" w:hAnsi="Times New Roman" w:cs="Times New Roman"/>
          <w:i/>
          <w:sz w:val="24"/>
          <w:szCs w:val="24"/>
        </w:rPr>
        <w:t>Dimbwi</w:t>
      </w:r>
      <w:r>
        <w:rPr>
          <w:rFonts w:ascii="Times New Roman" w:hAnsi="Times New Roman" w:cs="Times New Roman"/>
          <w:sz w:val="24"/>
          <w:szCs w:val="24"/>
        </w:rPr>
        <w:t xml:space="preserve"> 2004 (1) ZLR 12 (H) </w:t>
      </w:r>
      <w:r w:rsidRPr="003F62C2">
        <w:rPr>
          <w:rFonts w:ascii="Times New Roman" w:hAnsi="Times New Roman" w:cs="Times New Roman"/>
          <w:smallCaps/>
          <w:sz w:val="24"/>
          <w:szCs w:val="24"/>
        </w:rPr>
        <w:t>Makarau J</w:t>
      </w:r>
      <w:r>
        <w:rPr>
          <w:rFonts w:ascii="Times New Roman" w:hAnsi="Times New Roman" w:cs="Times New Roman"/>
          <w:sz w:val="24"/>
          <w:szCs w:val="24"/>
        </w:rPr>
        <w:t xml:space="preserve"> (as she then was) held that:</w:t>
      </w:r>
    </w:p>
    <w:p w14:paraId="3EE93DC0" w14:textId="77777777" w:rsidR="00C9680A" w:rsidRDefault="003F62C2" w:rsidP="00C9680A">
      <w:pPr>
        <w:pStyle w:val="ListParagraph"/>
        <w:tabs>
          <w:tab w:val="left" w:pos="720"/>
        </w:tabs>
        <w:spacing w:line="240" w:lineRule="auto"/>
        <w:ind w:left="0" w:firstLine="720"/>
        <w:jc w:val="both"/>
        <w:rPr>
          <w:rFonts w:ascii="Times New Roman" w:hAnsi="Times New Roman" w:cs="Times New Roman"/>
        </w:rPr>
      </w:pPr>
      <w:r>
        <w:rPr>
          <w:rFonts w:ascii="Times New Roman" w:hAnsi="Times New Roman" w:cs="Times New Roman"/>
        </w:rPr>
        <w:t xml:space="preserve">“…… the validity or otherwise of a customary marriage is not tested by how long it has endured </w:t>
      </w:r>
      <w:r w:rsidR="00C9680A">
        <w:rPr>
          <w:rFonts w:ascii="Times New Roman" w:hAnsi="Times New Roman" w:cs="Times New Roman"/>
        </w:rPr>
        <w:tab/>
      </w:r>
      <w:r>
        <w:rPr>
          <w:rFonts w:ascii="Times New Roman" w:hAnsi="Times New Roman" w:cs="Times New Roman"/>
        </w:rPr>
        <w:t>but by whether certain formalities and ritucus at customary law have been performed.”</w:t>
      </w:r>
    </w:p>
    <w:p w14:paraId="41621664" w14:textId="77777777" w:rsidR="00C9680A" w:rsidRDefault="00C9680A" w:rsidP="00C9680A">
      <w:pPr>
        <w:pStyle w:val="ListParagraph"/>
        <w:tabs>
          <w:tab w:val="left" w:pos="720"/>
        </w:tabs>
        <w:spacing w:line="240" w:lineRule="auto"/>
        <w:ind w:left="0" w:firstLine="720"/>
        <w:jc w:val="both"/>
        <w:rPr>
          <w:rFonts w:ascii="Times New Roman" w:hAnsi="Times New Roman" w:cs="Times New Roman"/>
        </w:rPr>
      </w:pPr>
    </w:p>
    <w:p w14:paraId="65CE0224" w14:textId="77777777" w:rsidR="00C9680A" w:rsidRDefault="00C9680A" w:rsidP="00C9680A">
      <w:pPr>
        <w:pStyle w:val="ListParagraph"/>
        <w:tabs>
          <w:tab w:val="left" w:pos="720"/>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411DBD">
        <w:rPr>
          <w:rFonts w:ascii="Times New Roman" w:hAnsi="Times New Roman" w:cs="Times New Roman"/>
          <w:i/>
          <w:sz w:val="24"/>
          <w:szCs w:val="24"/>
        </w:rPr>
        <w:t>Hosho</w:t>
      </w:r>
      <w:r>
        <w:rPr>
          <w:rFonts w:ascii="Times New Roman" w:hAnsi="Times New Roman" w:cs="Times New Roman"/>
          <w:sz w:val="24"/>
          <w:szCs w:val="24"/>
        </w:rPr>
        <w:t xml:space="preserve"> v </w:t>
      </w:r>
      <w:r w:rsidRPr="00411DBD">
        <w:rPr>
          <w:rFonts w:ascii="Times New Roman" w:hAnsi="Times New Roman" w:cs="Times New Roman"/>
          <w:i/>
          <w:sz w:val="24"/>
          <w:szCs w:val="24"/>
        </w:rPr>
        <w:t>Hasisi</w:t>
      </w:r>
      <w:r>
        <w:rPr>
          <w:rFonts w:ascii="Times New Roman" w:hAnsi="Times New Roman" w:cs="Times New Roman"/>
          <w:sz w:val="24"/>
          <w:szCs w:val="24"/>
        </w:rPr>
        <w:t xml:space="preserve"> HH 491/15 the position was set out more explicitly as follows:</w:t>
      </w:r>
    </w:p>
    <w:p w14:paraId="0A0E6CED" w14:textId="40AA9BFD" w:rsidR="00C9680A" w:rsidRDefault="00C9680A" w:rsidP="00C9680A">
      <w:pPr>
        <w:pStyle w:val="ListParagraph"/>
        <w:tabs>
          <w:tab w:val="left" w:pos="720"/>
        </w:tabs>
        <w:spacing w:line="240" w:lineRule="auto"/>
        <w:ind w:left="0" w:firstLine="720"/>
        <w:jc w:val="both"/>
        <w:rPr>
          <w:rFonts w:ascii="Times New Roman" w:hAnsi="Times New Roman" w:cs="Times New Roman"/>
        </w:rPr>
      </w:pPr>
      <w:r>
        <w:rPr>
          <w:rFonts w:ascii="Times New Roman" w:hAnsi="Times New Roman" w:cs="Times New Roman"/>
        </w:rPr>
        <w:t xml:space="preserve">“…… where a party relies on an unregistered customary union, central to asserting widowhood </w:t>
      </w:r>
      <w:r>
        <w:rPr>
          <w:rFonts w:ascii="Times New Roman" w:hAnsi="Times New Roman" w:cs="Times New Roman"/>
        </w:rPr>
        <w:tab/>
        <w:t xml:space="preserve">and claiming the protection accorded widows under relevant legislation is proof that such </w:t>
      </w:r>
      <w:r>
        <w:rPr>
          <w:rFonts w:ascii="Times New Roman" w:hAnsi="Times New Roman" w:cs="Times New Roman"/>
        </w:rPr>
        <w:tab/>
        <w:t xml:space="preserve">customary union indeed existed.  </w:t>
      </w:r>
    </w:p>
    <w:p w14:paraId="6C2F00FD" w14:textId="77777777" w:rsidR="00C9680A" w:rsidRDefault="00C9680A" w:rsidP="00C9680A">
      <w:pPr>
        <w:pStyle w:val="ListParagraph"/>
        <w:tabs>
          <w:tab w:val="left" w:pos="720"/>
        </w:tabs>
        <w:spacing w:line="240" w:lineRule="auto"/>
        <w:ind w:left="0" w:firstLine="720"/>
        <w:jc w:val="both"/>
        <w:rPr>
          <w:rFonts w:ascii="Times New Roman" w:hAnsi="Times New Roman" w:cs="Times New Roman"/>
        </w:rPr>
      </w:pPr>
    </w:p>
    <w:p w14:paraId="26878F3F" w14:textId="6DEBF66D" w:rsidR="00E73337" w:rsidRDefault="00C9680A" w:rsidP="00C9680A">
      <w:pPr>
        <w:pStyle w:val="ListParagraph"/>
        <w:tabs>
          <w:tab w:val="left" w:pos="720"/>
        </w:tabs>
        <w:spacing w:line="240" w:lineRule="auto"/>
        <w:ind w:left="0" w:firstLine="720"/>
        <w:jc w:val="both"/>
        <w:rPr>
          <w:rFonts w:ascii="Times New Roman" w:hAnsi="Times New Roman" w:cs="Times New Roman"/>
        </w:rPr>
      </w:pPr>
      <w:r>
        <w:rPr>
          <w:rFonts w:ascii="Times New Roman" w:hAnsi="Times New Roman" w:cs="Times New Roman"/>
        </w:rPr>
        <w:t xml:space="preserve">……certain cultural practices which involve the payment of </w:t>
      </w:r>
      <w:r w:rsidRPr="009F10C0">
        <w:rPr>
          <w:rFonts w:ascii="Times New Roman" w:hAnsi="Times New Roman" w:cs="Times New Roman"/>
          <w:i/>
        </w:rPr>
        <w:t>lobola</w:t>
      </w:r>
      <w:r>
        <w:rPr>
          <w:rFonts w:ascii="Times New Roman" w:hAnsi="Times New Roman" w:cs="Times New Roman"/>
        </w:rPr>
        <w:t xml:space="preserve"> are attendant</w:t>
      </w:r>
      <w:r w:rsidR="009F10C0">
        <w:rPr>
          <w:rFonts w:ascii="Times New Roman" w:hAnsi="Times New Roman" w:cs="Times New Roman"/>
        </w:rPr>
        <w:t xml:space="preserve"> upon its </w:t>
      </w:r>
      <w:r w:rsidR="00E73337">
        <w:rPr>
          <w:rFonts w:ascii="Times New Roman" w:hAnsi="Times New Roman" w:cs="Times New Roman"/>
        </w:rPr>
        <w:tab/>
      </w:r>
      <w:r w:rsidR="009F10C0">
        <w:rPr>
          <w:rFonts w:ascii="Times New Roman" w:hAnsi="Times New Roman" w:cs="Times New Roman"/>
        </w:rPr>
        <w:t xml:space="preserve">formulation.  Payment consists of lump sum payment of money (rutsambo among the Shona) </w:t>
      </w:r>
      <w:r w:rsidR="00E73337">
        <w:rPr>
          <w:rFonts w:ascii="Times New Roman" w:hAnsi="Times New Roman" w:cs="Times New Roman"/>
        </w:rPr>
        <w:tab/>
      </w:r>
      <w:r w:rsidR="009F10C0">
        <w:rPr>
          <w:rFonts w:ascii="Times New Roman" w:hAnsi="Times New Roman" w:cs="Times New Roman"/>
        </w:rPr>
        <w:t>as well as</w:t>
      </w:r>
      <w:r w:rsidR="00E73337">
        <w:rPr>
          <w:rFonts w:ascii="Times New Roman" w:hAnsi="Times New Roman" w:cs="Times New Roman"/>
        </w:rPr>
        <w:t xml:space="preserve"> cattle though increasingly the money equivalent is paid in today’s society……</w:t>
      </w:r>
    </w:p>
    <w:p w14:paraId="2C403008" w14:textId="77777777" w:rsidR="00E73337" w:rsidRDefault="00E73337" w:rsidP="00C9680A">
      <w:pPr>
        <w:pStyle w:val="ListParagraph"/>
        <w:tabs>
          <w:tab w:val="left" w:pos="720"/>
        </w:tabs>
        <w:spacing w:line="240" w:lineRule="auto"/>
        <w:ind w:left="0" w:firstLine="720"/>
        <w:jc w:val="both"/>
        <w:rPr>
          <w:rFonts w:ascii="Times New Roman" w:hAnsi="Times New Roman" w:cs="Times New Roman"/>
        </w:rPr>
      </w:pPr>
    </w:p>
    <w:p w14:paraId="357F727B" w14:textId="1A1A4D5C" w:rsidR="00E73337" w:rsidRDefault="00E73337" w:rsidP="00E73337">
      <w:pPr>
        <w:pStyle w:val="ListParagraph"/>
        <w:tabs>
          <w:tab w:val="left" w:pos="720"/>
        </w:tabs>
        <w:spacing w:line="240" w:lineRule="auto"/>
        <w:ind w:left="0" w:firstLine="720"/>
        <w:jc w:val="both"/>
        <w:rPr>
          <w:rFonts w:ascii="Times New Roman" w:hAnsi="Times New Roman" w:cs="Times New Roman"/>
        </w:rPr>
      </w:pPr>
      <w:r>
        <w:rPr>
          <w:rFonts w:ascii="Times New Roman" w:hAnsi="Times New Roman" w:cs="Times New Roman"/>
        </w:rPr>
        <w:t xml:space="preserve">…… the process of paying </w:t>
      </w:r>
      <w:r w:rsidRPr="00411DBD">
        <w:rPr>
          <w:rFonts w:ascii="Times New Roman" w:hAnsi="Times New Roman" w:cs="Times New Roman"/>
          <w:i/>
        </w:rPr>
        <w:t>lobola</w:t>
      </w:r>
      <w:r>
        <w:rPr>
          <w:rFonts w:ascii="Times New Roman" w:hAnsi="Times New Roman" w:cs="Times New Roman"/>
        </w:rPr>
        <w:t xml:space="preserve"> and the ceremony itself involves key representatives from </w:t>
      </w:r>
      <w:r>
        <w:rPr>
          <w:rFonts w:ascii="Times New Roman" w:hAnsi="Times New Roman" w:cs="Times New Roman"/>
        </w:rPr>
        <w:tab/>
        <w:t xml:space="preserve">both families, as well as other people who can attest to the process having taken place.  </w:t>
      </w:r>
      <w:r>
        <w:rPr>
          <w:rFonts w:ascii="Times New Roman" w:hAnsi="Times New Roman" w:cs="Times New Roman"/>
        </w:rPr>
        <w:tab/>
        <w:t xml:space="preserve">Furthermore, in today’s reality, there is also often documentary evidence in the form of a book </w:t>
      </w:r>
      <w:r>
        <w:rPr>
          <w:rFonts w:ascii="Times New Roman" w:hAnsi="Times New Roman" w:cs="Times New Roman"/>
        </w:rPr>
        <w:tab/>
        <w:t xml:space="preserve">of record kept by the receiving and paying families respectively of what has been paid and what </w:t>
      </w:r>
      <w:r>
        <w:rPr>
          <w:rFonts w:ascii="Times New Roman" w:hAnsi="Times New Roman" w:cs="Times New Roman"/>
        </w:rPr>
        <w:tab/>
        <w:t>remains owing.”</w:t>
      </w:r>
    </w:p>
    <w:p w14:paraId="7E1689C0" w14:textId="77777777" w:rsidR="00E73337" w:rsidRDefault="00E73337" w:rsidP="00E73337">
      <w:pPr>
        <w:pStyle w:val="ListParagraph"/>
        <w:tabs>
          <w:tab w:val="left" w:pos="720"/>
        </w:tabs>
        <w:spacing w:line="240" w:lineRule="auto"/>
        <w:ind w:left="0" w:firstLine="720"/>
        <w:jc w:val="both"/>
        <w:rPr>
          <w:rFonts w:ascii="Times New Roman" w:hAnsi="Times New Roman" w:cs="Times New Roman"/>
        </w:rPr>
      </w:pPr>
    </w:p>
    <w:p w14:paraId="41AF87F5" w14:textId="7829E7AA" w:rsidR="00E73337" w:rsidRDefault="00DB7E82" w:rsidP="00E73337">
      <w:pPr>
        <w:pStyle w:val="ListParagraph"/>
        <w:tabs>
          <w:tab w:val="left" w:pos="720"/>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DB7E82">
        <w:rPr>
          <w:rFonts w:ascii="Times New Roman" w:hAnsi="Times New Roman" w:cs="Times New Roman"/>
          <w:i/>
          <w:sz w:val="24"/>
          <w:szCs w:val="24"/>
        </w:rPr>
        <w:t>casu</w:t>
      </w:r>
      <w:r>
        <w:rPr>
          <w:rFonts w:ascii="Times New Roman" w:hAnsi="Times New Roman" w:cs="Times New Roman"/>
          <w:sz w:val="24"/>
          <w:szCs w:val="24"/>
        </w:rPr>
        <w:t xml:space="preserve"> there is indeed a </w:t>
      </w:r>
      <w:r w:rsidRPr="00DB7E82">
        <w:rPr>
          <w:rFonts w:ascii="Times New Roman" w:hAnsi="Times New Roman" w:cs="Times New Roman"/>
          <w:i/>
          <w:sz w:val="24"/>
          <w:szCs w:val="24"/>
        </w:rPr>
        <w:t>roora</w:t>
      </w:r>
      <w:r>
        <w:rPr>
          <w:rFonts w:ascii="Times New Roman" w:hAnsi="Times New Roman" w:cs="Times New Roman"/>
          <w:sz w:val="24"/>
          <w:szCs w:val="24"/>
        </w:rPr>
        <w:t xml:space="preserve"> list indicating that it was for the marriage of the applicant and the deceased.  It does not however show what was paid and what was </w:t>
      </w:r>
      <w:r w:rsidR="000912A0">
        <w:rPr>
          <w:rFonts w:ascii="Times New Roman" w:hAnsi="Times New Roman" w:cs="Times New Roman"/>
          <w:sz w:val="24"/>
          <w:szCs w:val="24"/>
        </w:rPr>
        <w:t>outstanding</w:t>
      </w:r>
      <w:r>
        <w:rPr>
          <w:rFonts w:ascii="Times New Roman" w:hAnsi="Times New Roman" w:cs="Times New Roman"/>
          <w:sz w:val="24"/>
          <w:szCs w:val="24"/>
        </w:rPr>
        <w:t xml:space="preserve">.  The list, as conceded, omits certain cultural practices which are attendant, such as </w:t>
      </w:r>
      <w:r w:rsidRPr="00DB7E82">
        <w:rPr>
          <w:rFonts w:ascii="Times New Roman" w:hAnsi="Times New Roman" w:cs="Times New Roman"/>
          <w:i/>
          <w:sz w:val="24"/>
          <w:szCs w:val="24"/>
        </w:rPr>
        <w:t>matekenya ndebvu</w:t>
      </w:r>
      <w:r>
        <w:rPr>
          <w:rFonts w:ascii="Times New Roman" w:hAnsi="Times New Roman" w:cs="Times New Roman"/>
          <w:sz w:val="24"/>
          <w:szCs w:val="24"/>
        </w:rPr>
        <w:t xml:space="preserve">, </w:t>
      </w:r>
      <w:r w:rsidRPr="00DB7E82">
        <w:rPr>
          <w:rFonts w:ascii="Times New Roman" w:hAnsi="Times New Roman" w:cs="Times New Roman"/>
          <w:i/>
          <w:sz w:val="24"/>
          <w:szCs w:val="24"/>
        </w:rPr>
        <w:t xml:space="preserve">chiuchiro </w:t>
      </w:r>
      <w:r>
        <w:rPr>
          <w:rFonts w:ascii="Times New Roman" w:hAnsi="Times New Roman" w:cs="Times New Roman"/>
          <w:sz w:val="24"/>
          <w:szCs w:val="24"/>
        </w:rPr>
        <w:t xml:space="preserve">and </w:t>
      </w:r>
      <w:r w:rsidRPr="00DB7E82">
        <w:rPr>
          <w:rFonts w:ascii="Times New Roman" w:hAnsi="Times New Roman" w:cs="Times New Roman"/>
          <w:i/>
          <w:sz w:val="24"/>
          <w:szCs w:val="24"/>
        </w:rPr>
        <w:t>ndiro</w:t>
      </w:r>
      <w:r>
        <w:rPr>
          <w:rFonts w:ascii="Times New Roman" w:hAnsi="Times New Roman" w:cs="Times New Roman"/>
          <w:sz w:val="24"/>
          <w:szCs w:val="24"/>
        </w:rPr>
        <w:t xml:space="preserve">, amongst other things.  </w:t>
      </w:r>
    </w:p>
    <w:p w14:paraId="22AA3DB0" w14:textId="1BFE3614" w:rsidR="00F64191" w:rsidRDefault="00F64191" w:rsidP="00E73337">
      <w:pPr>
        <w:pStyle w:val="ListParagraph"/>
        <w:tabs>
          <w:tab w:val="left" w:pos="720"/>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The question of the key representative</w:t>
      </w:r>
      <w:r w:rsidR="000912A0">
        <w:rPr>
          <w:rFonts w:ascii="Times New Roman" w:hAnsi="Times New Roman" w:cs="Times New Roman"/>
          <w:sz w:val="24"/>
          <w:szCs w:val="24"/>
        </w:rPr>
        <w:t>s</w:t>
      </w:r>
      <w:r>
        <w:rPr>
          <w:rFonts w:ascii="Times New Roman" w:hAnsi="Times New Roman" w:cs="Times New Roman"/>
          <w:sz w:val="24"/>
          <w:szCs w:val="24"/>
        </w:rPr>
        <w:t xml:space="preserve"> from the deceased’ family i</w:t>
      </w:r>
      <w:r w:rsidR="000912A0">
        <w:rPr>
          <w:rFonts w:ascii="Times New Roman" w:hAnsi="Times New Roman" w:cs="Times New Roman"/>
          <w:sz w:val="24"/>
          <w:szCs w:val="24"/>
        </w:rPr>
        <w:t>s</w:t>
      </w:r>
      <w:r>
        <w:rPr>
          <w:rFonts w:ascii="Times New Roman" w:hAnsi="Times New Roman" w:cs="Times New Roman"/>
          <w:sz w:val="24"/>
          <w:szCs w:val="24"/>
        </w:rPr>
        <w:t xml:space="preserve"> not properly </w:t>
      </w:r>
      <w:r w:rsidR="00430E0B">
        <w:rPr>
          <w:rFonts w:ascii="Times New Roman" w:hAnsi="Times New Roman" w:cs="Times New Roman"/>
          <w:sz w:val="24"/>
          <w:szCs w:val="24"/>
        </w:rPr>
        <w:t xml:space="preserve">resolved on the papers.  As shown in the supporting affidavits of the deceased’s close relatives, such as his sisters and his usual </w:t>
      </w:r>
      <w:r w:rsidR="00430E0B" w:rsidRPr="00E30CF1">
        <w:rPr>
          <w:rFonts w:ascii="Times New Roman" w:hAnsi="Times New Roman" w:cs="Times New Roman"/>
          <w:i/>
          <w:sz w:val="24"/>
          <w:szCs w:val="24"/>
        </w:rPr>
        <w:t>vanyai</w:t>
      </w:r>
      <w:r w:rsidR="00430E0B">
        <w:rPr>
          <w:rFonts w:ascii="Times New Roman" w:hAnsi="Times New Roman" w:cs="Times New Roman"/>
          <w:sz w:val="24"/>
          <w:szCs w:val="24"/>
        </w:rPr>
        <w:t>, they were not part of this delegation.  Applicant relies on an affidavit by one Simba</w:t>
      </w:r>
      <w:r w:rsidR="000912A0">
        <w:rPr>
          <w:rFonts w:ascii="Times New Roman" w:hAnsi="Times New Roman" w:cs="Times New Roman"/>
          <w:sz w:val="24"/>
          <w:szCs w:val="24"/>
        </w:rPr>
        <w:t>y</w:t>
      </w:r>
      <w:r w:rsidR="00430E0B">
        <w:rPr>
          <w:rFonts w:ascii="Times New Roman" w:hAnsi="Times New Roman" w:cs="Times New Roman"/>
          <w:sz w:val="24"/>
          <w:szCs w:val="24"/>
        </w:rPr>
        <w:t>i C Gwasira who claims t</w:t>
      </w:r>
      <w:r w:rsidR="000912A0">
        <w:rPr>
          <w:rFonts w:ascii="Times New Roman" w:hAnsi="Times New Roman" w:cs="Times New Roman"/>
          <w:sz w:val="24"/>
          <w:szCs w:val="24"/>
        </w:rPr>
        <w:t>o</w:t>
      </w:r>
      <w:r w:rsidR="00430E0B">
        <w:rPr>
          <w:rFonts w:ascii="Times New Roman" w:hAnsi="Times New Roman" w:cs="Times New Roman"/>
          <w:sz w:val="24"/>
          <w:szCs w:val="24"/>
        </w:rPr>
        <w:t xml:space="preserve"> have been present at this marriage.  This runs contrary to his averments in a meeting before the second respondent wherein he professed ignorance of the existence of the marriage.</w:t>
      </w:r>
    </w:p>
    <w:p w14:paraId="5B9CB77D" w14:textId="23EDD200" w:rsidR="00430E0B" w:rsidRDefault="00430E0B" w:rsidP="00E73337">
      <w:pPr>
        <w:pStyle w:val="ListParagraph"/>
        <w:tabs>
          <w:tab w:val="left" w:pos="720"/>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In the interpleader proceedings, the deceased in relation to the applicant who was the judgment debtor says:</w:t>
      </w:r>
    </w:p>
    <w:p w14:paraId="759E0FAE" w14:textId="026D68CC" w:rsidR="00430E0B" w:rsidRDefault="00430E0B" w:rsidP="00430E0B">
      <w:pPr>
        <w:pStyle w:val="ListParagraph"/>
        <w:tabs>
          <w:tab w:val="left" w:pos="720"/>
        </w:tabs>
        <w:spacing w:line="240" w:lineRule="auto"/>
        <w:ind w:left="0" w:firstLine="720"/>
        <w:jc w:val="both"/>
        <w:rPr>
          <w:rFonts w:ascii="Times New Roman" w:hAnsi="Times New Roman" w:cs="Times New Roman"/>
        </w:rPr>
      </w:pPr>
      <w:r>
        <w:rPr>
          <w:rFonts w:ascii="Times New Roman" w:hAnsi="Times New Roman" w:cs="Times New Roman"/>
        </w:rPr>
        <w:t xml:space="preserve">“All the listed attached property however is not the property of the judgment debtor.  I can state </w:t>
      </w:r>
      <w:r w:rsidR="00E30CF1">
        <w:rPr>
          <w:rFonts w:ascii="Times New Roman" w:hAnsi="Times New Roman" w:cs="Times New Roman"/>
        </w:rPr>
        <w:tab/>
      </w:r>
      <w:r>
        <w:rPr>
          <w:rFonts w:ascii="Times New Roman" w:hAnsi="Times New Roman" w:cs="Times New Roman"/>
        </w:rPr>
        <w:t xml:space="preserve">and confirm that I bought all of that property. I have to emphasise that the judgment debtor </w:t>
      </w:r>
      <w:r w:rsidR="00E30CF1">
        <w:rPr>
          <w:rFonts w:ascii="Times New Roman" w:hAnsi="Times New Roman" w:cs="Times New Roman"/>
        </w:rPr>
        <w:tab/>
      </w:r>
      <w:r>
        <w:rPr>
          <w:rFonts w:ascii="Times New Roman" w:hAnsi="Times New Roman" w:cs="Times New Roman"/>
        </w:rPr>
        <w:t xml:space="preserve">and I never had a wedding and as such she never got any gifts in the form of household property </w:t>
      </w:r>
      <w:r w:rsidR="00E30CF1">
        <w:rPr>
          <w:rFonts w:ascii="Times New Roman" w:hAnsi="Times New Roman" w:cs="Times New Roman"/>
        </w:rPr>
        <w:tab/>
      </w:r>
      <w:r>
        <w:rPr>
          <w:rFonts w:ascii="Times New Roman" w:hAnsi="Times New Roman" w:cs="Times New Roman"/>
        </w:rPr>
        <w:t>from anyone.”</w:t>
      </w:r>
    </w:p>
    <w:p w14:paraId="62FFFB4E" w14:textId="77777777" w:rsidR="00E30CF1" w:rsidRDefault="00E30CF1" w:rsidP="00430E0B">
      <w:pPr>
        <w:pStyle w:val="ListParagraph"/>
        <w:tabs>
          <w:tab w:val="left" w:pos="720"/>
        </w:tabs>
        <w:spacing w:line="240" w:lineRule="auto"/>
        <w:ind w:left="0" w:firstLine="720"/>
        <w:jc w:val="both"/>
        <w:rPr>
          <w:rFonts w:ascii="Times New Roman" w:hAnsi="Times New Roman" w:cs="Times New Roman"/>
        </w:rPr>
      </w:pPr>
    </w:p>
    <w:p w14:paraId="1158BE46" w14:textId="75F03A0F" w:rsidR="00E30CF1" w:rsidRDefault="00E30CF1" w:rsidP="000912A0">
      <w:pPr>
        <w:pStyle w:val="ListParagraph"/>
        <w:tabs>
          <w:tab w:val="left" w:pos="72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He does not claim to have customarily married the applicant. This is </w:t>
      </w:r>
      <w:r w:rsidR="00FE0BD5">
        <w:rPr>
          <w:rFonts w:ascii="Times New Roman" w:hAnsi="Times New Roman" w:cs="Times New Roman"/>
          <w:sz w:val="24"/>
          <w:szCs w:val="24"/>
        </w:rPr>
        <w:t>h</w:t>
      </w:r>
      <w:r>
        <w:rPr>
          <w:rFonts w:ascii="Times New Roman" w:hAnsi="Times New Roman" w:cs="Times New Roman"/>
          <w:sz w:val="24"/>
          <w:szCs w:val="24"/>
        </w:rPr>
        <w:t>ow he characterises their relationship:</w:t>
      </w:r>
    </w:p>
    <w:p w14:paraId="70B2C814" w14:textId="489B0629" w:rsidR="00E30CF1" w:rsidRDefault="00E30CF1" w:rsidP="00E30CF1">
      <w:pPr>
        <w:pStyle w:val="ListParagraph"/>
        <w:tabs>
          <w:tab w:val="left" w:pos="720"/>
        </w:tabs>
        <w:spacing w:line="240" w:lineRule="auto"/>
        <w:ind w:left="0" w:firstLine="720"/>
        <w:jc w:val="both"/>
        <w:rPr>
          <w:rFonts w:ascii="Times New Roman" w:hAnsi="Times New Roman" w:cs="Times New Roman"/>
        </w:rPr>
      </w:pPr>
      <w:r>
        <w:rPr>
          <w:rFonts w:ascii="Times New Roman" w:hAnsi="Times New Roman" w:cs="Times New Roman"/>
        </w:rPr>
        <w:t xml:space="preserve">“I have a child with Tokozani Mazvimbakupa (judgment debtor) with whom I fell in love after </w:t>
      </w:r>
      <w:r>
        <w:rPr>
          <w:rFonts w:ascii="Times New Roman" w:hAnsi="Times New Roman" w:cs="Times New Roman"/>
        </w:rPr>
        <w:tab/>
        <w:t>she divorced her previous husband in 2005.”</w:t>
      </w:r>
    </w:p>
    <w:p w14:paraId="7E483D84" w14:textId="77777777" w:rsidR="00E30CF1" w:rsidRDefault="00E30CF1" w:rsidP="00E30CF1">
      <w:pPr>
        <w:pStyle w:val="ListParagraph"/>
        <w:tabs>
          <w:tab w:val="left" w:pos="720"/>
        </w:tabs>
        <w:spacing w:line="240" w:lineRule="auto"/>
        <w:ind w:left="0" w:firstLine="720"/>
        <w:jc w:val="both"/>
        <w:rPr>
          <w:rFonts w:ascii="Times New Roman" w:hAnsi="Times New Roman" w:cs="Times New Roman"/>
        </w:rPr>
      </w:pPr>
    </w:p>
    <w:p w14:paraId="346CDD00" w14:textId="517A4F68" w:rsidR="00E30CF1" w:rsidRDefault="00E30CF1" w:rsidP="00E30CF1">
      <w:pPr>
        <w:pStyle w:val="ListParagraph"/>
        <w:tabs>
          <w:tab w:val="left" w:pos="720"/>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He goes further to say she was accommodated at 31 Helena Marlborough, Harare to live with her three children sometime in 2006 so they could have a better life and a descent (sic) home environment. </w:t>
      </w:r>
    </w:p>
    <w:p w14:paraId="1F4F82B9" w14:textId="0D1CBD22" w:rsidR="00B729BD" w:rsidRDefault="00E30CF1" w:rsidP="00E30CF1">
      <w:pPr>
        <w:pStyle w:val="ListParagraph"/>
        <w:tabs>
          <w:tab w:val="left" w:pos="720"/>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In the minutes of the meeting before the second respondent Simbayi Cogen Gwasira is r</w:t>
      </w:r>
      <w:r w:rsidR="000912A0">
        <w:rPr>
          <w:rFonts w:ascii="Times New Roman" w:hAnsi="Times New Roman" w:cs="Times New Roman"/>
          <w:sz w:val="24"/>
          <w:szCs w:val="24"/>
        </w:rPr>
        <w:t>ecorded as Mambo Makoni. On p</w:t>
      </w:r>
      <w:r>
        <w:rPr>
          <w:rFonts w:ascii="Times New Roman" w:hAnsi="Times New Roman" w:cs="Times New Roman"/>
          <w:sz w:val="24"/>
          <w:szCs w:val="24"/>
        </w:rPr>
        <w:t xml:space="preserve"> 54 of record, he expressly </w:t>
      </w:r>
      <w:r w:rsidR="00B729BD">
        <w:rPr>
          <w:rFonts w:ascii="Times New Roman" w:hAnsi="Times New Roman" w:cs="Times New Roman"/>
          <w:sz w:val="24"/>
          <w:szCs w:val="24"/>
        </w:rPr>
        <w:t xml:space="preserve">stated that one Luka Mavura was the witness to the applicant’s marriage and negotiated </w:t>
      </w:r>
      <w:r w:rsidR="00B729BD" w:rsidRPr="00B729BD">
        <w:rPr>
          <w:rFonts w:ascii="Times New Roman" w:hAnsi="Times New Roman" w:cs="Times New Roman"/>
          <w:i/>
          <w:sz w:val="24"/>
          <w:szCs w:val="24"/>
        </w:rPr>
        <w:t>lobola</w:t>
      </w:r>
      <w:r w:rsidR="00B729BD">
        <w:rPr>
          <w:rFonts w:ascii="Times New Roman" w:hAnsi="Times New Roman" w:cs="Times New Roman"/>
          <w:sz w:val="24"/>
          <w:szCs w:val="24"/>
        </w:rPr>
        <w:t xml:space="preserve"> payment. Surprisingly this Luka Mavura is not mentioned by the applicant at all.</w:t>
      </w:r>
    </w:p>
    <w:p w14:paraId="31BEF280" w14:textId="77777777" w:rsidR="00E36EED" w:rsidRDefault="00B729BD" w:rsidP="00E36EED">
      <w:pPr>
        <w:pStyle w:val="ListParagraph"/>
        <w:tabs>
          <w:tab w:val="left" w:pos="720"/>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In the next meeting before the second respondent, it is recorded that L</w:t>
      </w:r>
      <w:r w:rsidR="00084F3E">
        <w:rPr>
          <w:rFonts w:ascii="Times New Roman" w:hAnsi="Times New Roman" w:cs="Times New Roman"/>
          <w:sz w:val="24"/>
          <w:szCs w:val="24"/>
        </w:rPr>
        <w:t>u</w:t>
      </w:r>
      <w:r>
        <w:rPr>
          <w:rFonts w:ascii="Times New Roman" w:hAnsi="Times New Roman" w:cs="Times New Roman"/>
          <w:sz w:val="24"/>
          <w:szCs w:val="24"/>
        </w:rPr>
        <w:t>ka Mavura had refused that he witnessed the proceedings</w:t>
      </w:r>
      <w:r w:rsidR="00084F3E">
        <w:rPr>
          <w:rFonts w:ascii="Times New Roman" w:hAnsi="Times New Roman" w:cs="Times New Roman"/>
          <w:sz w:val="24"/>
          <w:szCs w:val="24"/>
        </w:rPr>
        <w:t xml:space="preserve"> of applicant’s customary marriage to the deceased.  It is again Simbayi Cogen Gwasira</w:t>
      </w:r>
      <w:r w:rsidR="00E36EED" w:rsidRPr="00E36EED">
        <w:rPr>
          <w:rFonts w:ascii="Times New Roman" w:hAnsi="Times New Roman" w:cs="Times New Roman"/>
          <w:sz w:val="24"/>
          <w:szCs w:val="24"/>
        </w:rPr>
        <w:t xml:space="preserve"> </w:t>
      </w:r>
      <w:r w:rsidR="00E36EED">
        <w:rPr>
          <w:rFonts w:ascii="Times New Roman" w:hAnsi="Times New Roman" w:cs="Times New Roman"/>
          <w:sz w:val="24"/>
          <w:szCs w:val="24"/>
        </w:rPr>
        <w:t>who suggested that one Ephraim Gwasira and Samuel Kapfumvuti be consulted on this issue.</w:t>
      </w:r>
      <w:r w:rsidR="000912A0">
        <w:rPr>
          <w:rFonts w:ascii="Times New Roman" w:hAnsi="Times New Roman" w:cs="Times New Roman"/>
          <w:sz w:val="24"/>
          <w:szCs w:val="24"/>
        </w:rPr>
        <w:t xml:space="preserve"> </w:t>
      </w:r>
      <w:r w:rsidR="00E36EED">
        <w:rPr>
          <w:rFonts w:ascii="Times New Roman" w:hAnsi="Times New Roman" w:cs="Times New Roman"/>
          <w:sz w:val="24"/>
          <w:szCs w:val="24"/>
        </w:rPr>
        <w:t xml:space="preserve">These two refuted any knowledge of, or participation in the alleged marriage.     </w:t>
      </w:r>
    </w:p>
    <w:p w14:paraId="04985BBE" w14:textId="66352E23" w:rsidR="00FE0FFC" w:rsidRDefault="0095702B" w:rsidP="00E30CF1">
      <w:pPr>
        <w:pStyle w:val="ListParagraph"/>
        <w:tabs>
          <w:tab w:val="left" w:pos="720"/>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Interestingly it is at the meeting of 17 February 2021 that the executor noted that applicant had submitted a divorce order from her</w:t>
      </w:r>
      <w:r w:rsidR="00E36EED">
        <w:rPr>
          <w:rFonts w:ascii="Times New Roman" w:hAnsi="Times New Roman" w:cs="Times New Roman"/>
          <w:sz w:val="24"/>
          <w:szCs w:val="24"/>
        </w:rPr>
        <w:t xml:space="preserve"> </w:t>
      </w:r>
      <w:r>
        <w:rPr>
          <w:rFonts w:ascii="Times New Roman" w:hAnsi="Times New Roman" w:cs="Times New Roman"/>
          <w:sz w:val="24"/>
          <w:szCs w:val="24"/>
        </w:rPr>
        <w:t xml:space="preserve">previous marriage to Mazvimbakupa. The question exercising my mind is whether she was divorced in October 2007 when </w:t>
      </w:r>
      <w:r w:rsidRPr="0095702B">
        <w:rPr>
          <w:rFonts w:ascii="Times New Roman" w:hAnsi="Times New Roman" w:cs="Times New Roman"/>
          <w:i/>
          <w:sz w:val="24"/>
          <w:szCs w:val="24"/>
        </w:rPr>
        <w:t>roora</w:t>
      </w:r>
      <w:r>
        <w:rPr>
          <w:rFonts w:ascii="Times New Roman" w:hAnsi="Times New Roman" w:cs="Times New Roman"/>
          <w:sz w:val="24"/>
          <w:szCs w:val="24"/>
        </w:rPr>
        <w:t xml:space="preserve"> was allegedly p</w:t>
      </w:r>
      <w:r w:rsidR="00FE0FFC">
        <w:rPr>
          <w:rFonts w:ascii="Times New Roman" w:hAnsi="Times New Roman" w:cs="Times New Roman"/>
          <w:sz w:val="24"/>
          <w:szCs w:val="24"/>
        </w:rPr>
        <w:t>aid for her by the deceased. Was she qualified to be married under an unregistered customary law marriage</w:t>
      </w:r>
      <w:r w:rsidR="00F235C5">
        <w:rPr>
          <w:rFonts w:ascii="Times New Roman" w:hAnsi="Times New Roman" w:cs="Times New Roman"/>
          <w:sz w:val="24"/>
          <w:szCs w:val="24"/>
        </w:rPr>
        <w:t>?</w:t>
      </w:r>
    </w:p>
    <w:p w14:paraId="21CAFB7F" w14:textId="77777777" w:rsidR="00FE0FFC" w:rsidRDefault="00FE0FFC" w:rsidP="00E30CF1">
      <w:pPr>
        <w:pStyle w:val="ListParagraph"/>
        <w:tabs>
          <w:tab w:val="left" w:pos="720"/>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Though the deceased said that he fell in love with her when she divorced her husband, he seems to have been labouring under the misconception that separation and divorce are the same.  They are not.  See </w:t>
      </w:r>
      <w:r w:rsidRPr="00C55D9B">
        <w:rPr>
          <w:rFonts w:ascii="Times New Roman" w:hAnsi="Times New Roman" w:cs="Times New Roman"/>
          <w:i/>
          <w:sz w:val="24"/>
          <w:szCs w:val="24"/>
        </w:rPr>
        <w:t>Sakutombo</w:t>
      </w:r>
      <w:r>
        <w:rPr>
          <w:rFonts w:ascii="Times New Roman" w:hAnsi="Times New Roman" w:cs="Times New Roman"/>
          <w:sz w:val="24"/>
          <w:szCs w:val="24"/>
        </w:rPr>
        <w:t xml:space="preserve"> v </w:t>
      </w:r>
      <w:r w:rsidRPr="00C55D9B">
        <w:rPr>
          <w:rFonts w:ascii="Times New Roman" w:hAnsi="Times New Roman" w:cs="Times New Roman"/>
          <w:i/>
          <w:sz w:val="24"/>
          <w:szCs w:val="24"/>
        </w:rPr>
        <w:t>Master of the High Court &amp; Ors</w:t>
      </w:r>
      <w:r>
        <w:rPr>
          <w:rFonts w:ascii="Times New Roman" w:hAnsi="Times New Roman" w:cs="Times New Roman"/>
          <w:sz w:val="24"/>
          <w:szCs w:val="24"/>
        </w:rPr>
        <w:t xml:space="preserve"> HH 5/22.</w:t>
      </w:r>
    </w:p>
    <w:p w14:paraId="21A31653" w14:textId="74DE7D16" w:rsidR="00E54EE0" w:rsidRDefault="00FE0FFC" w:rsidP="00E30CF1">
      <w:pPr>
        <w:pStyle w:val="ListParagraph"/>
        <w:tabs>
          <w:tab w:val="left" w:pos="720"/>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In this case, the applicant’s evidentiary facts on the customary law marriage are less than satisfactory.  I agree that the evidence of the applicant</w:t>
      </w:r>
      <w:r w:rsidR="00F235C5">
        <w:rPr>
          <w:rFonts w:ascii="Times New Roman" w:hAnsi="Times New Roman" w:cs="Times New Roman"/>
          <w:sz w:val="24"/>
          <w:szCs w:val="24"/>
        </w:rPr>
        <w:t xml:space="preserve"> as</w:t>
      </w:r>
      <w:r>
        <w:rPr>
          <w:rFonts w:ascii="Times New Roman" w:hAnsi="Times New Roman" w:cs="Times New Roman"/>
          <w:sz w:val="24"/>
          <w:szCs w:val="24"/>
        </w:rPr>
        <w:t xml:space="preserve"> measured against that of the third respondent, and my own analysis point to huge disputes of fact.  In </w:t>
      </w:r>
      <w:r w:rsidRPr="00C55D9B">
        <w:rPr>
          <w:rFonts w:ascii="Times New Roman" w:hAnsi="Times New Roman" w:cs="Times New Roman"/>
          <w:i/>
          <w:sz w:val="24"/>
          <w:szCs w:val="24"/>
        </w:rPr>
        <w:t>Ji</w:t>
      </w:r>
      <w:r w:rsidR="00F235C5">
        <w:rPr>
          <w:rFonts w:ascii="Times New Roman" w:hAnsi="Times New Roman" w:cs="Times New Roman"/>
          <w:i/>
          <w:sz w:val="24"/>
          <w:szCs w:val="24"/>
        </w:rPr>
        <w:t>r</w:t>
      </w:r>
      <w:r w:rsidRPr="00C55D9B">
        <w:rPr>
          <w:rFonts w:ascii="Times New Roman" w:hAnsi="Times New Roman" w:cs="Times New Roman"/>
          <w:i/>
          <w:sz w:val="24"/>
          <w:szCs w:val="24"/>
        </w:rPr>
        <w:t>ira</w:t>
      </w:r>
      <w:r>
        <w:rPr>
          <w:rFonts w:ascii="Times New Roman" w:hAnsi="Times New Roman" w:cs="Times New Roman"/>
          <w:sz w:val="24"/>
          <w:szCs w:val="24"/>
        </w:rPr>
        <w:t xml:space="preserve"> v </w:t>
      </w:r>
      <w:r w:rsidRPr="00C55D9B">
        <w:rPr>
          <w:rFonts w:ascii="Times New Roman" w:hAnsi="Times New Roman" w:cs="Times New Roman"/>
          <w:i/>
          <w:sz w:val="24"/>
          <w:szCs w:val="24"/>
        </w:rPr>
        <w:t xml:space="preserve">Zimcor Trustees Ltd &amp; Anor </w:t>
      </w:r>
      <w:r w:rsidR="00C55D9B">
        <w:rPr>
          <w:rFonts w:ascii="Times New Roman" w:hAnsi="Times New Roman" w:cs="Times New Roman"/>
          <w:sz w:val="24"/>
          <w:szCs w:val="24"/>
        </w:rPr>
        <w:t>2010</w:t>
      </w:r>
      <w:r>
        <w:rPr>
          <w:rFonts w:ascii="Times New Roman" w:hAnsi="Times New Roman" w:cs="Times New Roman"/>
          <w:sz w:val="24"/>
          <w:szCs w:val="24"/>
        </w:rPr>
        <w:t xml:space="preserve"> (1) ZLR 375 (H), </w:t>
      </w:r>
      <w:r w:rsidRPr="00FE0FFC">
        <w:rPr>
          <w:rFonts w:ascii="Times New Roman" w:hAnsi="Times New Roman" w:cs="Times New Roman"/>
          <w:smallCaps/>
          <w:sz w:val="24"/>
          <w:szCs w:val="24"/>
        </w:rPr>
        <w:t>Makarau JP</w:t>
      </w:r>
      <w:r>
        <w:rPr>
          <w:rFonts w:ascii="Times New Roman" w:hAnsi="Times New Roman" w:cs="Times New Roman"/>
          <w:sz w:val="24"/>
          <w:szCs w:val="24"/>
        </w:rPr>
        <w:t xml:space="preserve"> (as she then was) alluded to the fact that it is incompetent to rely </w:t>
      </w:r>
      <w:r w:rsidR="00425DC4">
        <w:rPr>
          <w:rFonts w:ascii="Times New Roman" w:hAnsi="Times New Roman" w:cs="Times New Roman"/>
          <w:sz w:val="24"/>
          <w:szCs w:val="24"/>
        </w:rPr>
        <w:t>on affidavit evidence where there are disputes of fact.  A party should take the road of oral proceedings in order to allow the leading of oral evidence, cross examination and re-</w:t>
      </w:r>
      <w:r w:rsidR="00E54EE0">
        <w:rPr>
          <w:rFonts w:ascii="Times New Roman" w:hAnsi="Times New Roman" w:cs="Times New Roman"/>
          <w:sz w:val="24"/>
          <w:szCs w:val="24"/>
        </w:rPr>
        <w:t>examination as affidavits cannot be put on a scale to determine which one is more truthful.</w:t>
      </w:r>
    </w:p>
    <w:p w14:paraId="6658BAA4" w14:textId="77777777" w:rsidR="00E54EE0" w:rsidRDefault="00E54EE0" w:rsidP="00E30CF1">
      <w:pPr>
        <w:pStyle w:val="ListParagraph"/>
        <w:tabs>
          <w:tab w:val="left" w:pos="720"/>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 am proceeding therefore as set out in the cases pointed to by Mr </w:t>
      </w:r>
      <w:r w:rsidRPr="00C55D9B">
        <w:rPr>
          <w:rFonts w:ascii="Times New Roman" w:hAnsi="Times New Roman" w:cs="Times New Roman"/>
          <w:i/>
          <w:sz w:val="24"/>
          <w:szCs w:val="24"/>
        </w:rPr>
        <w:t>Nyamakura</w:t>
      </w:r>
      <w:r>
        <w:rPr>
          <w:rFonts w:ascii="Times New Roman" w:hAnsi="Times New Roman" w:cs="Times New Roman"/>
          <w:sz w:val="24"/>
          <w:szCs w:val="24"/>
        </w:rPr>
        <w:t xml:space="preserve"> in </w:t>
      </w:r>
      <w:r w:rsidRPr="00C55D9B">
        <w:rPr>
          <w:rFonts w:ascii="Times New Roman" w:hAnsi="Times New Roman" w:cs="Times New Roman"/>
          <w:i/>
          <w:sz w:val="24"/>
          <w:szCs w:val="24"/>
        </w:rPr>
        <w:t xml:space="preserve">Moyo </w:t>
      </w:r>
      <w:r>
        <w:rPr>
          <w:rFonts w:ascii="Times New Roman" w:hAnsi="Times New Roman" w:cs="Times New Roman"/>
          <w:sz w:val="24"/>
          <w:szCs w:val="24"/>
        </w:rPr>
        <w:t xml:space="preserve">v </w:t>
      </w:r>
      <w:r w:rsidRPr="00C55D9B">
        <w:rPr>
          <w:rFonts w:ascii="Times New Roman" w:hAnsi="Times New Roman" w:cs="Times New Roman"/>
          <w:i/>
          <w:sz w:val="24"/>
          <w:szCs w:val="24"/>
        </w:rPr>
        <w:t>Zvoma N.O. &amp; Anor</w:t>
      </w:r>
      <w:r>
        <w:rPr>
          <w:rFonts w:ascii="Times New Roman" w:hAnsi="Times New Roman" w:cs="Times New Roman"/>
          <w:sz w:val="24"/>
          <w:szCs w:val="24"/>
        </w:rPr>
        <w:t xml:space="preserve"> (supra) and </w:t>
      </w:r>
      <w:r w:rsidRPr="00C55D9B">
        <w:rPr>
          <w:rFonts w:ascii="Times New Roman" w:hAnsi="Times New Roman" w:cs="Times New Roman"/>
          <w:i/>
          <w:sz w:val="24"/>
          <w:szCs w:val="24"/>
        </w:rPr>
        <w:t>Savanhu</w:t>
      </w:r>
      <w:r>
        <w:rPr>
          <w:rFonts w:ascii="Times New Roman" w:hAnsi="Times New Roman" w:cs="Times New Roman"/>
          <w:sz w:val="24"/>
          <w:szCs w:val="24"/>
        </w:rPr>
        <w:t xml:space="preserve"> v </w:t>
      </w:r>
      <w:r w:rsidRPr="00C55D9B">
        <w:rPr>
          <w:rFonts w:ascii="Times New Roman" w:hAnsi="Times New Roman" w:cs="Times New Roman"/>
          <w:i/>
          <w:sz w:val="24"/>
          <w:szCs w:val="24"/>
        </w:rPr>
        <w:t>Marere</w:t>
      </w:r>
      <w:r>
        <w:rPr>
          <w:rFonts w:ascii="Times New Roman" w:hAnsi="Times New Roman" w:cs="Times New Roman"/>
          <w:sz w:val="24"/>
          <w:szCs w:val="24"/>
        </w:rPr>
        <w:t xml:space="preserve"> </w:t>
      </w:r>
      <w:r w:rsidRPr="00C55D9B">
        <w:rPr>
          <w:rFonts w:ascii="Times New Roman" w:hAnsi="Times New Roman" w:cs="Times New Roman"/>
          <w:i/>
          <w:sz w:val="24"/>
          <w:szCs w:val="24"/>
        </w:rPr>
        <w:t>N.O.</w:t>
      </w:r>
      <w:r>
        <w:rPr>
          <w:rFonts w:ascii="Times New Roman" w:hAnsi="Times New Roman" w:cs="Times New Roman"/>
          <w:sz w:val="24"/>
          <w:szCs w:val="24"/>
        </w:rPr>
        <w:t xml:space="preserve"> (supra).  In the latter case it was held as follows:</w:t>
      </w:r>
    </w:p>
    <w:p w14:paraId="5187FB4D" w14:textId="418BA833" w:rsidR="00E54EE0" w:rsidRDefault="00E54EE0" w:rsidP="00E54EE0">
      <w:pPr>
        <w:pStyle w:val="ListParagraph"/>
        <w:tabs>
          <w:tab w:val="left" w:pos="720"/>
        </w:tabs>
        <w:spacing w:line="240" w:lineRule="auto"/>
        <w:ind w:left="0" w:firstLine="720"/>
        <w:jc w:val="both"/>
        <w:rPr>
          <w:rFonts w:ascii="Times New Roman" w:hAnsi="Times New Roman" w:cs="Times New Roman"/>
        </w:rPr>
      </w:pPr>
      <w:r>
        <w:rPr>
          <w:rFonts w:ascii="Times New Roman" w:hAnsi="Times New Roman" w:cs="Times New Roman"/>
        </w:rPr>
        <w:t xml:space="preserve">“The appellant chose to proceed by way of a court application to claim the order of specific </w:t>
      </w:r>
      <w:r>
        <w:rPr>
          <w:rFonts w:ascii="Times New Roman" w:hAnsi="Times New Roman" w:cs="Times New Roman"/>
        </w:rPr>
        <w:tab/>
        <w:t xml:space="preserve">performance against the first respondent.  As the proceedings were by way of court application </w:t>
      </w:r>
      <w:r>
        <w:rPr>
          <w:rFonts w:ascii="Times New Roman" w:hAnsi="Times New Roman" w:cs="Times New Roman"/>
        </w:rPr>
        <w:tab/>
        <w:t xml:space="preserve">and there were disputes of fact, the final relief could only have been granted if the facts stated </w:t>
      </w:r>
      <w:r>
        <w:rPr>
          <w:rFonts w:ascii="Times New Roman" w:hAnsi="Times New Roman" w:cs="Times New Roman"/>
        </w:rPr>
        <w:tab/>
        <w:t xml:space="preserve">by the first respondent together with the admitted facts in the appellant’s affidavit justified such </w:t>
      </w:r>
      <w:r>
        <w:rPr>
          <w:rFonts w:ascii="Times New Roman" w:hAnsi="Times New Roman" w:cs="Times New Roman"/>
        </w:rPr>
        <w:tab/>
        <w:t xml:space="preserve">an order – </w:t>
      </w:r>
      <w:r w:rsidRPr="00611072">
        <w:rPr>
          <w:rFonts w:ascii="Times New Roman" w:hAnsi="Times New Roman" w:cs="Times New Roman"/>
          <w:i/>
        </w:rPr>
        <w:t>Plascon-Evans Paints Ltd</w:t>
      </w:r>
      <w:r>
        <w:rPr>
          <w:rFonts w:ascii="Times New Roman" w:hAnsi="Times New Roman" w:cs="Times New Roman"/>
        </w:rPr>
        <w:t xml:space="preserve"> v </w:t>
      </w:r>
      <w:r w:rsidRPr="00611072">
        <w:rPr>
          <w:rFonts w:ascii="Times New Roman" w:hAnsi="Times New Roman" w:cs="Times New Roman"/>
          <w:i/>
        </w:rPr>
        <w:t>Van Riebeeck Paints (Pty) Ltd</w:t>
      </w:r>
      <w:r>
        <w:rPr>
          <w:rFonts w:ascii="Times New Roman" w:hAnsi="Times New Roman" w:cs="Times New Roman"/>
        </w:rPr>
        <w:t xml:space="preserve"> 1984 (3) SA 623 (A) at </w:t>
      </w:r>
      <w:r>
        <w:rPr>
          <w:rFonts w:ascii="Times New Roman" w:hAnsi="Times New Roman" w:cs="Times New Roman"/>
        </w:rPr>
        <w:tab/>
        <w:t>634H – 635B.</w:t>
      </w:r>
    </w:p>
    <w:p w14:paraId="7B712CFB" w14:textId="77777777" w:rsidR="00E54EE0" w:rsidRDefault="00E54EE0" w:rsidP="00E54EE0">
      <w:pPr>
        <w:pStyle w:val="ListParagraph"/>
        <w:tabs>
          <w:tab w:val="left" w:pos="720"/>
        </w:tabs>
        <w:spacing w:line="240" w:lineRule="auto"/>
        <w:ind w:left="0" w:firstLine="720"/>
        <w:jc w:val="both"/>
        <w:rPr>
          <w:rFonts w:ascii="Times New Roman" w:hAnsi="Times New Roman" w:cs="Times New Roman"/>
        </w:rPr>
      </w:pPr>
    </w:p>
    <w:p w14:paraId="3FD78D3F" w14:textId="177BD6B8" w:rsidR="00E54EE0" w:rsidRDefault="00146181" w:rsidP="00146181">
      <w:pPr>
        <w:pStyle w:val="ListParagraph"/>
        <w:tabs>
          <w:tab w:val="left" w:pos="720"/>
        </w:tabs>
        <w:spacing w:line="240" w:lineRule="auto"/>
        <w:ind w:left="0" w:firstLine="720"/>
        <w:jc w:val="both"/>
        <w:rPr>
          <w:rFonts w:ascii="Times New Roman" w:hAnsi="Times New Roman" w:cs="Times New Roman"/>
        </w:rPr>
      </w:pPr>
      <w:r w:rsidRPr="00146181">
        <w:rPr>
          <w:rFonts w:ascii="Times New Roman" w:hAnsi="Times New Roman" w:cs="Times New Roman"/>
        </w:rPr>
        <w:t xml:space="preserve">As the court </w:t>
      </w:r>
      <w:r w:rsidRPr="00146181">
        <w:rPr>
          <w:rFonts w:ascii="Times New Roman" w:hAnsi="Times New Roman" w:cs="Times New Roman"/>
          <w:i/>
        </w:rPr>
        <w:t>a quo</w:t>
      </w:r>
      <w:r w:rsidRPr="00146181">
        <w:rPr>
          <w:rFonts w:ascii="Times New Roman" w:hAnsi="Times New Roman" w:cs="Times New Roman"/>
        </w:rPr>
        <w:t xml:space="preserve"> was not satisfied as to the inherent credibility of the factual averments in the </w:t>
      </w:r>
      <w:r>
        <w:rPr>
          <w:rFonts w:ascii="Times New Roman" w:hAnsi="Times New Roman" w:cs="Times New Roman"/>
        </w:rPr>
        <w:tab/>
      </w:r>
      <w:r w:rsidRPr="00146181">
        <w:rPr>
          <w:rFonts w:ascii="Times New Roman" w:hAnsi="Times New Roman" w:cs="Times New Roman"/>
        </w:rPr>
        <w:t xml:space="preserve">appellant’s affidavit, and the first respondent’s denial was not found to have been patently false, </w:t>
      </w:r>
      <w:r>
        <w:rPr>
          <w:rFonts w:ascii="Times New Roman" w:hAnsi="Times New Roman" w:cs="Times New Roman"/>
        </w:rPr>
        <w:tab/>
      </w:r>
      <w:r w:rsidRPr="00146181">
        <w:rPr>
          <w:rFonts w:ascii="Times New Roman" w:hAnsi="Times New Roman" w:cs="Times New Roman"/>
        </w:rPr>
        <w:t>it correctly held that it could not grant the order sought.</w:t>
      </w:r>
      <w:r>
        <w:rPr>
          <w:rFonts w:ascii="Times New Roman" w:hAnsi="Times New Roman" w:cs="Times New Roman"/>
        </w:rPr>
        <w:t>”</w:t>
      </w:r>
    </w:p>
    <w:p w14:paraId="04E9090B" w14:textId="77777777" w:rsidR="00146181" w:rsidRDefault="00146181" w:rsidP="00146181">
      <w:pPr>
        <w:pStyle w:val="ListParagraph"/>
        <w:tabs>
          <w:tab w:val="left" w:pos="720"/>
        </w:tabs>
        <w:spacing w:line="240" w:lineRule="auto"/>
        <w:ind w:left="0" w:firstLine="720"/>
        <w:jc w:val="both"/>
        <w:rPr>
          <w:rFonts w:ascii="Times New Roman" w:hAnsi="Times New Roman" w:cs="Times New Roman"/>
        </w:rPr>
      </w:pPr>
    </w:p>
    <w:p w14:paraId="42D7DE8E" w14:textId="77777777" w:rsidR="00337569" w:rsidRDefault="00146181" w:rsidP="00146181">
      <w:pPr>
        <w:pStyle w:val="ListParagraph"/>
        <w:tabs>
          <w:tab w:val="left" w:pos="720"/>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146181">
        <w:rPr>
          <w:rFonts w:ascii="Times New Roman" w:hAnsi="Times New Roman" w:cs="Times New Roman"/>
          <w:i/>
          <w:sz w:val="24"/>
          <w:szCs w:val="24"/>
        </w:rPr>
        <w:t>casu</w:t>
      </w:r>
      <w:r>
        <w:rPr>
          <w:rFonts w:ascii="Times New Roman" w:hAnsi="Times New Roman" w:cs="Times New Roman"/>
          <w:sz w:val="24"/>
          <w:szCs w:val="24"/>
        </w:rPr>
        <w:t xml:space="preserve"> I am not satisfied as to the inherent credibility of the factual averments in the appellant’s founding affidavit and the supporting affidavits and other documentary </w:t>
      </w:r>
      <w:r w:rsidR="00337569">
        <w:rPr>
          <w:rFonts w:ascii="Times New Roman" w:hAnsi="Times New Roman" w:cs="Times New Roman"/>
          <w:sz w:val="24"/>
          <w:szCs w:val="24"/>
        </w:rPr>
        <w:t xml:space="preserve">evidence she has attached.  I also find that the third respondent’s denial that the applicant was not a wife but only a girlfriend is not patently false. </w:t>
      </w:r>
    </w:p>
    <w:p w14:paraId="2B7EF054" w14:textId="77777777" w:rsidR="00337569" w:rsidRDefault="00337569" w:rsidP="00146181">
      <w:pPr>
        <w:pStyle w:val="ListParagraph"/>
        <w:tabs>
          <w:tab w:val="left" w:pos="720"/>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In the circumstances I cannot grant the relief sought by the applicant.</w:t>
      </w:r>
    </w:p>
    <w:p w14:paraId="3038C1F2" w14:textId="77777777" w:rsidR="00611072" w:rsidRDefault="00A51AD1" w:rsidP="00611072">
      <w:pPr>
        <w:pStyle w:val="ListParagraph"/>
        <w:tabs>
          <w:tab w:val="left" w:pos="720"/>
        </w:tabs>
        <w:spacing w:line="360" w:lineRule="auto"/>
        <w:ind w:left="0" w:firstLine="720"/>
        <w:jc w:val="both"/>
        <w:rPr>
          <w:rFonts w:ascii="Times New Roman" w:hAnsi="Times New Roman" w:cs="Times New Roman"/>
          <w:sz w:val="24"/>
          <w:szCs w:val="24"/>
        </w:rPr>
      </w:pPr>
      <w:r w:rsidRPr="00611072">
        <w:rPr>
          <w:rFonts w:ascii="Times New Roman" w:hAnsi="Times New Roman" w:cs="Times New Roman"/>
          <w:b/>
          <w:sz w:val="24"/>
          <w:szCs w:val="24"/>
        </w:rPr>
        <w:t>Accordingly the application be and is hereby dismissed with costs</w:t>
      </w:r>
      <w:r>
        <w:rPr>
          <w:rFonts w:ascii="Times New Roman" w:hAnsi="Times New Roman" w:cs="Times New Roman"/>
          <w:sz w:val="24"/>
          <w:szCs w:val="24"/>
        </w:rPr>
        <w:t>.</w:t>
      </w:r>
      <w:r w:rsidR="00146181">
        <w:rPr>
          <w:rFonts w:ascii="Times New Roman" w:hAnsi="Times New Roman" w:cs="Times New Roman"/>
          <w:sz w:val="24"/>
          <w:szCs w:val="24"/>
        </w:rPr>
        <w:t xml:space="preserve">   </w:t>
      </w:r>
    </w:p>
    <w:p w14:paraId="37873D21" w14:textId="77777777" w:rsidR="00F235C5" w:rsidRDefault="00F235C5" w:rsidP="00611072">
      <w:pPr>
        <w:pStyle w:val="ListParagraph"/>
        <w:tabs>
          <w:tab w:val="left" w:pos="720"/>
        </w:tabs>
        <w:spacing w:after="0" w:line="240" w:lineRule="auto"/>
        <w:ind w:left="0"/>
        <w:jc w:val="both"/>
        <w:rPr>
          <w:rFonts w:ascii="Times New Roman" w:hAnsi="Times New Roman" w:cs="Times New Roman"/>
          <w:sz w:val="24"/>
          <w:szCs w:val="24"/>
        </w:rPr>
      </w:pPr>
    </w:p>
    <w:p w14:paraId="081FE4A6" w14:textId="77777777" w:rsidR="00F235C5" w:rsidRDefault="00F235C5" w:rsidP="00611072">
      <w:pPr>
        <w:pStyle w:val="ListParagraph"/>
        <w:tabs>
          <w:tab w:val="left" w:pos="720"/>
        </w:tabs>
        <w:spacing w:after="0" w:line="240" w:lineRule="auto"/>
        <w:ind w:left="0"/>
        <w:jc w:val="both"/>
        <w:rPr>
          <w:rFonts w:ascii="Times New Roman" w:hAnsi="Times New Roman" w:cs="Times New Roman"/>
          <w:sz w:val="24"/>
          <w:szCs w:val="24"/>
        </w:rPr>
      </w:pPr>
    </w:p>
    <w:p w14:paraId="157F8421" w14:textId="77777777" w:rsidR="00F235C5" w:rsidRDefault="00F235C5" w:rsidP="00611072">
      <w:pPr>
        <w:pStyle w:val="ListParagraph"/>
        <w:tabs>
          <w:tab w:val="left" w:pos="720"/>
        </w:tabs>
        <w:spacing w:after="0" w:line="240" w:lineRule="auto"/>
        <w:ind w:left="0"/>
        <w:jc w:val="both"/>
        <w:rPr>
          <w:rFonts w:ascii="Times New Roman" w:hAnsi="Times New Roman" w:cs="Times New Roman"/>
          <w:sz w:val="24"/>
          <w:szCs w:val="24"/>
        </w:rPr>
      </w:pPr>
    </w:p>
    <w:p w14:paraId="14A02D7A" w14:textId="77777777" w:rsidR="00F235C5" w:rsidRDefault="00F235C5" w:rsidP="00611072">
      <w:pPr>
        <w:pStyle w:val="ListParagraph"/>
        <w:tabs>
          <w:tab w:val="left" w:pos="720"/>
        </w:tabs>
        <w:spacing w:after="0" w:line="240" w:lineRule="auto"/>
        <w:ind w:left="0"/>
        <w:jc w:val="both"/>
        <w:rPr>
          <w:rFonts w:ascii="Times New Roman" w:hAnsi="Times New Roman" w:cs="Times New Roman"/>
          <w:sz w:val="24"/>
          <w:szCs w:val="24"/>
        </w:rPr>
      </w:pPr>
    </w:p>
    <w:p w14:paraId="75D18BED" w14:textId="77777777" w:rsidR="00F235C5" w:rsidRDefault="00F235C5" w:rsidP="00F235C5">
      <w:pPr>
        <w:pStyle w:val="ListParagraph"/>
        <w:tabs>
          <w:tab w:val="left" w:pos="72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Warara &amp; Associates</w:t>
      </w:r>
      <w:r w:rsidR="00EA747D">
        <w:rPr>
          <w:rFonts w:ascii="Times New Roman" w:hAnsi="Times New Roman" w:cs="Times New Roman"/>
          <w:sz w:val="24"/>
          <w:szCs w:val="24"/>
        </w:rPr>
        <w:t xml:space="preserve">, </w:t>
      </w:r>
      <w:r w:rsidR="00B54BD6">
        <w:rPr>
          <w:rFonts w:ascii="Times New Roman" w:hAnsi="Times New Roman" w:cs="Times New Roman"/>
          <w:sz w:val="24"/>
          <w:szCs w:val="24"/>
        </w:rPr>
        <w:t>a</w:t>
      </w:r>
      <w:r w:rsidR="00EA747D">
        <w:rPr>
          <w:rFonts w:ascii="Times New Roman" w:hAnsi="Times New Roman" w:cs="Times New Roman"/>
          <w:sz w:val="24"/>
          <w:szCs w:val="24"/>
        </w:rPr>
        <w:t xml:space="preserve">pplicant’s </w:t>
      </w:r>
      <w:r w:rsidR="00B54BD6">
        <w:rPr>
          <w:rFonts w:ascii="Times New Roman" w:hAnsi="Times New Roman" w:cs="Times New Roman"/>
          <w:sz w:val="24"/>
          <w:szCs w:val="24"/>
        </w:rPr>
        <w:t>l</w:t>
      </w:r>
      <w:r w:rsidR="00EA747D">
        <w:rPr>
          <w:rFonts w:ascii="Times New Roman" w:hAnsi="Times New Roman" w:cs="Times New Roman"/>
          <w:sz w:val="24"/>
          <w:szCs w:val="24"/>
        </w:rPr>
        <w:t xml:space="preserve">egal practitioners </w:t>
      </w:r>
    </w:p>
    <w:p w14:paraId="6F8A200D" w14:textId="77777777" w:rsidR="00F235C5" w:rsidRDefault="00F235C5" w:rsidP="00F235C5">
      <w:pPr>
        <w:pStyle w:val="ListParagraph"/>
        <w:tabs>
          <w:tab w:val="left" w:pos="72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Muvingi &amp; Mugadza Legal Practitioners</w:t>
      </w:r>
      <w:r w:rsidR="00B54BD6">
        <w:rPr>
          <w:rFonts w:ascii="Times New Roman" w:hAnsi="Times New Roman" w:cs="Times New Roman"/>
          <w:sz w:val="24"/>
          <w:szCs w:val="24"/>
        </w:rPr>
        <w:t xml:space="preserve">, </w:t>
      </w:r>
      <w:r w:rsidR="001172B5">
        <w:rPr>
          <w:rFonts w:ascii="Times New Roman" w:hAnsi="Times New Roman" w:cs="Times New Roman"/>
          <w:sz w:val="24"/>
          <w:szCs w:val="24"/>
        </w:rPr>
        <w:t>second</w:t>
      </w:r>
      <w:r w:rsidR="00611072">
        <w:rPr>
          <w:rFonts w:ascii="Times New Roman" w:hAnsi="Times New Roman" w:cs="Times New Roman"/>
          <w:sz w:val="24"/>
          <w:szCs w:val="24"/>
        </w:rPr>
        <w:t xml:space="preserve"> </w:t>
      </w:r>
      <w:r w:rsidR="00B54BD6">
        <w:rPr>
          <w:rFonts w:ascii="Times New Roman" w:hAnsi="Times New Roman" w:cs="Times New Roman"/>
          <w:sz w:val="24"/>
          <w:szCs w:val="24"/>
        </w:rPr>
        <w:t>respondent’s legal practitioners</w:t>
      </w:r>
    </w:p>
    <w:p w14:paraId="3B977634" w14:textId="61E6DD5D" w:rsidR="00611072" w:rsidRDefault="00F235C5" w:rsidP="00F235C5">
      <w:pPr>
        <w:pStyle w:val="ListParagraph"/>
        <w:tabs>
          <w:tab w:val="left" w:pos="72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Bere Brothers</w:t>
      </w:r>
      <w:r w:rsidR="00611072">
        <w:rPr>
          <w:rFonts w:ascii="Times New Roman" w:hAnsi="Times New Roman" w:cs="Times New Roman"/>
          <w:sz w:val="24"/>
          <w:szCs w:val="24"/>
        </w:rPr>
        <w:t xml:space="preserve">, </w:t>
      </w:r>
      <w:r w:rsidR="001172B5">
        <w:rPr>
          <w:rFonts w:ascii="Times New Roman" w:hAnsi="Times New Roman" w:cs="Times New Roman"/>
          <w:sz w:val="24"/>
          <w:szCs w:val="24"/>
        </w:rPr>
        <w:t>third</w:t>
      </w:r>
      <w:r w:rsidR="00611072">
        <w:rPr>
          <w:rFonts w:ascii="Times New Roman" w:hAnsi="Times New Roman" w:cs="Times New Roman"/>
          <w:sz w:val="24"/>
          <w:szCs w:val="24"/>
        </w:rPr>
        <w:t xml:space="preserve"> respondent’s legal practitioners</w:t>
      </w:r>
    </w:p>
    <w:p w14:paraId="3C5247C0" w14:textId="77777777" w:rsidR="00611072" w:rsidRDefault="00611072" w:rsidP="00B54BD6">
      <w:pPr>
        <w:tabs>
          <w:tab w:val="left" w:pos="360"/>
          <w:tab w:val="left" w:pos="1080"/>
        </w:tabs>
        <w:spacing w:after="0" w:line="240" w:lineRule="auto"/>
        <w:jc w:val="both"/>
        <w:rPr>
          <w:rFonts w:ascii="Times New Roman" w:hAnsi="Times New Roman" w:cs="Times New Roman"/>
          <w:sz w:val="24"/>
          <w:szCs w:val="24"/>
        </w:rPr>
      </w:pPr>
    </w:p>
    <w:sectPr w:rsidR="0061107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52758" w14:textId="77777777" w:rsidR="00C07602" w:rsidRDefault="00C07602" w:rsidP="00E15CBB">
      <w:pPr>
        <w:spacing w:after="0" w:line="240" w:lineRule="auto"/>
      </w:pPr>
      <w:r>
        <w:separator/>
      </w:r>
    </w:p>
  </w:endnote>
  <w:endnote w:type="continuationSeparator" w:id="0">
    <w:p w14:paraId="21747DC6" w14:textId="77777777" w:rsidR="00C07602" w:rsidRDefault="00C07602" w:rsidP="00E15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A63A9" w14:textId="77777777" w:rsidR="00C07602" w:rsidRDefault="00C07602" w:rsidP="00E15CBB">
      <w:pPr>
        <w:spacing w:after="0" w:line="240" w:lineRule="auto"/>
      </w:pPr>
      <w:r>
        <w:separator/>
      </w:r>
    </w:p>
  </w:footnote>
  <w:footnote w:type="continuationSeparator" w:id="0">
    <w:p w14:paraId="04759E3B" w14:textId="77777777" w:rsidR="00C07602" w:rsidRDefault="00C07602" w:rsidP="00E15C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8135168"/>
      <w:docPartObj>
        <w:docPartGallery w:val="Page Numbers (Top of Page)"/>
        <w:docPartUnique/>
      </w:docPartObj>
    </w:sdtPr>
    <w:sdtEndPr>
      <w:rPr>
        <w:noProof/>
      </w:rPr>
    </w:sdtEndPr>
    <w:sdtContent>
      <w:p w14:paraId="500786F5" w14:textId="4812D329" w:rsidR="0095702B" w:rsidRDefault="0095702B">
        <w:pPr>
          <w:pStyle w:val="Header"/>
          <w:jc w:val="right"/>
          <w:rPr>
            <w:noProof/>
          </w:rPr>
        </w:pPr>
        <w:r>
          <w:fldChar w:fldCharType="begin"/>
        </w:r>
        <w:r>
          <w:instrText xml:space="preserve"> PAGE   \* MERGEFORMAT </w:instrText>
        </w:r>
        <w:r>
          <w:fldChar w:fldCharType="separate"/>
        </w:r>
        <w:r w:rsidR="001E5F0C">
          <w:rPr>
            <w:noProof/>
          </w:rPr>
          <w:t>1</w:t>
        </w:r>
        <w:r>
          <w:rPr>
            <w:noProof/>
          </w:rPr>
          <w:fldChar w:fldCharType="end"/>
        </w:r>
      </w:p>
      <w:p w14:paraId="53EED124" w14:textId="08B0DE8B" w:rsidR="0095702B" w:rsidRDefault="0095702B">
        <w:pPr>
          <w:pStyle w:val="Header"/>
          <w:jc w:val="right"/>
          <w:rPr>
            <w:noProof/>
          </w:rPr>
        </w:pPr>
        <w:r>
          <w:rPr>
            <w:noProof/>
          </w:rPr>
          <w:t xml:space="preserve">HH </w:t>
        </w:r>
        <w:r w:rsidR="00755A3E">
          <w:rPr>
            <w:noProof/>
          </w:rPr>
          <w:t>124-23</w:t>
        </w:r>
      </w:p>
      <w:p w14:paraId="447D7474" w14:textId="48F76524" w:rsidR="0095702B" w:rsidRDefault="0095702B">
        <w:pPr>
          <w:pStyle w:val="Header"/>
          <w:jc w:val="right"/>
        </w:pPr>
        <w:r>
          <w:rPr>
            <w:noProof/>
          </w:rPr>
          <w:t>HCH 6237/23</w:t>
        </w:r>
      </w:p>
    </w:sdtContent>
  </w:sdt>
  <w:p w14:paraId="320C4C9E" w14:textId="77777777" w:rsidR="0095702B" w:rsidRDefault="009570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075B7"/>
    <w:multiLevelType w:val="multilevel"/>
    <w:tmpl w:val="8C86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931D03"/>
    <w:multiLevelType w:val="hybridMultilevel"/>
    <w:tmpl w:val="4418C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8D285E"/>
    <w:multiLevelType w:val="hybridMultilevel"/>
    <w:tmpl w:val="7DE8A9B6"/>
    <w:lvl w:ilvl="0" w:tplc="3009000F">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579E07B1"/>
    <w:multiLevelType w:val="hybridMultilevel"/>
    <w:tmpl w:val="AF942EDE"/>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65901C63"/>
    <w:multiLevelType w:val="hybridMultilevel"/>
    <w:tmpl w:val="8E804C9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9B6"/>
    <w:rsid w:val="00004AF7"/>
    <w:rsid w:val="000148E7"/>
    <w:rsid w:val="0002796A"/>
    <w:rsid w:val="0004429D"/>
    <w:rsid w:val="00047A32"/>
    <w:rsid w:val="00077277"/>
    <w:rsid w:val="00084F3E"/>
    <w:rsid w:val="000912A0"/>
    <w:rsid w:val="000957CB"/>
    <w:rsid w:val="000A5FC2"/>
    <w:rsid w:val="000B4F69"/>
    <w:rsid w:val="00103DCE"/>
    <w:rsid w:val="001172B5"/>
    <w:rsid w:val="001425CD"/>
    <w:rsid w:val="00146181"/>
    <w:rsid w:val="00157E34"/>
    <w:rsid w:val="00172D3B"/>
    <w:rsid w:val="00180912"/>
    <w:rsid w:val="001821DE"/>
    <w:rsid w:val="001845A0"/>
    <w:rsid w:val="001A6668"/>
    <w:rsid w:val="001D6746"/>
    <w:rsid w:val="001E0816"/>
    <w:rsid w:val="001E3C09"/>
    <w:rsid w:val="001E5F0C"/>
    <w:rsid w:val="001F3567"/>
    <w:rsid w:val="00206442"/>
    <w:rsid w:val="00212153"/>
    <w:rsid w:val="00230331"/>
    <w:rsid w:val="002320A1"/>
    <w:rsid w:val="002442F3"/>
    <w:rsid w:val="00244BF5"/>
    <w:rsid w:val="00252DE8"/>
    <w:rsid w:val="00271E87"/>
    <w:rsid w:val="00285F4B"/>
    <w:rsid w:val="002870A8"/>
    <w:rsid w:val="00290279"/>
    <w:rsid w:val="002973EB"/>
    <w:rsid w:val="002A5ED7"/>
    <w:rsid w:val="002E730A"/>
    <w:rsid w:val="002E73A4"/>
    <w:rsid w:val="002F482C"/>
    <w:rsid w:val="00322888"/>
    <w:rsid w:val="003240B3"/>
    <w:rsid w:val="003372E0"/>
    <w:rsid w:val="00337569"/>
    <w:rsid w:val="0034052C"/>
    <w:rsid w:val="00356182"/>
    <w:rsid w:val="003648F0"/>
    <w:rsid w:val="00376234"/>
    <w:rsid w:val="00391B3E"/>
    <w:rsid w:val="003C0718"/>
    <w:rsid w:val="003C391F"/>
    <w:rsid w:val="003C5B3B"/>
    <w:rsid w:val="003C62BF"/>
    <w:rsid w:val="003F62C2"/>
    <w:rsid w:val="003F7033"/>
    <w:rsid w:val="00411DBD"/>
    <w:rsid w:val="00413777"/>
    <w:rsid w:val="004155D3"/>
    <w:rsid w:val="00425DC4"/>
    <w:rsid w:val="00430E0B"/>
    <w:rsid w:val="004401CB"/>
    <w:rsid w:val="00463E7E"/>
    <w:rsid w:val="0046625A"/>
    <w:rsid w:val="00470CA0"/>
    <w:rsid w:val="00480FC4"/>
    <w:rsid w:val="004A69B6"/>
    <w:rsid w:val="004B14AE"/>
    <w:rsid w:val="004E4C82"/>
    <w:rsid w:val="00505C97"/>
    <w:rsid w:val="00506E60"/>
    <w:rsid w:val="00513191"/>
    <w:rsid w:val="00514797"/>
    <w:rsid w:val="00522CA1"/>
    <w:rsid w:val="00523AB9"/>
    <w:rsid w:val="00537FDE"/>
    <w:rsid w:val="005461BD"/>
    <w:rsid w:val="00552C34"/>
    <w:rsid w:val="005718A6"/>
    <w:rsid w:val="00574E46"/>
    <w:rsid w:val="00575755"/>
    <w:rsid w:val="00583970"/>
    <w:rsid w:val="005A0947"/>
    <w:rsid w:val="005A0A33"/>
    <w:rsid w:val="005A20D5"/>
    <w:rsid w:val="005C0B18"/>
    <w:rsid w:val="005C6DCD"/>
    <w:rsid w:val="005F69C3"/>
    <w:rsid w:val="00611072"/>
    <w:rsid w:val="006137F1"/>
    <w:rsid w:val="00620D88"/>
    <w:rsid w:val="00647449"/>
    <w:rsid w:val="00652B32"/>
    <w:rsid w:val="00687933"/>
    <w:rsid w:val="00697BB5"/>
    <w:rsid w:val="006B651D"/>
    <w:rsid w:val="006C687A"/>
    <w:rsid w:val="006F128F"/>
    <w:rsid w:val="006F5AAA"/>
    <w:rsid w:val="007350BF"/>
    <w:rsid w:val="00755A3E"/>
    <w:rsid w:val="00776B65"/>
    <w:rsid w:val="00776EE6"/>
    <w:rsid w:val="00785713"/>
    <w:rsid w:val="007B35E6"/>
    <w:rsid w:val="007B3B1F"/>
    <w:rsid w:val="007D0680"/>
    <w:rsid w:val="007D2886"/>
    <w:rsid w:val="00802134"/>
    <w:rsid w:val="00805310"/>
    <w:rsid w:val="00813FAE"/>
    <w:rsid w:val="00861231"/>
    <w:rsid w:val="00876FAC"/>
    <w:rsid w:val="008857EF"/>
    <w:rsid w:val="00894E54"/>
    <w:rsid w:val="008A095C"/>
    <w:rsid w:val="008D5FA8"/>
    <w:rsid w:val="008E7928"/>
    <w:rsid w:val="008F733B"/>
    <w:rsid w:val="00906C76"/>
    <w:rsid w:val="009239D6"/>
    <w:rsid w:val="0095702B"/>
    <w:rsid w:val="0096409F"/>
    <w:rsid w:val="00987746"/>
    <w:rsid w:val="009C72A2"/>
    <w:rsid w:val="009F10C0"/>
    <w:rsid w:val="00A03249"/>
    <w:rsid w:val="00A21974"/>
    <w:rsid w:val="00A22B90"/>
    <w:rsid w:val="00A23D65"/>
    <w:rsid w:val="00A44D85"/>
    <w:rsid w:val="00A47A18"/>
    <w:rsid w:val="00A51AD1"/>
    <w:rsid w:val="00A61D90"/>
    <w:rsid w:val="00A93210"/>
    <w:rsid w:val="00AA0A76"/>
    <w:rsid w:val="00AC5F9E"/>
    <w:rsid w:val="00B03C8A"/>
    <w:rsid w:val="00B31EBF"/>
    <w:rsid w:val="00B54BD6"/>
    <w:rsid w:val="00B6436B"/>
    <w:rsid w:val="00B721A1"/>
    <w:rsid w:val="00B729BD"/>
    <w:rsid w:val="00B72AE6"/>
    <w:rsid w:val="00B73850"/>
    <w:rsid w:val="00B945B4"/>
    <w:rsid w:val="00B949DD"/>
    <w:rsid w:val="00BB6758"/>
    <w:rsid w:val="00BC017F"/>
    <w:rsid w:val="00BE501F"/>
    <w:rsid w:val="00C07602"/>
    <w:rsid w:val="00C36C15"/>
    <w:rsid w:val="00C4314E"/>
    <w:rsid w:val="00C54919"/>
    <w:rsid w:val="00C55D9B"/>
    <w:rsid w:val="00C64835"/>
    <w:rsid w:val="00C74AB2"/>
    <w:rsid w:val="00C9680A"/>
    <w:rsid w:val="00CD2D30"/>
    <w:rsid w:val="00CF50B9"/>
    <w:rsid w:val="00D03EE8"/>
    <w:rsid w:val="00D25A58"/>
    <w:rsid w:val="00D43043"/>
    <w:rsid w:val="00D5654E"/>
    <w:rsid w:val="00D82D4B"/>
    <w:rsid w:val="00DA406C"/>
    <w:rsid w:val="00DB7E82"/>
    <w:rsid w:val="00DD2FF7"/>
    <w:rsid w:val="00DD6531"/>
    <w:rsid w:val="00DE0891"/>
    <w:rsid w:val="00DE3BD3"/>
    <w:rsid w:val="00E005E1"/>
    <w:rsid w:val="00E114D7"/>
    <w:rsid w:val="00E1305C"/>
    <w:rsid w:val="00E13ABD"/>
    <w:rsid w:val="00E15CBB"/>
    <w:rsid w:val="00E23BC4"/>
    <w:rsid w:val="00E30CF1"/>
    <w:rsid w:val="00E3616C"/>
    <w:rsid w:val="00E36EED"/>
    <w:rsid w:val="00E54EE0"/>
    <w:rsid w:val="00E6381D"/>
    <w:rsid w:val="00E73337"/>
    <w:rsid w:val="00E74230"/>
    <w:rsid w:val="00E97E13"/>
    <w:rsid w:val="00EA747D"/>
    <w:rsid w:val="00ED1D00"/>
    <w:rsid w:val="00ED3466"/>
    <w:rsid w:val="00EE1A99"/>
    <w:rsid w:val="00F11CCC"/>
    <w:rsid w:val="00F17345"/>
    <w:rsid w:val="00F235C5"/>
    <w:rsid w:val="00F64191"/>
    <w:rsid w:val="00F76EBC"/>
    <w:rsid w:val="00FB2254"/>
    <w:rsid w:val="00FE0BD5"/>
    <w:rsid w:val="00FE0FF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583A8"/>
  <w15:chartTrackingRefBased/>
  <w15:docId w15:val="{B65F440E-42D1-481F-B3F8-F351D733B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87A"/>
    <w:pPr>
      <w:ind w:left="720"/>
      <w:contextualSpacing/>
    </w:pPr>
  </w:style>
  <w:style w:type="paragraph" w:customStyle="1" w:styleId="Default">
    <w:name w:val="Default"/>
    <w:rsid w:val="00894E5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15C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CBB"/>
  </w:style>
  <w:style w:type="paragraph" w:styleId="Footer">
    <w:name w:val="footer"/>
    <w:basedOn w:val="Normal"/>
    <w:link w:val="FooterChar"/>
    <w:uiPriority w:val="99"/>
    <w:unhideWhenUsed/>
    <w:rsid w:val="00E15C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5CBB"/>
  </w:style>
  <w:style w:type="paragraph" w:styleId="NormalWeb">
    <w:name w:val="Normal (Web)"/>
    <w:basedOn w:val="Normal"/>
    <w:uiPriority w:val="99"/>
    <w:semiHidden/>
    <w:unhideWhenUsed/>
    <w:rsid w:val="007350B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E361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16C"/>
    <w:rPr>
      <w:rFonts w:ascii="Segoe UI" w:hAnsi="Segoe UI" w:cs="Segoe UI"/>
      <w:sz w:val="18"/>
      <w:szCs w:val="18"/>
    </w:rPr>
  </w:style>
  <w:style w:type="character" w:styleId="CommentReference">
    <w:name w:val="annotation reference"/>
    <w:basedOn w:val="DefaultParagraphFont"/>
    <w:uiPriority w:val="99"/>
    <w:semiHidden/>
    <w:unhideWhenUsed/>
    <w:rsid w:val="00E54EE0"/>
    <w:rPr>
      <w:sz w:val="16"/>
      <w:szCs w:val="16"/>
    </w:rPr>
  </w:style>
  <w:style w:type="paragraph" w:styleId="CommentText">
    <w:name w:val="annotation text"/>
    <w:basedOn w:val="Normal"/>
    <w:link w:val="CommentTextChar"/>
    <w:uiPriority w:val="99"/>
    <w:semiHidden/>
    <w:unhideWhenUsed/>
    <w:rsid w:val="00E54EE0"/>
    <w:pPr>
      <w:spacing w:line="240" w:lineRule="auto"/>
    </w:pPr>
    <w:rPr>
      <w:sz w:val="20"/>
      <w:szCs w:val="20"/>
    </w:rPr>
  </w:style>
  <w:style w:type="character" w:customStyle="1" w:styleId="CommentTextChar">
    <w:name w:val="Comment Text Char"/>
    <w:basedOn w:val="DefaultParagraphFont"/>
    <w:link w:val="CommentText"/>
    <w:uiPriority w:val="99"/>
    <w:semiHidden/>
    <w:rsid w:val="00E54EE0"/>
    <w:rPr>
      <w:sz w:val="20"/>
      <w:szCs w:val="20"/>
    </w:rPr>
  </w:style>
  <w:style w:type="paragraph" w:styleId="CommentSubject">
    <w:name w:val="annotation subject"/>
    <w:basedOn w:val="CommentText"/>
    <w:next w:val="CommentText"/>
    <w:link w:val="CommentSubjectChar"/>
    <w:uiPriority w:val="99"/>
    <w:semiHidden/>
    <w:unhideWhenUsed/>
    <w:rsid w:val="00E54EE0"/>
    <w:rPr>
      <w:b/>
      <w:bCs/>
    </w:rPr>
  </w:style>
  <w:style w:type="character" w:customStyle="1" w:styleId="CommentSubjectChar">
    <w:name w:val="Comment Subject Char"/>
    <w:basedOn w:val="CommentTextChar"/>
    <w:link w:val="CommentSubject"/>
    <w:uiPriority w:val="99"/>
    <w:semiHidden/>
    <w:rsid w:val="00E54EE0"/>
    <w:rPr>
      <w:b/>
      <w:bCs/>
      <w:sz w:val="20"/>
      <w:szCs w:val="20"/>
    </w:rPr>
  </w:style>
  <w:style w:type="paragraph" w:styleId="Revision">
    <w:name w:val="Revision"/>
    <w:hidden/>
    <w:uiPriority w:val="99"/>
    <w:semiHidden/>
    <w:rsid w:val="00E54E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2510</Words>
  <Characters>14308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Emuchawa</dc:creator>
  <cp:keywords/>
  <dc:description/>
  <cp:lastModifiedBy>JSC</cp:lastModifiedBy>
  <cp:revision>2</cp:revision>
  <cp:lastPrinted>2023-04-12T09:15:00Z</cp:lastPrinted>
  <dcterms:created xsi:type="dcterms:W3CDTF">2024-03-28T08:32:00Z</dcterms:created>
  <dcterms:modified xsi:type="dcterms:W3CDTF">2024-03-28T08:32:00Z</dcterms:modified>
</cp:coreProperties>
</file>