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514" w:rsidRPr="00FA4BBB" w:rsidRDefault="007E7514" w:rsidP="00F01358">
      <w:pPr>
        <w:tabs>
          <w:tab w:val="right" w:pos="9360"/>
        </w:tabs>
        <w:spacing w:after="0" w:line="360" w:lineRule="auto"/>
        <w:jc w:val="both"/>
        <w:rPr>
          <w:rFonts w:ascii="Times New Roman" w:hAnsi="Times New Roman" w:cs="Times New Roman"/>
          <w:sz w:val="24"/>
          <w:szCs w:val="24"/>
        </w:rPr>
      </w:pPr>
      <w:bookmarkStart w:id="0" w:name="_GoBack"/>
      <w:bookmarkEnd w:id="0"/>
      <w:r w:rsidRPr="00FA4BBB">
        <w:rPr>
          <w:rFonts w:ascii="Times New Roman" w:hAnsi="Times New Roman" w:cs="Times New Roman"/>
          <w:sz w:val="24"/>
          <w:szCs w:val="24"/>
        </w:rPr>
        <w:t xml:space="preserve">                                                                                                                                 </w:t>
      </w:r>
    </w:p>
    <w:p w:rsidR="007E7514" w:rsidRPr="00FA4BBB" w:rsidRDefault="007E7514" w:rsidP="00F01358">
      <w:pPr>
        <w:spacing w:after="0" w:line="240" w:lineRule="auto"/>
        <w:jc w:val="both"/>
        <w:rPr>
          <w:rFonts w:ascii="Times New Roman" w:hAnsi="Times New Roman" w:cs="Times New Roman"/>
          <w:sz w:val="24"/>
          <w:szCs w:val="24"/>
        </w:rPr>
      </w:pPr>
      <w:r w:rsidRPr="00FA4BBB">
        <w:rPr>
          <w:rFonts w:ascii="Times New Roman" w:hAnsi="Times New Roman" w:cs="Times New Roman"/>
          <w:sz w:val="24"/>
          <w:szCs w:val="24"/>
        </w:rPr>
        <w:t>TOFARA PARIRAI</w:t>
      </w:r>
    </w:p>
    <w:p w:rsidR="007E7514" w:rsidRPr="00FA4BBB" w:rsidRDefault="007E7514" w:rsidP="00F01358">
      <w:pPr>
        <w:spacing w:after="0" w:line="240" w:lineRule="auto"/>
        <w:jc w:val="both"/>
        <w:rPr>
          <w:rFonts w:ascii="Times New Roman" w:hAnsi="Times New Roman" w:cs="Times New Roman"/>
          <w:sz w:val="24"/>
          <w:szCs w:val="24"/>
        </w:rPr>
      </w:pPr>
      <w:r w:rsidRPr="00FA4BBB">
        <w:rPr>
          <w:rFonts w:ascii="Times New Roman" w:hAnsi="Times New Roman" w:cs="Times New Roman"/>
          <w:sz w:val="24"/>
          <w:szCs w:val="24"/>
        </w:rPr>
        <w:t>versus</w:t>
      </w:r>
    </w:p>
    <w:p w:rsidR="007E7514" w:rsidRPr="00FA4BBB" w:rsidRDefault="007E7514" w:rsidP="00F01358">
      <w:pPr>
        <w:spacing w:after="0" w:line="240" w:lineRule="auto"/>
        <w:jc w:val="both"/>
        <w:rPr>
          <w:rFonts w:ascii="Times New Roman" w:hAnsi="Times New Roman" w:cs="Times New Roman"/>
          <w:sz w:val="24"/>
          <w:szCs w:val="24"/>
        </w:rPr>
      </w:pPr>
      <w:r w:rsidRPr="00FA4BBB">
        <w:rPr>
          <w:rFonts w:ascii="Times New Roman" w:hAnsi="Times New Roman" w:cs="Times New Roman"/>
          <w:sz w:val="24"/>
          <w:szCs w:val="24"/>
        </w:rPr>
        <w:t>MAGRET MARUFU</w:t>
      </w:r>
    </w:p>
    <w:p w:rsidR="007E7514" w:rsidRPr="00FA4BBB" w:rsidRDefault="007E7514" w:rsidP="00F01358">
      <w:pPr>
        <w:spacing w:after="0" w:line="240" w:lineRule="auto"/>
        <w:jc w:val="both"/>
        <w:rPr>
          <w:rFonts w:ascii="Times New Roman" w:hAnsi="Times New Roman" w:cs="Times New Roman"/>
          <w:sz w:val="24"/>
          <w:szCs w:val="24"/>
        </w:rPr>
      </w:pPr>
    </w:p>
    <w:p w:rsidR="007E7514" w:rsidRPr="00FA4BBB" w:rsidRDefault="007E7514" w:rsidP="00F01358">
      <w:pPr>
        <w:spacing w:after="0" w:line="240" w:lineRule="auto"/>
        <w:jc w:val="both"/>
        <w:rPr>
          <w:rFonts w:ascii="Times New Roman" w:hAnsi="Times New Roman" w:cs="Times New Roman"/>
          <w:sz w:val="24"/>
          <w:szCs w:val="24"/>
        </w:rPr>
      </w:pPr>
    </w:p>
    <w:p w:rsidR="007E7514" w:rsidRPr="00FA4BBB" w:rsidRDefault="007E7514" w:rsidP="00F01358">
      <w:pPr>
        <w:spacing w:after="0" w:line="240" w:lineRule="auto"/>
        <w:jc w:val="both"/>
        <w:rPr>
          <w:rFonts w:ascii="Times New Roman" w:hAnsi="Times New Roman" w:cs="Times New Roman"/>
          <w:sz w:val="24"/>
          <w:szCs w:val="24"/>
        </w:rPr>
      </w:pPr>
      <w:r w:rsidRPr="00FA4BBB">
        <w:rPr>
          <w:rFonts w:ascii="Times New Roman" w:hAnsi="Times New Roman" w:cs="Times New Roman"/>
          <w:sz w:val="24"/>
          <w:szCs w:val="24"/>
        </w:rPr>
        <w:t>HIGH COURT OF ZIMBABWE</w:t>
      </w:r>
    </w:p>
    <w:p w:rsidR="007E7514" w:rsidRPr="00FA4BBB" w:rsidRDefault="007E7514" w:rsidP="00F01358">
      <w:pPr>
        <w:spacing w:after="0" w:line="240" w:lineRule="auto"/>
        <w:jc w:val="both"/>
        <w:rPr>
          <w:rFonts w:ascii="Times New Roman" w:hAnsi="Times New Roman" w:cs="Times New Roman"/>
          <w:sz w:val="24"/>
          <w:szCs w:val="24"/>
        </w:rPr>
      </w:pPr>
      <w:r w:rsidRPr="00FA4BBB">
        <w:rPr>
          <w:rFonts w:ascii="Times New Roman" w:hAnsi="Times New Roman" w:cs="Times New Roman"/>
          <w:sz w:val="24"/>
          <w:szCs w:val="24"/>
        </w:rPr>
        <w:t>TSANGA &amp; MAXWELL JJ</w:t>
      </w:r>
    </w:p>
    <w:p w:rsidR="007E7514" w:rsidRPr="00FA4BBB" w:rsidRDefault="007E7514" w:rsidP="00F01358">
      <w:pPr>
        <w:spacing w:after="0" w:line="240" w:lineRule="auto"/>
        <w:jc w:val="both"/>
        <w:rPr>
          <w:rFonts w:ascii="Times New Roman" w:hAnsi="Times New Roman" w:cs="Times New Roman"/>
          <w:sz w:val="24"/>
          <w:szCs w:val="24"/>
        </w:rPr>
      </w:pPr>
      <w:r w:rsidRPr="00FA4BBB">
        <w:rPr>
          <w:rFonts w:ascii="Times New Roman" w:hAnsi="Times New Roman" w:cs="Times New Roman"/>
          <w:sz w:val="24"/>
          <w:szCs w:val="24"/>
        </w:rPr>
        <w:t>HARARE, 7 J</w:t>
      </w:r>
      <w:r w:rsidR="00F01358" w:rsidRPr="00FA4BBB">
        <w:rPr>
          <w:rFonts w:ascii="Times New Roman" w:hAnsi="Times New Roman" w:cs="Times New Roman"/>
          <w:sz w:val="24"/>
          <w:szCs w:val="24"/>
        </w:rPr>
        <w:t>uly</w:t>
      </w:r>
      <w:r w:rsidR="00F01358">
        <w:rPr>
          <w:rFonts w:ascii="Times New Roman" w:hAnsi="Times New Roman" w:cs="Times New Roman"/>
          <w:sz w:val="24"/>
          <w:szCs w:val="24"/>
        </w:rPr>
        <w:t xml:space="preserve"> &amp;</w:t>
      </w:r>
      <w:r w:rsidR="001D3710">
        <w:rPr>
          <w:rFonts w:ascii="Times New Roman" w:hAnsi="Times New Roman" w:cs="Times New Roman"/>
          <w:sz w:val="24"/>
          <w:szCs w:val="24"/>
        </w:rPr>
        <w:t xml:space="preserve"> 15</w:t>
      </w:r>
      <w:r w:rsidR="00F01358">
        <w:rPr>
          <w:rFonts w:ascii="Times New Roman" w:hAnsi="Times New Roman" w:cs="Times New Roman"/>
          <w:sz w:val="24"/>
          <w:szCs w:val="24"/>
        </w:rPr>
        <w:t xml:space="preserve"> September 2022</w:t>
      </w:r>
    </w:p>
    <w:p w:rsidR="007E7514" w:rsidRPr="00FA4BBB" w:rsidRDefault="007E7514" w:rsidP="00923FFF">
      <w:pPr>
        <w:spacing w:after="0" w:line="360" w:lineRule="auto"/>
        <w:jc w:val="both"/>
        <w:rPr>
          <w:rFonts w:ascii="Times New Roman" w:hAnsi="Times New Roman" w:cs="Times New Roman"/>
          <w:sz w:val="24"/>
          <w:szCs w:val="24"/>
        </w:rPr>
      </w:pPr>
    </w:p>
    <w:p w:rsidR="007E7514" w:rsidRPr="00FA4BBB" w:rsidRDefault="007E7514" w:rsidP="00923FFF">
      <w:pPr>
        <w:spacing w:after="0" w:line="360" w:lineRule="auto"/>
        <w:jc w:val="both"/>
        <w:rPr>
          <w:rFonts w:ascii="Times New Roman" w:hAnsi="Times New Roman" w:cs="Times New Roman"/>
          <w:b/>
          <w:sz w:val="24"/>
          <w:szCs w:val="24"/>
        </w:rPr>
      </w:pPr>
      <w:r w:rsidRPr="00FA4BBB">
        <w:rPr>
          <w:rFonts w:ascii="Times New Roman" w:hAnsi="Times New Roman" w:cs="Times New Roman"/>
          <w:b/>
          <w:sz w:val="24"/>
          <w:szCs w:val="24"/>
        </w:rPr>
        <w:t>Civil Appeal</w:t>
      </w:r>
    </w:p>
    <w:p w:rsidR="007E7514" w:rsidRPr="00FA4BBB" w:rsidRDefault="007E7514" w:rsidP="00923FFF">
      <w:pPr>
        <w:spacing w:after="0" w:line="360" w:lineRule="auto"/>
        <w:jc w:val="both"/>
        <w:rPr>
          <w:rFonts w:ascii="Times New Roman" w:hAnsi="Times New Roman" w:cs="Times New Roman"/>
          <w:b/>
          <w:sz w:val="24"/>
          <w:szCs w:val="24"/>
        </w:rPr>
      </w:pPr>
    </w:p>
    <w:p w:rsidR="007E7514" w:rsidRPr="00F01358" w:rsidRDefault="007E7514" w:rsidP="00F01358">
      <w:pPr>
        <w:spacing w:after="0" w:line="360" w:lineRule="auto"/>
        <w:ind w:firstLine="720"/>
        <w:jc w:val="both"/>
        <w:rPr>
          <w:rFonts w:ascii="Times New Roman" w:hAnsi="Times New Roman" w:cs="Times New Roman"/>
          <w:b/>
          <w:sz w:val="24"/>
          <w:szCs w:val="24"/>
        </w:rPr>
      </w:pPr>
      <w:r w:rsidRPr="00FA4BBB">
        <w:rPr>
          <w:rFonts w:ascii="Times New Roman" w:hAnsi="Times New Roman" w:cs="Times New Roman"/>
          <w:b/>
          <w:sz w:val="24"/>
          <w:szCs w:val="24"/>
        </w:rPr>
        <w:t>MAXWELL J</w:t>
      </w:r>
      <w:r w:rsidR="00F01358">
        <w:rPr>
          <w:rFonts w:ascii="Times New Roman" w:hAnsi="Times New Roman" w:cs="Times New Roman"/>
          <w:b/>
          <w:sz w:val="24"/>
          <w:szCs w:val="24"/>
        </w:rPr>
        <w:t xml:space="preserve">:  </w:t>
      </w:r>
      <w:r w:rsidRPr="00FA4BBB">
        <w:rPr>
          <w:rFonts w:ascii="Times New Roman" w:hAnsi="Times New Roman" w:cs="Times New Roman"/>
          <w:sz w:val="24"/>
          <w:szCs w:val="24"/>
        </w:rPr>
        <w:t xml:space="preserve">This is an appeal against the decision of the </w:t>
      </w:r>
      <w:r w:rsidR="001D3710">
        <w:rPr>
          <w:rFonts w:ascii="Times New Roman" w:hAnsi="Times New Roman" w:cs="Times New Roman"/>
          <w:sz w:val="24"/>
          <w:szCs w:val="24"/>
        </w:rPr>
        <w:t>m</w:t>
      </w:r>
      <w:r w:rsidR="001D3710" w:rsidRPr="00FA4BBB">
        <w:rPr>
          <w:rFonts w:ascii="Times New Roman" w:hAnsi="Times New Roman" w:cs="Times New Roman"/>
          <w:sz w:val="24"/>
          <w:szCs w:val="24"/>
        </w:rPr>
        <w:t>agistrate’s</w:t>
      </w:r>
      <w:r w:rsidRPr="00FA4BBB">
        <w:rPr>
          <w:rFonts w:ascii="Times New Roman" w:hAnsi="Times New Roman" w:cs="Times New Roman"/>
          <w:sz w:val="24"/>
          <w:szCs w:val="24"/>
        </w:rPr>
        <w:t xml:space="preserve"> </w:t>
      </w:r>
      <w:r w:rsidR="00CD5E1B">
        <w:rPr>
          <w:rFonts w:ascii="Times New Roman" w:hAnsi="Times New Roman" w:cs="Times New Roman"/>
          <w:sz w:val="24"/>
          <w:szCs w:val="24"/>
        </w:rPr>
        <w:t>c</w:t>
      </w:r>
      <w:r w:rsidRPr="00FA4BBB">
        <w:rPr>
          <w:rFonts w:ascii="Times New Roman" w:hAnsi="Times New Roman" w:cs="Times New Roman"/>
          <w:sz w:val="24"/>
          <w:szCs w:val="24"/>
        </w:rPr>
        <w:t>ourt sitting at Harare on 23 February 2022.</w:t>
      </w:r>
    </w:p>
    <w:p w:rsidR="007E7514" w:rsidRPr="00F01358" w:rsidRDefault="007E7514" w:rsidP="00F01358">
      <w:pPr>
        <w:spacing w:line="360" w:lineRule="auto"/>
        <w:ind w:firstLine="720"/>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t>BACKGROUND</w:t>
      </w:r>
    </w:p>
    <w:p w:rsidR="007E7514" w:rsidRPr="00FA4BBB" w:rsidRDefault="007E7514" w:rsidP="00F01358">
      <w:pPr>
        <w:spacing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Defendant, who was the plaintiff in the lower court, issued out su</w:t>
      </w:r>
      <w:r w:rsidR="00FB5AD7" w:rsidRPr="00FA4BBB">
        <w:rPr>
          <w:rFonts w:ascii="Times New Roman" w:hAnsi="Times New Roman" w:cs="Times New Roman"/>
          <w:sz w:val="24"/>
          <w:szCs w:val="24"/>
        </w:rPr>
        <w:t xml:space="preserve">mmons against the </w:t>
      </w:r>
      <w:r w:rsidR="00CD5E1B">
        <w:rPr>
          <w:rFonts w:ascii="Times New Roman" w:hAnsi="Times New Roman" w:cs="Times New Roman"/>
          <w:sz w:val="24"/>
          <w:szCs w:val="24"/>
        </w:rPr>
        <w:t>a</w:t>
      </w:r>
      <w:r w:rsidR="00FB5AD7" w:rsidRPr="00FA4BBB">
        <w:rPr>
          <w:rFonts w:ascii="Times New Roman" w:hAnsi="Times New Roman" w:cs="Times New Roman"/>
          <w:sz w:val="24"/>
          <w:szCs w:val="24"/>
        </w:rPr>
        <w:t>ppellant see</w:t>
      </w:r>
      <w:r w:rsidRPr="00FA4BBB">
        <w:rPr>
          <w:rFonts w:ascii="Times New Roman" w:hAnsi="Times New Roman" w:cs="Times New Roman"/>
          <w:sz w:val="24"/>
          <w:szCs w:val="24"/>
        </w:rPr>
        <w:t xml:space="preserve">king </w:t>
      </w:r>
      <w:r w:rsidR="005444A9" w:rsidRPr="00FA4BBB">
        <w:rPr>
          <w:rFonts w:ascii="Times New Roman" w:hAnsi="Times New Roman" w:cs="Times New Roman"/>
          <w:sz w:val="24"/>
          <w:szCs w:val="24"/>
        </w:rPr>
        <w:t>50% share of stand number 1992 Granary Park, its development and 10 000 loose bricks thereon and costs of suit on a legal practitioner and client scale. She claimed that the property was jointly acquired. After the filing of pleadings, the matter was referred to trial on the following issues; -</w:t>
      </w:r>
    </w:p>
    <w:p w:rsidR="005444A9" w:rsidRPr="00FA4BBB" w:rsidRDefault="005444A9" w:rsidP="00F01358">
      <w:pPr>
        <w:pStyle w:val="ListParagraph"/>
        <w:numPr>
          <w:ilvl w:val="0"/>
          <w:numId w:val="1"/>
        </w:numPr>
        <w:spacing w:line="240" w:lineRule="auto"/>
        <w:jc w:val="both"/>
        <w:rPr>
          <w:rFonts w:ascii="Times New Roman" w:hAnsi="Times New Roman" w:cs="Times New Roman"/>
          <w:sz w:val="24"/>
          <w:szCs w:val="24"/>
        </w:rPr>
      </w:pPr>
      <w:r w:rsidRPr="00FA4BBB">
        <w:rPr>
          <w:rFonts w:ascii="Times New Roman" w:hAnsi="Times New Roman" w:cs="Times New Roman"/>
          <w:sz w:val="24"/>
          <w:szCs w:val="24"/>
        </w:rPr>
        <w:t>Whether the parties were in a tacit universal partnership</w:t>
      </w:r>
    </w:p>
    <w:p w:rsidR="005444A9" w:rsidRPr="00FA4BBB" w:rsidRDefault="005444A9" w:rsidP="00F01358">
      <w:pPr>
        <w:pStyle w:val="ListParagraph"/>
        <w:numPr>
          <w:ilvl w:val="0"/>
          <w:numId w:val="1"/>
        </w:numPr>
        <w:spacing w:line="240" w:lineRule="auto"/>
        <w:jc w:val="both"/>
        <w:rPr>
          <w:rFonts w:ascii="Times New Roman" w:hAnsi="Times New Roman" w:cs="Times New Roman"/>
          <w:sz w:val="24"/>
          <w:szCs w:val="24"/>
        </w:rPr>
      </w:pPr>
      <w:r w:rsidRPr="00FA4BBB">
        <w:rPr>
          <w:rFonts w:ascii="Times New Roman" w:hAnsi="Times New Roman" w:cs="Times New Roman"/>
          <w:sz w:val="24"/>
          <w:szCs w:val="24"/>
        </w:rPr>
        <w:t>Whether the plaintiff made any contribution to the partnership</w:t>
      </w:r>
    </w:p>
    <w:p w:rsidR="005444A9" w:rsidRPr="00FA4BBB" w:rsidRDefault="005444A9" w:rsidP="00F01358">
      <w:pPr>
        <w:pStyle w:val="ListParagraph"/>
        <w:numPr>
          <w:ilvl w:val="0"/>
          <w:numId w:val="1"/>
        </w:numPr>
        <w:spacing w:line="240" w:lineRule="auto"/>
        <w:jc w:val="both"/>
        <w:rPr>
          <w:rFonts w:ascii="Times New Roman" w:hAnsi="Times New Roman" w:cs="Times New Roman"/>
          <w:sz w:val="24"/>
          <w:szCs w:val="24"/>
        </w:rPr>
      </w:pPr>
      <w:r w:rsidRPr="00FA4BBB">
        <w:rPr>
          <w:rFonts w:ascii="Times New Roman" w:hAnsi="Times New Roman" w:cs="Times New Roman"/>
          <w:sz w:val="24"/>
          <w:szCs w:val="24"/>
        </w:rPr>
        <w:t>Whether the plaintiff made any direct and indirect contributions in the purchase or development of stand number 1992 Granary Park.</w:t>
      </w:r>
    </w:p>
    <w:p w:rsidR="00CC29FD" w:rsidRPr="00FA4BBB" w:rsidRDefault="005444A9" w:rsidP="00F01358">
      <w:pPr>
        <w:pStyle w:val="ListParagraph"/>
        <w:numPr>
          <w:ilvl w:val="0"/>
          <w:numId w:val="1"/>
        </w:numPr>
        <w:spacing w:line="24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Whether the plaintiff is entitled to </w:t>
      </w:r>
      <w:r w:rsidR="00CC29FD" w:rsidRPr="00FA4BBB">
        <w:rPr>
          <w:rFonts w:ascii="Times New Roman" w:hAnsi="Times New Roman" w:cs="Times New Roman"/>
          <w:sz w:val="24"/>
          <w:szCs w:val="24"/>
        </w:rPr>
        <w:t>a share in stand number 1992 Granary Park, its Developments and the 10 000 loose bricks thereon.</w:t>
      </w:r>
    </w:p>
    <w:p w:rsidR="00CC29FD" w:rsidRPr="00FA4BBB" w:rsidRDefault="00CC29FD" w:rsidP="00F01358">
      <w:pPr>
        <w:pStyle w:val="ListParagraph"/>
        <w:numPr>
          <w:ilvl w:val="0"/>
          <w:numId w:val="1"/>
        </w:numPr>
        <w:spacing w:line="240" w:lineRule="auto"/>
        <w:jc w:val="both"/>
        <w:rPr>
          <w:rFonts w:ascii="Times New Roman" w:hAnsi="Times New Roman" w:cs="Times New Roman"/>
          <w:sz w:val="24"/>
          <w:szCs w:val="24"/>
        </w:rPr>
      </w:pPr>
      <w:r w:rsidRPr="00FA4BBB">
        <w:rPr>
          <w:rFonts w:ascii="Times New Roman" w:hAnsi="Times New Roman" w:cs="Times New Roman"/>
          <w:sz w:val="24"/>
          <w:szCs w:val="24"/>
        </w:rPr>
        <w:t>Whether or not defendant will be unjustly enriched if he retains full ownership of the stand, its development and the bricks lying thereon.</w:t>
      </w:r>
    </w:p>
    <w:p w:rsidR="00CC29FD" w:rsidRPr="00FA4BBB" w:rsidRDefault="00CC29FD" w:rsidP="00923FFF">
      <w:p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The matter went to trial.</w:t>
      </w:r>
    </w:p>
    <w:p w:rsidR="00F01358" w:rsidRDefault="00F01358" w:rsidP="00923FFF">
      <w:pPr>
        <w:spacing w:line="360" w:lineRule="auto"/>
        <w:jc w:val="both"/>
        <w:rPr>
          <w:rFonts w:ascii="Times New Roman" w:hAnsi="Times New Roman" w:cs="Times New Roman"/>
          <w:b/>
          <w:sz w:val="24"/>
          <w:szCs w:val="24"/>
        </w:rPr>
      </w:pPr>
    </w:p>
    <w:p w:rsidR="00F01358" w:rsidRDefault="00F01358" w:rsidP="00923FFF">
      <w:pPr>
        <w:spacing w:line="360" w:lineRule="auto"/>
        <w:jc w:val="both"/>
        <w:rPr>
          <w:rFonts w:ascii="Times New Roman" w:hAnsi="Times New Roman" w:cs="Times New Roman"/>
          <w:b/>
          <w:sz w:val="24"/>
          <w:szCs w:val="24"/>
        </w:rPr>
      </w:pPr>
    </w:p>
    <w:p w:rsidR="00F01358" w:rsidRDefault="00F01358" w:rsidP="00923FFF">
      <w:pPr>
        <w:spacing w:line="360" w:lineRule="auto"/>
        <w:jc w:val="both"/>
        <w:rPr>
          <w:rFonts w:ascii="Times New Roman" w:hAnsi="Times New Roman" w:cs="Times New Roman"/>
          <w:b/>
          <w:sz w:val="24"/>
          <w:szCs w:val="24"/>
          <w:u w:val="single"/>
        </w:rPr>
      </w:pPr>
    </w:p>
    <w:p w:rsidR="00F01358" w:rsidRDefault="00F01358" w:rsidP="00923FFF">
      <w:pPr>
        <w:spacing w:line="360" w:lineRule="auto"/>
        <w:jc w:val="both"/>
        <w:rPr>
          <w:rFonts w:ascii="Times New Roman" w:hAnsi="Times New Roman" w:cs="Times New Roman"/>
          <w:b/>
          <w:sz w:val="24"/>
          <w:szCs w:val="24"/>
          <w:u w:val="single"/>
        </w:rPr>
      </w:pPr>
    </w:p>
    <w:p w:rsidR="00CC29FD" w:rsidRPr="00F01358" w:rsidRDefault="00CC29FD" w:rsidP="00F01358">
      <w:pPr>
        <w:spacing w:after="0" w:line="360" w:lineRule="auto"/>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lastRenderedPageBreak/>
        <w:t>JUDGMENT OF THE LOWER COURT</w:t>
      </w:r>
    </w:p>
    <w:p w:rsidR="00907917" w:rsidRPr="00FA4BBB" w:rsidRDefault="00CC29FD" w:rsidP="00F01358">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The lower court observed that</w:t>
      </w:r>
      <w:r w:rsidR="008A45D9" w:rsidRPr="00FA4BBB">
        <w:rPr>
          <w:rFonts w:ascii="Times New Roman" w:hAnsi="Times New Roman" w:cs="Times New Roman"/>
          <w:sz w:val="24"/>
          <w:szCs w:val="24"/>
        </w:rPr>
        <w:t xml:space="preserve"> there was joint effort to cater for the upkeep of the family and both parties participated in the acquisition of the stand in question.</w:t>
      </w:r>
      <w:r w:rsidR="00CD5E1B">
        <w:rPr>
          <w:rFonts w:ascii="Times New Roman" w:hAnsi="Times New Roman" w:cs="Times New Roman"/>
          <w:sz w:val="24"/>
          <w:szCs w:val="24"/>
        </w:rPr>
        <w:t xml:space="preserve"> </w:t>
      </w:r>
      <w:r w:rsidR="008A45D9" w:rsidRPr="00FA4BBB">
        <w:rPr>
          <w:rFonts w:ascii="Times New Roman" w:hAnsi="Times New Roman" w:cs="Times New Roman"/>
          <w:sz w:val="24"/>
          <w:szCs w:val="24"/>
        </w:rPr>
        <w:t xml:space="preserve"> It was apparent to the lower court that although the memorandum of the agreement of sale in respect of the stand shows </w:t>
      </w:r>
      <w:proofErr w:type="spellStart"/>
      <w:r w:rsidR="008A45D9" w:rsidRPr="00FA4BBB">
        <w:rPr>
          <w:rFonts w:ascii="Times New Roman" w:hAnsi="Times New Roman" w:cs="Times New Roman"/>
          <w:sz w:val="24"/>
          <w:szCs w:val="24"/>
        </w:rPr>
        <w:t>Tofara</w:t>
      </w:r>
      <w:proofErr w:type="spellEnd"/>
      <w:r w:rsidR="008A45D9" w:rsidRPr="00FA4BBB">
        <w:rPr>
          <w:rFonts w:ascii="Times New Roman" w:hAnsi="Times New Roman" w:cs="Times New Roman"/>
          <w:sz w:val="24"/>
          <w:szCs w:val="24"/>
        </w:rPr>
        <w:t xml:space="preserve"> </w:t>
      </w:r>
      <w:proofErr w:type="spellStart"/>
      <w:r w:rsidR="008A45D9" w:rsidRPr="00FA4BBB">
        <w:rPr>
          <w:rFonts w:ascii="Times New Roman" w:hAnsi="Times New Roman" w:cs="Times New Roman"/>
          <w:sz w:val="24"/>
          <w:szCs w:val="24"/>
        </w:rPr>
        <w:t>Parirai</w:t>
      </w:r>
      <w:proofErr w:type="spellEnd"/>
      <w:r w:rsidR="008A45D9" w:rsidRPr="00FA4BBB">
        <w:rPr>
          <w:rFonts w:ascii="Times New Roman" w:hAnsi="Times New Roman" w:cs="Times New Roman"/>
          <w:sz w:val="24"/>
          <w:szCs w:val="24"/>
        </w:rPr>
        <w:t xml:space="preserve"> as the purchaser, </w:t>
      </w:r>
      <w:proofErr w:type="spellStart"/>
      <w:r w:rsidR="008A45D9" w:rsidRPr="00FA4BBB">
        <w:rPr>
          <w:rFonts w:ascii="Times New Roman" w:hAnsi="Times New Roman" w:cs="Times New Roman"/>
          <w:sz w:val="24"/>
          <w:szCs w:val="24"/>
        </w:rPr>
        <w:t>Magret</w:t>
      </w:r>
      <w:proofErr w:type="spellEnd"/>
      <w:r w:rsidR="008A45D9" w:rsidRPr="00FA4BBB">
        <w:rPr>
          <w:rFonts w:ascii="Times New Roman" w:hAnsi="Times New Roman" w:cs="Times New Roman"/>
          <w:sz w:val="24"/>
          <w:szCs w:val="24"/>
        </w:rPr>
        <w:t xml:space="preserve"> </w:t>
      </w:r>
      <w:proofErr w:type="spellStart"/>
      <w:r w:rsidR="008A45D9" w:rsidRPr="00FA4BBB">
        <w:rPr>
          <w:rFonts w:ascii="Times New Roman" w:hAnsi="Times New Roman" w:cs="Times New Roman"/>
          <w:sz w:val="24"/>
          <w:szCs w:val="24"/>
        </w:rPr>
        <w:t>Marufu</w:t>
      </w:r>
      <w:proofErr w:type="spellEnd"/>
      <w:r w:rsidR="008A45D9" w:rsidRPr="00FA4BBB">
        <w:rPr>
          <w:rFonts w:ascii="Times New Roman" w:hAnsi="Times New Roman" w:cs="Times New Roman"/>
          <w:sz w:val="24"/>
          <w:szCs w:val="24"/>
        </w:rPr>
        <w:t xml:space="preserve"> signed as a witness therefore there is a high probability that they jointly acquired the stand and could have decided to have the </w:t>
      </w:r>
      <w:r w:rsidR="00CD5E1B">
        <w:rPr>
          <w:rFonts w:ascii="Times New Roman" w:hAnsi="Times New Roman" w:cs="Times New Roman"/>
          <w:sz w:val="24"/>
          <w:szCs w:val="24"/>
        </w:rPr>
        <w:t>d</w:t>
      </w:r>
      <w:r w:rsidR="008A45D9" w:rsidRPr="00FA4BBB">
        <w:rPr>
          <w:rFonts w:ascii="Times New Roman" w:hAnsi="Times New Roman" w:cs="Times New Roman"/>
          <w:sz w:val="24"/>
          <w:szCs w:val="24"/>
        </w:rPr>
        <w:t>efendant cited as the purchaser as the head of the family.</w:t>
      </w:r>
      <w:r w:rsidR="00907917" w:rsidRPr="00FA4BBB">
        <w:rPr>
          <w:rFonts w:ascii="Times New Roman" w:hAnsi="Times New Roman" w:cs="Times New Roman"/>
          <w:sz w:val="24"/>
          <w:szCs w:val="24"/>
        </w:rPr>
        <w:t xml:space="preserve"> The lower court stated that all documentary exhibits put together point to the fact that the parties were in a universal unregistered customary union were they jointly acquired their property and made contributions jointly. It concluded that giving the one party 100% or more than 50% share of the stand will amount to unjust enrichment. It therefore granted the plaintiff 50% share in stand 1992 Granary Park, its developments and 10 000 loose bricks.</w:t>
      </w:r>
    </w:p>
    <w:p w:rsidR="00907917" w:rsidRPr="00FA4BBB" w:rsidRDefault="00907917" w:rsidP="00923FFF">
      <w:p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Appellant was aggrieved and noted an appeal.</w:t>
      </w:r>
    </w:p>
    <w:p w:rsidR="00907917" w:rsidRPr="00F01358" w:rsidRDefault="00907917" w:rsidP="00F01358">
      <w:pPr>
        <w:spacing w:after="0" w:line="360" w:lineRule="auto"/>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t>GROUNDS OF APPEAL</w:t>
      </w:r>
    </w:p>
    <w:p w:rsidR="00907917" w:rsidRPr="00FA4BBB" w:rsidRDefault="00907917" w:rsidP="00F01358">
      <w:pPr>
        <w:spacing w:after="0" w:line="360" w:lineRule="auto"/>
        <w:jc w:val="both"/>
        <w:rPr>
          <w:rFonts w:ascii="Times New Roman" w:hAnsi="Times New Roman" w:cs="Times New Roman"/>
          <w:sz w:val="24"/>
          <w:szCs w:val="24"/>
        </w:rPr>
      </w:pPr>
      <w:r w:rsidRPr="00FA4BBB">
        <w:rPr>
          <w:rFonts w:ascii="Times New Roman" w:hAnsi="Times New Roman" w:cs="Times New Roman"/>
          <w:sz w:val="24"/>
          <w:szCs w:val="24"/>
        </w:rPr>
        <w:t>The appeal was noted on three grounds.</w:t>
      </w:r>
    </w:p>
    <w:p w:rsidR="005444A9" w:rsidRPr="00FA4BBB" w:rsidRDefault="00907917" w:rsidP="00923FFF">
      <w:pPr>
        <w:pStyle w:val="ListParagraph"/>
        <w:numPr>
          <w:ilvl w:val="0"/>
          <w:numId w:val="2"/>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The court </w:t>
      </w:r>
      <w:r w:rsidRPr="00620FA6">
        <w:rPr>
          <w:rFonts w:ascii="Times New Roman" w:hAnsi="Times New Roman" w:cs="Times New Roman"/>
          <w:i/>
          <w:sz w:val="24"/>
          <w:szCs w:val="24"/>
        </w:rPr>
        <w:t>a quo</w:t>
      </w:r>
      <w:r w:rsidRPr="00FA4BBB">
        <w:rPr>
          <w:rFonts w:ascii="Times New Roman" w:hAnsi="Times New Roman" w:cs="Times New Roman"/>
          <w:sz w:val="24"/>
          <w:szCs w:val="24"/>
        </w:rPr>
        <w:t xml:space="preserve"> erred and grossly misdirected itself at law and fact in fin</w:t>
      </w:r>
      <w:r w:rsidR="00C7249F" w:rsidRPr="00FA4BBB">
        <w:rPr>
          <w:rFonts w:ascii="Times New Roman" w:hAnsi="Times New Roman" w:cs="Times New Roman"/>
          <w:sz w:val="24"/>
          <w:szCs w:val="24"/>
        </w:rPr>
        <w:t>ding that there was a tacit universal partnership between the appellant and the respondent</w:t>
      </w:r>
      <w:r w:rsidR="00541E77" w:rsidRPr="00FA4BBB">
        <w:rPr>
          <w:rFonts w:ascii="Times New Roman" w:hAnsi="Times New Roman" w:cs="Times New Roman"/>
          <w:sz w:val="24"/>
          <w:szCs w:val="24"/>
        </w:rPr>
        <w:t xml:space="preserve"> when the l</w:t>
      </w:r>
      <w:r w:rsidR="00C7249F" w:rsidRPr="00FA4BBB">
        <w:rPr>
          <w:rFonts w:ascii="Times New Roman" w:hAnsi="Times New Roman" w:cs="Times New Roman"/>
          <w:sz w:val="24"/>
          <w:szCs w:val="24"/>
        </w:rPr>
        <w:t>ater was unable to prove the partnership she relied upon and its terms.</w:t>
      </w:r>
    </w:p>
    <w:p w:rsidR="00541E77" w:rsidRPr="00FA4BBB" w:rsidRDefault="00541E77" w:rsidP="00923FFF">
      <w:pPr>
        <w:pStyle w:val="ListParagraph"/>
        <w:numPr>
          <w:ilvl w:val="0"/>
          <w:numId w:val="2"/>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The court </w:t>
      </w:r>
      <w:r w:rsidRPr="00620FA6">
        <w:rPr>
          <w:rFonts w:ascii="Times New Roman" w:hAnsi="Times New Roman" w:cs="Times New Roman"/>
          <w:i/>
          <w:sz w:val="24"/>
          <w:szCs w:val="24"/>
        </w:rPr>
        <w:t>a quo</w:t>
      </w:r>
      <w:r w:rsidRPr="00FA4BBB">
        <w:rPr>
          <w:rFonts w:ascii="Times New Roman" w:hAnsi="Times New Roman" w:cs="Times New Roman"/>
          <w:sz w:val="24"/>
          <w:szCs w:val="24"/>
        </w:rPr>
        <w:t xml:space="preserve"> erred and grossly misdirected itself at law and fact in awarding the respondent a 50% share in the immovable property namely stand 1992 Granary Park, its developments and 10 000 bricks without giving due weight   to the evidence before it.</w:t>
      </w:r>
    </w:p>
    <w:p w:rsidR="00C7249F" w:rsidRPr="00FA4BBB" w:rsidRDefault="00541E77" w:rsidP="00923FFF">
      <w:pPr>
        <w:pStyle w:val="ListParagraph"/>
        <w:numPr>
          <w:ilvl w:val="0"/>
          <w:numId w:val="2"/>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The court </w:t>
      </w:r>
      <w:r w:rsidRPr="00620FA6">
        <w:rPr>
          <w:rFonts w:ascii="Times New Roman" w:hAnsi="Times New Roman" w:cs="Times New Roman"/>
          <w:i/>
          <w:sz w:val="24"/>
          <w:szCs w:val="24"/>
        </w:rPr>
        <w:t>a quo</w:t>
      </w:r>
      <w:r w:rsidRPr="00FA4BBB">
        <w:rPr>
          <w:rFonts w:ascii="Times New Roman" w:hAnsi="Times New Roman" w:cs="Times New Roman"/>
          <w:sz w:val="24"/>
          <w:szCs w:val="24"/>
        </w:rPr>
        <w:t xml:space="preserve"> erred and grossly misdirected itself at law and fact by completely disregarding documentary evidence tendered during trial in finding that respondent earned above the appellant at some point during their union.</w:t>
      </w:r>
    </w:p>
    <w:p w:rsidR="00104E83" w:rsidRPr="00FA4BBB" w:rsidRDefault="00104E83" w:rsidP="00F01358">
      <w:pPr>
        <w:spacing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Appellant prayed for the setting aside of the judgment of the lower court and its substitution with the dismissal of the claim with costs.</w:t>
      </w:r>
      <w:r w:rsidR="00620FA6">
        <w:rPr>
          <w:rFonts w:ascii="Times New Roman" w:hAnsi="Times New Roman" w:cs="Times New Roman"/>
          <w:sz w:val="24"/>
          <w:szCs w:val="24"/>
        </w:rPr>
        <w:t xml:space="preserve"> In the alternative, </w:t>
      </w:r>
      <w:r w:rsidR="00CD5E1B">
        <w:rPr>
          <w:rFonts w:ascii="Times New Roman" w:hAnsi="Times New Roman" w:cs="Times New Roman"/>
          <w:sz w:val="24"/>
          <w:szCs w:val="24"/>
        </w:rPr>
        <w:t>a</w:t>
      </w:r>
      <w:r w:rsidR="00620FA6">
        <w:rPr>
          <w:rFonts w:ascii="Times New Roman" w:hAnsi="Times New Roman" w:cs="Times New Roman"/>
          <w:sz w:val="24"/>
          <w:szCs w:val="24"/>
        </w:rPr>
        <w:t xml:space="preserve">ppellant prayed for </w:t>
      </w:r>
      <w:r w:rsidR="00620FA6" w:rsidRPr="00FA4BBB">
        <w:rPr>
          <w:rFonts w:ascii="Times New Roman" w:hAnsi="Times New Roman" w:cs="Times New Roman"/>
          <w:sz w:val="24"/>
          <w:szCs w:val="24"/>
        </w:rPr>
        <w:t xml:space="preserve">an award of 30% share in the immovable property in question to plaintiff whilst he gets </w:t>
      </w:r>
      <w:r w:rsidR="00620FA6">
        <w:rPr>
          <w:rFonts w:ascii="Times New Roman" w:hAnsi="Times New Roman" w:cs="Times New Roman"/>
          <w:sz w:val="24"/>
          <w:szCs w:val="24"/>
        </w:rPr>
        <w:t xml:space="preserve">a </w:t>
      </w:r>
      <w:r w:rsidR="00620FA6" w:rsidRPr="00FA4BBB">
        <w:rPr>
          <w:rFonts w:ascii="Times New Roman" w:hAnsi="Times New Roman" w:cs="Times New Roman"/>
          <w:sz w:val="24"/>
          <w:szCs w:val="24"/>
        </w:rPr>
        <w:t>70%</w:t>
      </w:r>
      <w:r w:rsidR="00620FA6">
        <w:rPr>
          <w:rFonts w:ascii="Times New Roman" w:hAnsi="Times New Roman" w:cs="Times New Roman"/>
          <w:sz w:val="24"/>
          <w:szCs w:val="24"/>
        </w:rPr>
        <w:t xml:space="preserve"> share</w:t>
      </w:r>
      <w:r w:rsidR="00620FA6" w:rsidRPr="00FA4BBB">
        <w:rPr>
          <w:rFonts w:ascii="Times New Roman" w:hAnsi="Times New Roman" w:cs="Times New Roman"/>
          <w:sz w:val="24"/>
          <w:szCs w:val="24"/>
        </w:rPr>
        <w:t>.</w:t>
      </w:r>
    </w:p>
    <w:p w:rsidR="00F01358" w:rsidRDefault="00F01358" w:rsidP="00923FFF">
      <w:pPr>
        <w:spacing w:line="360" w:lineRule="auto"/>
        <w:jc w:val="both"/>
        <w:rPr>
          <w:rFonts w:ascii="Times New Roman" w:hAnsi="Times New Roman" w:cs="Times New Roman"/>
          <w:b/>
          <w:sz w:val="24"/>
          <w:szCs w:val="24"/>
        </w:rPr>
      </w:pPr>
    </w:p>
    <w:p w:rsidR="00F01358" w:rsidRDefault="00F01358" w:rsidP="00923FFF">
      <w:pPr>
        <w:spacing w:line="360" w:lineRule="auto"/>
        <w:jc w:val="both"/>
        <w:rPr>
          <w:rFonts w:ascii="Times New Roman" w:hAnsi="Times New Roman" w:cs="Times New Roman"/>
          <w:b/>
          <w:sz w:val="24"/>
          <w:szCs w:val="24"/>
        </w:rPr>
      </w:pPr>
    </w:p>
    <w:p w:rsidR="00104E83" w:rsidRPr="00F01358" w:rsidRDefault="00104E83" w:rsidP="00F01358">
      <w:pPr>
        <w:spacing w:after="0" w:line="360" w:lineRule="auto"/>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lastRenderedPageBreak/>
        <w:t>SUBMISSIONS BY THE PARTIES</w:t>
      </w:r>
    </w:p>
    <w:p w:rsidR="00104E83" w:rsidRPr="00FA4BBB" w:rsidRDefault="00104E83" w:rsidP="00F01358">
      <w:pPr>
        <w:spacing w:after="0" w:line="36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In heads of argument, </w:t>
      </w:r>
      <w:r w:rsidR="00CD5E1B">
        <w:rPr>
          <w:rFonts w:ascii="Times New Roman" w:hAnsi="Times New Roman" w:cs="Times New Roman"/>
          <w:sz w:val="24"/>
          <w:szCs w:val="24"/>
        </w:rPr>
        <w:t>a</w:t>
      </w:r>
      <w:r w:rsidRPr="00FA4BBB">
        <w:rPr>
          <w:rFonts w:ascii="Times New Roman" w:hAnsi="Times New Roman" w:cs="Times New Roman"/>
          <w:sz w:val="24"/>
          <w:szCs w:val="24"/>
        </w:rPr>
        <w:t xml:space="preserve">ppellant submitted that the lower </w:t>
      </w:r>
      <w:r w:rsidR="00620FA6">
        <w:rPr>
          <w:rFonts w:ascii="Times New Roman" w:hAnsi="Times New Roman" w:cs="Times New Roman"/>
          <w:sz w:val="24"/>
          <w:szCs w:val="24"/>
        </w:rPr>
        <w:t xml:space="preserve">court </w:t>
      </w:r>
      <w:r w:rsidRPr="00FA4BBB">
        <w:rPr>
          <w:rFonts w:ascii="Times New Roman" w:hAnsi="Times New Roman" w:cs="Times New Roman"/>
          <w:sz w:val="24"/>
          <w:szCs w:val="24"/>
        </w:rPr>
        <w:t>grossly erred in a manner that resulted in a miscarriage of justice.</w:t>
      </w:r>
      <w:r w:rsidR="00CD5E1B">
        <w:rPr>
          <w:rFonts w:ascii="Times New Roman" w:hAnsi="Times New Roman" w:cs="Times New Roman"/>
          <w:sz w:val="24"/>
          <w:szCs w:val="24"/>
        </w:rPr>
        <w:t xml:space="preserve"> </w:t>
      </w:r>
      <w:r w:rsidRPr="00FA4BBB">
        <w:rPr>
          <w:rFonts w:ascii="Times New Roman" w:hAnsi="Times New Roman" w:cs="Times New Roman"/>
          <w:sz w:val="24"/>
          <w:szCs w:val="24"/>
        </w:rPr>
        <w:t xml:space="preserve"> He alleged that the conduct of the parties during their union was that there was no community of property as each party purchased its own assets.</w:t>
      </w:r>
      <w:r w:rsidR="00CD5E1B">
        <w:rPr>
          <w:rFonts w:ascii="Times New Roman" w:hAnsi="Times New Roman" w:cs="Times New Roman"/>
          <w:sz w:val="24"/>
          <w:szCs w:val="24"/>
        </w:rPr>
        <w:t xml:space="preserve"> </w:t>
      </w:r>
      <w:r w:rsidR="003D4294" w:rsidRPr="00FA4BBB">
        <w:rPr>
          <w:rFonts w:ascii="Times New Roman" w:hAnsi="Times New Roman" w:cs="Times New Roman"/>
          <w:sz w:val="24"/>
          <w:szCs w:val="24"/>
        </w:rPr>
        <w:t xml:space="preserve"> Further </w:t>
      </w:r>
      <w:r w:rsidR="00743B46">
        <w:rPr>
          <w:rFonts w:ascii="Times New Roman" w:hAnsi="Times New Roman" w:cs="Times New Roman"/>
          <w:sz w:val="24"/>
          <w:szCs w:val="24"/>
        </w:rPr>
        <w:t>t</w:t>
      </w:r>
      <w:r w:rsidR="003D4294" w:rsidRPr="00FA4BBB">
        <w:rPr>
          <w:rFonts w:ascii="Times New Roman" w:hAnsi="Times New Roman" w:cs="Times New Roman"/>
          <w:sz w:val="24"/>
          <w:szCs w:val="24"/>
        </w:rPr>
        <w:t xml:space="preserve">hat respondent failed to prove the financial responsibilities of each partner in the alleged partnership. He referred to the case of </w:t>
      </w:r>
      <w:proofErr w:type="spellStart"/>
      <w:r w:rsidR="003D4294" w:rsidRPr="00CD5E1B">
        <w:rPr>
          <w:rFonts w:ascii="Times New Roman" w:hAnsi="Times New Roman" w:cs="Times New Roman"/>
          <w:i/>
          <w:sz w:val="24"/>
          <w:szCs w:val="24"/>
        </w:rPr>
        <w:t>Mtuda</w:t>
      </w:r>
      <w:proofErr w:type="spellEnd"/>
      <w:r w:rsidR="003D4294" w:rsidRPr="00CD5E1B">
        <w:rPr>
          <w:rFonts w:ascii="Times New Roman" w:hAnsi="Times New Roman" w:cs="Times New Roman"/>
          <w:i/>
          <w:sz w:val="24"/>
          <w:szCs w:val="24"/>
        </w:rPr>
        <w:t xml:space="preserve"> </w:t>
      </w:r>
      <w:r w:rsidR="003D4294" w:rsidRPr="00CD5E1B">
        <w:rPr>
          <w:rFonts w:ascii="Times New Roman" w:hAnsi="Times New Roman" w:cs="Times New Roman"/>
          <w:sz w:val="24"/>
          <w:szCs w:val="24"/>
        </w:rPr>
        <w:t xml:space="preserve">v </w:t>
      </w:r>
      <w:proofErr w:type="spellStart"/>
      <w:r w:rsidR="003D4294" w:rsidRPr="00CD5E1B">
        <w:rPr>
          <w:rFonts w:ascii="Times New Roman" w:hAnsi="Times New Roman" w:cs="Times New Roman"/>
          <w:i/>
          <w:sz w:val="24"/>
          <w:szCs w:val="24"/>
        </w:rPr>
        <w:t>Ndudzo</w:t>
      </w:r>
      <w:proofErr w:type="spellEnd"/>
      <w:r w:rsidR="003D4294" w:rsidRPr="00FA4BBB">
        <w:rPr>
          <w:rFonts w:ascii="Times New Roman" w:hAnsi="Times New Roman" w:cs="Times New Roman"/>
          <w:b/>
          <w:sz w:val="24"/>
          <w:szCs w:val="24"/>
        </w:rPr>
        <w:t xml:space="preserve"> </w:t>
      </w:r>
      <w:r w:rsidR="003D4294" w:rsidRPr="00FA4BBB">
        <w:rPr>
          <w:rFonts w:ascii="Times New Roman" w:hAnsi="Times New Roman" w:cs="Times New Roman"/>
          <w:sz w:val="24"/>
          <w:szCs w:val="24"/>
        </w:rPr>
        <w:t xml:space="preserve">2000 (1) ZLR 710 in which the requisites for a partnership are summarized </w:t>
      </w:r>
      <w:proofErr w:type="gramStart"/>
      <w:r w:rsidR="003D4294" w:rsidRPr="00FA4BBB">
        <w:rPr>
          <w:rFonts w:ascii="Times New Roman" w:hAnsi="Times New Roman" w:cs="Times New Roman"/>
          <w:sz w:val="24"/>
          <w:szCs w:val="24"/>
        </w:rPr>
        <w:t>as;-</w:t>
      </w:r>
      <w:proofErr w:type="gramEnd"/>
    </w:p>
    <w:p w:rsidR="00E4680D" w:rsidRPr="00F01358" w:rsidRDefault="00FA4BBB" w:rsidP="00F01358">
      <w:pPr>
        <w:spacing w:after="0" w:line="240" w:lineRule="auto"/>
        <w:jc w:val="both"/>
        <w:rPr>
          <w:rFonts w:ascii="Times New Roman" w:hAnsi="Times New Roman" w:cs="Times New Roman"/>
        </w:rPr>
      </w:pPr>
      <w:r w:rsidRPr="00F01358">
        <w:rPr>
          <w:rFonts w:ascii="Times New Roman" w:hAnsi="Times New Roman" w:cs="Times New Roman"/>
        </w:rPr>
        <w:t xml:space="preserve">          “(</w:t>
      </w:r>
      <w:r w:rsidR="003D4294" w:rsidRPr="00F01358">
        <w:rPr>
          <w:rFonts w:ascii="Times New Roman" w:hAnsi="Times New Roman" w:cs="Times New Roman"/>
        </w:rPr>
        <w:t xml:space="preserve">a) each of the partners must bring something into the partnership or must bind himself </w:t>
      </w:r>
    </w:p>
    <w:p w:rsidR="003D4294" w:rsidRPr="00F01358" w:rsidRDefault="00F01358" w:rsidP="00F01358">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E4680D" w:rsidRPr="00F01358">
        <w:rPr>
          <w:rFonts w:ascii="Times New Roman" w:hAnsi="Times New Roman" w:cs="Times New Roman"/>
        </w:rPr>
        <w:t xml:space="preserve"> </w:t>
      </w:r>
      <w:r w:rsidR="003D4294" w:rsidRPr="00F01358">
        <w:rPr>
          <w:rFonts w:ascii="Times New Roman" w:hAnsi="Times New Roman" w:cs="Times New Roman"/>
        </w:rPr>
        <w:t xml:space="preserve">or herself to bring something into it, whether it be money or </w:t>
      </w:r>
      <w:proofErr w:type="spellStart"/>
      <w:r w:rsidR="003D4294" w:rsidRPr="00F01358">
        <w:rPr>
          <w:rFonts w:ascii="Times New Roman" w:hAnsi="Times New Roman" w:cs="Times New Roman"/>
        </w:rPr>
        <w:t>labour</w:t>
      </w:r>
      <w:proofErr w:type="spellEnd"/>
      <w:r w:rsidR="003D4294" w:rsidRPr="00F01358">
        <w:rPr>
          <w:rFonts w:ascii="Times New Roman" w:hAnsi="Times New Roman" w:cs="Times New Roman"/>
        </w:rPr>
        <w:t xml:space="preserve"> or skill;</w:t>
      </w:r>
    </w:p>
    <w:p w:rsidR="003D4294" w:rsidRPr="00F01358" w:rsidRDefault="003D4294" w:rsidP="00F01358">
      <w:pPr>
        <w:spacing w:after="0" w:line="240" w:lineRule="auto"/>
        <w:ind w:left="720"/>
        <w:jc w:val="both"/>
        <w:rPr>
          <w:rFonts w:ascii="Times New Roman" w:hAnsi="Times New Roman" w:cs="Times New Roman"/>
        </w:rPr>
      </w:pPr>
      <w:r w:rsidRPr="00F01358">
        <w:rPr>
          <w:rFonts w:ascii="Times New Roman" w:hAnsi="Times New Roman" w:cs="Times New Roman"/>
        </w:rPr>
        <w:t>(b) the</w:t>
      </w:r>
      <w:r w:rsidR="00E4680D" w:rsidRPr="00F01358">
        <w:rPr>
          <w:rFonts w:ascii="Times New Roman" w:hAnsi="Times New Roman" w:cs="Times New Roman"/>
        </w:rPr>
        <w:t xml:space="preserve"> business to be carried out should be for the joint benefit of the parties;</w:t>
      </w:r>
    </w:p>
    <w:p w:rsidR="00E4680D" w:rsidRPr="00F01358" w:rsidRDefault="00F01358" w:rsidP="00F01358">
      <w:pPr>
        <w:spacing w:after="0" w:line="240" w:lineRule="auto"/>
        <w:ind w:left="720"/>
        <w:jc w:val="both"/>
        <w:rPr>
          <w:rFonts w:ascii="Times New Roman" w:hAnsi="Times New Roman" w:cs="Times New Roman"/>
        </w:rPr>
      </w:pPr>
      <w:r>
        <w:rPr>
          <w:rFonts w:ascii="Times New Roman" w:hAnsi="Times New Roman" w:cs="Times New Roman"/>
        </w:rPr>
        <w:t>(c</w:t>
      </w:r>
      <w:r w:rsidR="00E4680D" w:rsidRPr="00F01358">
        <w:rPr>
          <w:rFonts w:ascii="Times New Roman" w:hAnsi="Times New Roman" w:cs="Times New Roman"/>
        </w:rPr>
        <w:t xml:space="preserve">) the object of the business should be to make a profit; and </w:t>
      </w:r>
    </w:p>
    <w:p w:rsidR="00E4680D" w:rsidRDefault="00E4680D" w:rsidP="00F01358">
      <w:pPr>
        <w:spacing w:after="0" w:line="240" w:lineRule="auto"/>
        <w:ind w:left="720"/>
        <w:jc w:val="both"/>
        <w:rPr>
          <w:rFonts w:ascii="Times New Roman" w:hAnsi="Times New Roman" w:cs="Times New Roman"/>
        </w:rPr>
      </w:pPr>
      <w:r w:rsidRPr="00F01358">
        <w:rPr>
          <w:rFonts w:ascii="Times New Roman" w:hAnsi="Times New Roman" w:cs="Times New Roman"/>
        </w:rPr>
        <w:t>(d) the agreement should be a legitimate one.</w:t>
      </w:r>
    </w:p>
    <w:p w:rsidR="00E93F4F" w:rsidRPr="00E93F4F" w:rsidRDefault="00E4680D" w:rsidP="00E93F4F">
      <w:pPr>
        <w:spacing w:after="0" w:line="360" w:lineRule="auto"/>
        <w:ind w:firstLine="720"/>
        <w:jc w:val="both"/>
        <w:rPr>
          <w:rFonts w:ascii="Times New Roman" w:hAnsi="Times New Roman" w:cs="Times New Roman"/>
        </w:rPr>
      </w:pPr>
      <w:r w:rsidRPr="00F01358">
        <w:rPr>
          <w:rFonts w:ascii="Times New Roman" w:hAnsi="Times New Roman" w:cs="Times New Roman"/>
        </w:rPr>
        <w:t xml:space="preserve">In addition, </w:t>
      </w:r>
      <w:r w:rsidR="00F01358" w:rsidRPr="00F01358">
        <w:rPr>
          <w:rFonts w:ascii="Times New Roman" w:hAnsi="Times New Roman" w:cs="Times New Roman"/>
        </w:rPr>
        <w:t>the intention</w:t>
      </w:r>
      <w:r w:rsidRPr="00F01358">
        <w:rPr>
          <w:rFonts w:ascii="Times New Roman" w:hAnsi="Times New Roman" w:cs="Times New Roman"/>
        </w:rPr>
        <w:t xml:space="preserve"> of the parties to operate a partnership is also an important consideration.”</w:t>
      </w:r>
    </w:p>
    <w:p w:rsidR="00070F54" w:rsidRPr="00FA4BBB" w:rsidRDefault="00E4680D" w:rsidP="00E93F4F">
      <w:pPr>
        <w:spacing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Appellant referred to various other cases and concluded that the lower court did not evaluate the evidence properly resulting in it reaching an erroneous conclusion.</w:t>
      </w:r>
      <w:r w:rsidR="00575FF8" w:rsidRPr="00FA4BBB">
        <w:rPr>
          <w:rFonts w:ascii="Times New Roman" w:hAnsi="Times New Roman" w:cs="Times New Roman"/>
          <w:sz w:val="24"/>
          <w:szCs w:val="24"/>
        </w:rPr>
        <w:t xml:space="preserve"> </w:t>
      </w:r>
      <w:r w:rsidRPr="00FA4BBB">
        <w:rPr>
          <w:rFonts w:ascii="Times New Roman" w:hAnsi="Times New Roman" w:cs="Times New Roman"/>
          <w:sz w:val="24"/>
          <w:szCs w:val="24"/>
        </w:rPr>
        <w:t xml:space="preserve">He pointed out that the responsibilities which </w:t>
      </w:r>
      <w:r w:rsidR="00E93F4F">
        <w:rPr>
          <w:rFonts w:ascii="Times New Roman" w:hAnsi="Times New Roman" w:cs="Times New Roman"/>
          <w:sz w:val="24"/>
          <w:szCs w:val="24"/>
        </w:rPr>
        <w:t>r</w:t>
      </w:r>
      <w:r w:rsidR="004C4C13" w:rsidRPr="00FA4BBB">
        <w:rPr>
          <w:rFonts w:ascii="Times New Roman" w:hAnsi="Times New Roman" w:cs="Times New Roman"/>
          <w:sz w:val="24"/>
          <w:szCs w:val="24"/>
        </w:rPr>
        <w:t>espondent said she performed in her evidence, which included cooking and cleaning in the partnership</w:t>
      </w:r>
      <w:r w:rsidR="00743B46">
        <w:rPr>
          <w:rFonts w:ascii="Times New Roman" w:hAnsi="Times New Roman" w:cs="Times New Roman"/>
          <w:sz w:val="24"/>
          <w:szCs w:val="24"/>
        </w:rPr>
        <w:t>,</w:t>
      </w:r>
      <w:r w:rsidR="004C4C13" w:rsidRPr="00FA4BBB">
        <w:rPr>
          <w:rFonts w:ascii="Times New Roman" w:hAnsi="Times New Roman" w:cs="Times New Roman"/>
          <w:sz w:val="24"/>
          <w:szCs w:val="24"/>
        </w:rPr>
        <w:t xml:space="preserve"> were essentially domestic contributions or chores expected of a customary law wife. He further pointed out that the </w:t>
      </w:r>
      <w:r w:rsidR="00E93F4F">
        <w:rPr>
          <w:rFonts w:ascii="Times New Roman" w:hAnsi="Times New Roman" w:cs="Times New Roman"/>
          <w:sz w:val="24"/>
          <w:szCs w:val="24"/>
        </w:rPr>
        <w:t>r</w:t>
      </w:r>
      <w:r w:rsidR="004C4C13" w:rsidRPr="00FA4BBB">
        <w:rPr>
          <w:rFonts w:ascii="Times New Roman" w:hAnsi="Times New Roman" w:cs="Times New Roman"/>
          <w:sz w:val="24"/>
          <w:szCs w:val="24"/>
        </w:rPr>
        <w:t>espondent did not do the domestic chores regularly since there was a maid.</w:t>
      </w:r>
      <w:r w:rsidR="00263132">
        <w:rPr>
          <w:rFonts w:ascii="Times New Roman" w:hAnsi="Times New Roman" w:cs="Times New Roman"/>
          <w:sz w:val="24"/>
          <w:szCs w:val="24"/>
        </w:rPr>
        <w:t xml:space="preserve"> </w:t>
      </w:r>
      <w:r w:rsidR="004C4C13" w:rsidRPr="00FA4BBB">
        <w:rPr>
          <w:rFonts w:ascii="Times New Roman" w:hAnsi="Times New Roman" w:cs="Times New Roman"/>
          <w:sz w:val="24"/>
          <w:szCs w:val="24"/>
        </w:rPr>
        <w:t xml:space="preserve"> Appellant also referred to </w:t>
      </w:r>
      <w:proofErr w:type="spellStart"/>
      <w:r w:rsidR="004C4C13" w:rsidRPr="00FA4BBB">
        <w:rPr>
          <w:rFonts w:ascii="Times New Roman" w:hAnsi="Times New Roman" w:cs="Times New Roman"/>
          <w:sz w:val="24"/>
          <w:szCs w:val="24"/>
        </w:rPr>
        <w:t>Hlalo</w:t>
      </w:r>
      <w:proofErr w:type="spellEnd"/>
      <w:r w:rsidR="004C4C13" w:rsidRPr="00FA4BBB">
        <w:rPr>
          <w:rFonts w:ascii="Times New Roman" w:hAnsi="Times New Roman" w:cs="Times New Roman"/>
          <w:sz w:val="24"/>
          <w:szCs w:val="24"/>
        </w:rPr>
        <w:t xml:space="preserve"> in </w:t>
      </w:r>
      <w:r w:rsidR="004C4C13" w:rsidRPr="00FA4BBB">
        <w:rPr>
          <w:rFonts w:ascii="Times New Roman" w:hAnsi="Times New Roman" w:cs="Times New Roman"/>
          <w:i/>
          <w:sz w:val="24"/>
          <w:szCs w:val="24"/>
        </w:rPr>
        <w:t>South African Law of Husband and Wife,</w:t>
      </w:r>
      <w:r w:rsidR="004C4C13" w:rsidRPr="00FA4BBB">
        <w:rPr>
          <w:rFonts w:ascii="Times New Roman" w:hAnsi="Times New Roman" w:cs="Times New Roman"/>
          <w:sz w:val="24"/>
          <w:szCs w:val="24"/>
        </w:rPr>
        <w:t xml:space="preserve"> 4</w:t>
      </w:r>
      <w:r w:rsidR="004C4C13" w:rsidRPr="00FA4BBB">
        <w:rPr>
          <w:rFonts w:ascii="Times New Roman" w:hAnsi="Times New Roman" w:cs="Times New Roman"/>
          <w:sz w:val="24"/>
          <w:szCs w:val="24"/>
          <w:vertAlign w:val="superscript"/>
        </w:rPr>
        <w:t>th</w:t>
      </w:r>
      <w:r w:rsidR="004C4C13" w:rsidRPr="00FA4BBB">
        <w:rPr>
          <w:rFonts w:ascii="Times New Roman" w:hAnsi="Times New Roman" w:cs="Times New Roman"/>
          <w:sz w:val="24"/>
          <w:szCs w:val="24"/>
        </w:rPr>
        <w:t xml:space="preserve"> edition page 290 where it is stated that</w:t>
      </w:r>
    </w:p>
    <w:p w:rsidR="004C4C13" w:rsidRPr="00F01358" w:rsidRDefault="004C4C13" w:rsidP="00923FFF">
      <w:pPr>
        <w:spacing w:line="240" w:lineRule="auto"/>
        <w:ind w:left="720"/>
        <w:jc w:val="both"/>
        <w:rPr>
          <w:rFonts w:ascii="Times New Roman" w:hAnsi="Times New Roman" w:cs="Times New Roman"/>
        </w:rPr>
      </w:pPr>
      <w:r w:rsidRPr="00F01358">
        <w:rPr>
          <w:rFonts w:ascii="Times New Roman" w:hAnsi="Times New Roman" w:cs="Times New Roman"/>
        </w:rPr>
        <w:t>“there</w:t>
      </w:r>
      <w:r w:rsidR="00932639" w:rsidRPr="00F01358">
        <w:rPr>
          <w:rFonts w:ascii="Times New Roman" w:hAnsi="Times New Roman" w:cs="Times New Roman"/>
        </w:rPr>
        <w:t xml:space="preserve"> must be something to indicate that the parties intended to operate as a partnership</w:t>
      </w:r>
      <w:proofErr w:type="gramStart"/>
      <w:r w:rsidR="00932639" w:rsidRPr="00F01358">
        <w:rPr>
          <w:rFonts w:ascii="Times New Roman" w:hAnsi="Times New Roman" w:cs="Times New Roman"/>
        </w:rPr>
        <w:t>…..</w:t>
      </w:r>
      <w:proofErr w:type="gramEnd"/>
      <w:r w:rsidR="00932639" w:rsidRPr="00F01358">
        <w:rPr>
          <w:rFonts w:ascii="Times New Roman" w:hAnsi="Times New Roman" w:cs="Times New Roman"/>
        </w:rPr>
        <w:t>Unless it can be shown that she made a substantial financial contribution or regularly tendered services going beyond those ordinarily expected as a wife in her situation, the courts will not be readily persuaded to imply a partnership agreement,”</w:t>
      </w:r>
    </w:p>
    <w:p w:rsidR="00932639" w:rsidRPr="00FA4BBB" w:rsidRDefault="00932639" w:rsidP="00263132">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He argued that the lower court fell into error in failing to appreciate that a tacit universal partnership is </w:t>
      </w:r>
      <w:r w:rsidR="00FA4BBB" w:rsidRPr="00FA4BBB">
        <w:rPr>
          <w:rFonts w:ascii="Times New Roman" w:hAnsi="Times New Roman" w:cs="Times New Roman"/>
          <w:sz w:val="24"/>
          <w:szCs w:val="24"/>
        </w:rPr>
        <w:t>indistinguishable to</w:t>
      </w:r>
      <w:r w:rsidRPr="00FA4BBB">
        <w:rPr>
          <w:rFonts w:ascii="Times New Roman" w:hAnsi="Times New Roman" w:cs="Times New Roman"/>
          <w:sz w:val="24"/>
          <w:szCs w:val="24"/>
        </w:rPr>
        <w:t xml:space="preserve"> a marriage in community of property.</w:t>
      </w:r>
      <w:r w:rsidR="00263132">
        <w:rPr>
          <w:rFonts w:ascii="Times New Roman" w:hAnsi="Times New Roman" w:cs="Times New Roman"/>
          <w:sz w:val="24"/>
          <w:szCs w:val="24"/>
        </w:rPr>
        <w:t xml:space="preserve"> </w:t>
      </w:r>
      <w:r w:rsidR="00A63ED9" w:rsidRPr="00FA4BBB">
        <w:rPr>
          <w:rFonts w:ascii="Times New Roman" w:hAnsi="Times New Roman" w:cs="Times New Roman"/>
          <w:sz w:val="24"/>
          <w:szCs w:val="24"/>
        </w:rPr>
        <w:t xml:space="preserve"> He further argued that the courts in South Africa and Zimbabwe have </w:t>
      </w:r>
      <w:r w:rsidR="00F54745" w:rsidRPr="00FA4BBB">
        <w:rPr>
          <w:rFonts w:ascii="Times New Roman" w:hAnsi="Times New Roman" w:cs="Times New Roman"/>
          <w:sz w:val="24"/>
          <w:szCs w:val="24"/>
        </w:rPr>
        <w:t>stated that</w:t>
      </w:r>
      <w:r w:rsidR="00A63ED9" w:rsidRPr="00FA4BBB">
        <w:rPr>
          <w:rFonts w:ascii="Times New Roman" w:hAnsi="Times New Roman" w:cs="Times New Roman"/>
          <w:sz w:val="24"/>
          <w:szCs w:val="24"/>
        </w:rPr>
        <w:t xml:space="preserve"> in order for the partnership to be classified as a universal partnership</w:t>
      </w:r>
      <w:r w:rsidR="00743B46">
        <w:rPr>
          <w:rFonts w:ascii="Times New Roman" w:hAnsi="Times New Roman" w:cs="Times New Roman"/>
          <w:sz w:val="24"/>
          <w:szCs w:val="24"/>
        </w:rPr>
        <w:t>,</w:t>
      </w:r>
      <w:r w:rsidR="00A63ED9" w:rsidRPr="00FA4BBB">
        <w:rPr>
          <w:rFonts w:ascii="Times New Roman" w:hAnsi="Times New Roman" w:cs="Times New Roman"/>
          <w:sz w:val="24"/>
          <w:szCs w:val="24"/>
        </w:rPr>
        <w:t xml:space="preserve"> the parties must agree to put in common all their property, both present and future. </w:t>
      </w:r>
      <w:r w:rsidR="00263132">
        <w:rPr>
          <w:rFonts w:ascii="Times New Roman" w:hAnsi="Times New Roman" w:cs="Times New Roman"/>
          <w:sz w:val="24"/>
          <w:szCs w:val="24"/>
        </w:rPr>
        <w:t xml:space="preserve"> </w:t>
      </w:r>
      <w:r w:rsidR="00D46B8E" w:rsidRPr="00FA4BBB">
        <w:rPr>
          <w:rFonts w:ascii="Times New Roman" w:hAnsi="Times New Roman" w:cs="Times New Roman"/>
          <w:sz w:val="24"/>
          <w:szCs w:val="24"/>
        </w:rPr>
        <w:t xml:space="preserve">He accused the court </w:t>
      </w:r>
      <w:r w:rsidR="00D46B8E" w:rsidRPr="00545988">
        <w:rPr>
          <w:rFonts w:ascii="Times New Roman" w:hAnsi="Times New Roman" w:cs="Times New Roman"/>
          <w:i/>
          <w:sz w:val="24"/>
          <w:szCs w:val="24"/>
        </w:rPr>
        <w:t>a quo</w:t>
      </w:r>
      <w:r w:rsidR="00D46B8E" w:rsidRPr="00FA4BBB">
        <w:rPr>
          <w:rFonts w:ascii="Times New Roman" w:hAnsi="Times New Roman" w:cs="Times New Roman"/>
          <w:sz w:val="24"/>
          <w:szCs w:val="24"/>
        </w:rPr>
        <w:t xml:space="preserve"> of relying on conjecture and not proven facts. </w:t>
      </w:r>
      <w:r w:rsidR="00263132">
        <w:rPr>
          <w:rFonts w:ascii="Times New Roman" w:hAnsi="Times New Roman" w:cs="Times New Roman"/>
          <w:sz w:val="24"/>
          <w:szCs w:val="24"/>
        </w:rPr>
        <w:t xml:space="preserve"> </w:t>
      </w:r>
      <w:r w:rsidR="00D46B8E" w:rsidRPr="00FA4BBB">
        <w:rPr>
          <w:rFonts w:ascii="Times New Roman" w:hAnsi="Times New Roman" w:cs="Times New Roman"/>
          <w:sz w:val="24"/>
          <w:szCs w:val="24"/>
        </w:rPr>
        <w:t>Appellant also argued that the lower court failed to fully canvass the extent to which the parties contributed and therefore failed to distribute the disputed property in proportion to the contributions made.</w:t>
      </w:r>
    </w:p>
    <w:p w:rsidR="00F54745" w:rsidRPr="00FA4BBB" w:rsidRDefault="00F54745" w:rsidP="00263132">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lastRenderedPageBreak/>
        <w:t xml:space="preserve">Respondent submitted that </w:t>
      </w:r>
      <w:r w:rsidR="00263132">
        <w:rPr>
          <w:rFonts w:ascii="Times New Roman" w:hAnsi="Times New Roman" w:cs="Times New Roman"/>
          <w:sz w:val="24"/>
          <w:szCs w:val="24"/>
        </w:rPr>
        <w:t>a</w:t>
      </w:r>
      <w:r w:rsidRPr="00FA4BBB">
        <w:rPr>
          <w:rFonts w:ascii="Times New Roman" w:hAnsi="Times New Roman" w:cs="Times New Roman"/>
          <w:sz w:val="24"/>
          <w:szCs w:val="24"/>
        </w:rPr>
        <w:t xml:space="preserve">ppellant is the architect of a classic attempt to swindle his ex-spouse of the fruits of her hard </w:t>
      </w:r>
      <w:proofErr w:type="spellStart"/>
      <w:r w:rsidRPr="00FA4BBB">
        <w:rPr>
          <w:rFonts w:ascii="Times New Roman" w:hAnsi="Times New Roman" w:cs="Times New Roman"/>
          <w:sz w:val="24"/>
          <w:szCs w:val="24"/>
        </w:rPr>
        <w:t>labour</w:t>
      </w:r>
      <w:proofErr w:type="spellEnd"/>
      <w:r w:rsidRPr="00FA4BBB">
        <w:rPr>
          <w:rFonts w:ascii="Times New Roman" w:hAnsi="Times New Roman" w:cs="Times New Roman"/>
          <w:sz w:val="24"/>
          <w:szCs w:val="24"/>
        </w:rPr>
        <w:t xml:space="preserve">. She pointed out that both parties were gainfully employed with </w:t>
      </w:r>
      <w:r w:rsidR="00263132">
        <w:rPr>
          <w:rFonts w:ascii="Times New Roman" w:hAnsi="Times New Roman" w:cs="Times New Roman"/>
          <w:sz w:val="24"/>
          <w:szCs w:val="24"/>
        </w:rPr>
        <w:t>a</w:t>
      </w:r>
      <w:r w:rsidRPr="00FA4BBB">
        <w:rPr>
          <w:rFonts w:ascii="Times New Roman" w:hAnsi="Times New Roman" w:cs="Times New Roman"/>
          <w:sz w:val="24"/>
          <w:szCs w:val="24"/>
        </w:rPr>
        <w:t xml:space="preserve">ppellant working as a patrolman for City of Harare while she was employed as an Executive Assistant by the Public Service Commission. </w:t>
      </w:r>
      <w:r w:rsidR="00263132">
        <w:rPr>
          <w:rFonts w:ascii="Times New Roman" w:hAnsi="Times New Roman" w:cs="Times New Roman"/>
          <w:sz w:val="24"/>
          <w:szCs w:val="24"/>
        </w:rPr>
        <w:t xml:space="preserve"> </w:t>
      </w:r>
      <w:r w:rsidRPr="00FA4BBB">
        <w:rPr>
          <w:rFonts w:ascii="Times New Roman" w:hAnsi="Times New Roman" w:cs="Times New Roman"/>
          <w:sz w:val="24"/>
          <w:szCs w:val="24"/>
        </w:rPr>
        <w:t>She submitted that the stand in question was the only meaningful property acquired by the parties</w:t>
      </w:r>
      <w:r w:rsidR="00167319" w:rsidRPr="00FA4BBB">
        <w:rPr>
          <w:rFonts w:ascii="Times New Roman" w:hAnsi="Times New Roman" w:cs="Times New Roman"/>
          <w:sz w:val="24"/>
          <w:szCs w:val="24"/>
        </w:rPr>
        <w:t xml:space="preserve">. Respondent submitted that the grounds of appeal are invalid as they </w:t>
      </w:r>
      <w:r w:rsidR="00263132">
        <w:rPr>
          <w:rFonts w:ascii="Times New Roman" w:hAnsi="Times New Roman" w:cs="Times New Roman"/>
          <w:sz w:val="24"/>
          <w:szCs w:val="24"/>
        </w:rPr>
        <w:t>do not comply with Order 31(</w:t>
      </w:r>
      <w:proofErr w:type="spellStart"/>
      <w:r w:rsidR="00263132">
        <w:rPr>
          <w:rFonts w:ascii="Times New Roman" w:hAnsi="Times New Roman" w:cs="Times New Roman"/>
          <w:sz w:val="24"/>
          <w:szCs w:val="24"/>
        </w:rPr>
        <w:t>i</w:t>
      </w:r>
      <w:proofErr w:type="spellEnd"/>
      <w:r w:rsidR="00263132">
        <w:rPr>
          <w:rFonts w:ascii="Times New Roman" w:hAnsi="Times New Roman" w:cs="Times New Roman"/>
          <w:sz w:val="24"/>
          <w:szCs w:val="24"/>
        </w:rPr>
        <w:t>)(4)</w:t>
      </w:r>
      <w:r w:rsidR="00167319" w:rsidRPr="00FA4BBB">
        <w:rPr>
          <w:rFonts w:ascii="Times New Roman" w:hAnsi="Times New Roman" w:cs="Times New Roman"/>
          <w:sz w:val="24"/>
          <w:szCs w:val="24"/>
        </w:rPr>
        <w:t xml:space="preserve">(b) of the </w:t>
      </w:r>
      <w:proofErr w:type="gramStart"/>
      <w:r w:rsidR="00263132">
        <w:rPr>
          <w:rFonts w:ascii="Times New Roman" w:hAnsi="Times New Roman" w:cs="Times New Roman"/>
          <w:sz w:val="24"/>
          <w:szCs w:val="24"/>
        </w:rPr>
        <w:t>m</w:t>
      </w:r>
      <w:r w:rsidR="00167319" w:rsidRPr="00FA4BBB">
        <w:rPr>
          <w:rFonts w:ascii="Times New Roman" w:hAnsi="Times New Roman" w:cs="Times New Roman"/>
          <w:sz w:val="24"/>
          <w:szCs w:val="24"/>
        </w:rPr>
        <w:t>agistrates</w:t>
      </w:r>
      <w:proofErr w:type="gramEnd"/>
      <w:r w:rsidR="00167319" w:rsidRPr="00FA4BBB">
        <w:rPr>
          <w:rFonts w:ascii="Times New Roman" w:hAnsi="Times New Roman" w:cs="Times New Roman"/>
          <w:sz w:val="24"/>
          <w:szCs w:val="24"/>
        </w:rPr>
        <w:t xml:space="preserve"> </w:t>
      </w:r>
      <w:r w:rsidR="00263132">
        <w:rPr>
          <w:rFonts w:ascii="Times New Roman" w:hAnsi="Times New Roman" w:cs="Times New Roman"/>
          <w:sz w:val="24"/>
          <w:szCs w:val="24"/>
        </w:rPr>
        <w:t>c</w:t>
      </w:r>
      <w:r w:rsidR="00167319" w:rsidRPr="00FA4BBB">
        <w:rPr>
          <w:rFonts w:ascii="Times New Roman" w:hAnsi="Times New Roman" w:cs="Times New Roman"/>
          <w:sz w:val="24"/>
          <w:szCs w:val="24"/>
        </w:rPr>
        <w:t>ourt (Civil) Rules, 2019, which requires that the grounds of appeal state concisely and clearly the findings of fact or ruling of law appealed against.</w:t>
      </w:r>
      <w:r w:rsidR="006302FA" w:rsidRPr="00FA4BBB">
        <w:rPr>
          <w:rFonts w:ascii="Times New Roman" w:hAnsi="Times New Roman" w:cs="Times New Roman"/>
          <w:sz w:val="24"/>
          <w:szCs w:val="24"/>
        </w:rPr>
        <w:t xml:space="preserve"> </w:t>
      </w:r>
      <w:r w:rsidR="00263132">
        <w:rPr>
          <w:rFonts w:ascii="Times New Roman" w:hAnsi="Times New Roman" w:cs="Times New Roman"/>
          <w:sz w:val="24"/>
          <w:szCs w:val="24"/>
        </w:rPr>
        <w:t xml:space="preserve"> </w:t>
      </w:r>
      <w:r w:rsidR="006302FA" w:rsidRPr="00FA4BBB">
        <w:rPr>
          <w:rFonts w:ascii="Times New Roman" w:hAnsi="Times New Roman" w:cs="Times New Roman"/>
          <w:sz w:val="24"/>
          <w:szCs w:val="24"/>
        </w:rPr>
        <w:t xml:space="preserve">On the merits, </w:t>
      </w:r>
      <w:r w:rsidR="00263132">
        <w:rPr>
          <w:rFonts w:ascii="Times New Roman" w:hAnsi="Times New Roman" w:cs="Times New Roman"/>
          <w:sz w:val="24"/>
          <w:szCs w:val="24"/>
        </w:rPr>
        <w:t>r</w:t>
      </w:r>
      <w:r w:rsidR="006302FA" w:rsidRPr="00FA4BBB">
        <w:rPr>
          <w:rFonts w:ascii="Times New Roman" w:hAnsi="Times New Roman" w:cs="Times New Roman"/>
          <w:sz w:val="24"/>
          <w:szCs w:val="24"/>
        </w:rPr>
        <w:t xml:space="preserve">espondent submitted that the </w:t>
      </w:r>
      <w:r w:rsidR="00263132">
        <w:rPr>
          <w:rFonts w:ascii="Times New Roman" w:hAnsi="Times New Roman" w:cs="Times New Roman"/>
          <w:sz w:val="24"/>
          <w:szCs w:val="24"/>
        </w:rPr>
        <w:t>c</w:t>
      </w:r>
      <w:r w:rsidR="006302FA" w:rsidRPr="00FA4BBB">
        <w:rPr>
          <w:rFonts w:ascii="Times New Roman" w:hAnsi="Times New Roman" w:cs="Times New Roman"/>
          <w:sz w:val="24"/>
          <w:szCs w:val="24"/>
        </w:rPr>
        <w:t xml:space="preserve">ourt is being asked to interfere with the discretion of the lower court but there is nothing outrageous or defying logic in the lower court’s reasoning to warrant interference. </w:t>
      </w:r>
      <w:r w:rsidR="00AF5268" w:rsidRPr="00FA4BBB">
        <w:rPr>
          <w:rFonts w:ascii="Times New Roman" w:hAnsi="Times New Roman" w:cs="Times New Roman"/>
          <w:sz w:val="24"/>
          <w:szCs w:val="24"/>
        </w:rPr>
        <w:t xml:space="preserve">She prayed for the dismissal of the appeal with “an exemplary order of costs”. </w:t>
      </w:r>
    </w:p>
    <w:p w:rsidR="00AF5268" w:rsidRPr="00FA4BBB" w:rsidRDefault="00AF5268" w:rsidP="00923FFF">
      <w:pPr>
        <w:spacing w:line="360" w:lineRule="auto"/>
        <w:jc w:val="both"/>
        <w:rPr>
          <w:rFonts w:ascii="Times New Roman" w:hAnsi="Times New Roman" w:cs="Times New Roman"/>
          <w:b/>
          <w:sz w:val="24"/>
          <w:szCs w:val="24"/>
        </w:rPr>
      </w:pPr>
      <w:r w:rsidRPr="00FA4BBB">
        <w:rPr>
          <w:rFonts w:ascii="Times New Roman" w:hAnsi="Times New Roman" w:cs="Times New Roman"/>
          <w:b/>
          <w:sz w:val="24"/>
          <w:szCs w:val="24"/>
        </w:rPr>
        <w:t>ANALYSIS</w:t>
      </w:r>
    </w:p>
    <w:p w:rsidR="0062243B" w:rsidRPr="00F01358" w:rsidRDefault="0062243B" w:rsidP="00F01358">
      <w:pPr>
        <w:spacing w:after="0" w:line="360" w:lineRule="auto"/>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t>PRELIMINARY POINT</w:t>
      </w:r>
    </w:p>
    <w:p w:rsidR="00A734C6" w:rsidRPr="00FA4BBB" w:rsidRDefault="00CC39FF" w:rsidP="00F01358">
      <w:pPr>
        <w:spacing w:after="0" w:line="360" w:lineRule="auto"/>
        <w:ind w:firstLine="720"/>
        <w:jc w:val="both"/>
        <w:rPr>
          <w:rFonts w:ascii="Times New Roman" w:hAnsi="Times New Roman" w:cs="Times New Roman"/>
          <w:b/>
          <w:sz w:val="24"/>
          <w:szCs w:val="24"/>
        </w:rPr>
      </w:pPr>
      <w:r w:rsidRPr="00FA4BBB">
        <w:rPr>
          <w:rFonts w:ascii="Times New Roman" w:hAnsi="Times New Roman" w:cs="Times New Roman"/>
          <w:sz w:val="24"/>
          <w:szCs w:val="24"/>
        </w:rPr>
        <w:t>Respondent submitted that there was no compliance with</w:t>
      </w:r>
      <w:r w:rsidRPr="00FA4BBB">
        <w:rPr>
          <w:rFonts w:ascii="Times New Roman" w:hAnsi="Times New Roman" w:cs="Times New Roman"/>
          <w:b/>
          <w:sz w:val="24"/>
          <w:szCs w:val="24"/>
        </w:rPr>
        <w:t xml:space="preserve"> </w:t>
      </w:r>
      <w:r w:rsidR="00263132">
        <w:rPr>
          <w:rFonts w:ascii="Times New Roman" w:hAnsi="Times New Roman" w:cs="Times New Roman"/>
          <w:sz w:val="24"/>
          <w:szCs w:val="24"/>
        </w:rPr>
        <w:t>Order 31(</w:t>
      </w:r>
      <w:proofErr w:type="spellStart"/>
      <w:r w:rsidR="00263132">
        <w:rPr>
          <w:rFonts w:ascii="Times New Roman" w:hAnsi="Times New Roman" w:cs="Times New Roman"/>
          <w:sz w:val="24"/>
          <w:szCs w:val="24"/>
        </w:rPr>
        <w:t>i</w:t>
      </w:r>
      <w:proofErr w:type="spellEnd"/>
      <w:r w:rsidR="00263132">
        <w:rPr>
          <w:rFonts w:ascii="Times New Roman" w:hAnsi="Times New Roman" w:cs="Times New Roman"/>
          <w:sz w:val="24"/>
          <w:szCs w:val="24"/>
        </w:rPr>
        <w:t>)(4)</w:t>
      </w:r>
      <w:r w:rsidRPr="00FA4BBB">
        <w:rPr>
          <w:rFonts w:ascii="Times New Roman" w:hAnsi="Times New Roman" w:cs="Times New Roman"/>
          <w:sz w:val="24"/>
          <w:szCs w:val="24"/>
        </w:rPr>
        <w:t xml:space="preserve">(b) of the </w:t>
      </w:r>
      <w:proofErr w:type="gramStart"/>
      <w:r w:rsidR="00263132">
        <w:rPr>
          <w:rFonts w:ascii="Times New Roman" w:hAnsi="Times New Roman" w:cs="Times New Roman"/>
          <w:sz w:val="24"/>
          <w:szCs w:val="24"/>
        </w:rPr>
        <w:t>m</w:t>
      </w:r>
      <w:r w:rsidRPr="00FA4BBB">
        <w:rPr>
          <w:rFonts w:ascii="Times New Roman" w:hAnsi="Times New Roman" w:cs="Times New Roman"/>
          <w:sz w:val="24"/>
          <w:szCs w:val="24"/>
        </w:rPr>
        <w:t>agistrates</w:t>
      </w:r>
      <w:proofErr w:type="gramEnd"/>
      <w:r w:rsidRPr="00FA4BBB">
        <w:rPr>
          <w:rFonts w:ascii="Times New Roman" w:hAnsi="Times New Roman" w:cs="Times New Roman"/>
          <w:sz w:val="24"/>
          <w:szCs w:val="24"/>
        </w:rPr>
        <w:t xml:space="preserve"> </w:t>
      </w:r>
      <w:r w:rsidR="00263132">
        <w:rPr>
          <w:rFonts w:ascii="Times New Roman" w:hAnsi="Times New Roman" w:cs="Times New Roman"/>
          <w:sz w:val="24"/>
          <w:szCs w:val="24"/>
        </w:rPr>
        <w:t>c</w:t>
      </w:r>
      <w:r w:rsidRPr="00FA4BBB">
        <w:rPr>
          <w:rFonts w:ascii="Times New Roman" w:hAnsi="Times New Roman" w:cs="Times New Roman"/>
          <w:sz w:val="24"/>
          <w:szCs w:val="24"/>
        </w:rPr>
        <w:t xml:space="preserve">ourt (Civil) Rules, 2019. Appellant submitted that there was substantial compliance. Where there is failure to comply with the rules of court, the court has a discretion to </w:t>
      </w:r>
      <w:r w:rsidR="00A734C6" w:rsidRPr="00FA4BBB">
        <w:rPr>
          <w:rFonts w:ascii="Times New Roman" w:hAnsi="Times New Roman" w:cs="Times New Roman"/>
          <w:sz w:val="24"/>
          <w:szCs w:val="24"/>
        </w:rPr>
        <w:t xml:space="preserve">condone </w:t>
      </w:r>
      <w:r w:rsidRPr="00FA4BBB">
        <w:rPr>
          <w:rFonts w:ascii="Times New Roman" w:hAnsi="Times New Roman" w:cs="Times New Roman"/>
          <w:sz w:val="24"/>
          <w:szCs w:val="24"/>
        </w:rPr>
        <w:t xml:space="preserve">such </w:t>
      </w:r>
      <w:r w:rsidR="00A734C6" w:rsidRPr="00FA4BBB">
        <w:rPr>
          <w:rFonts w:ascii="Times New Roman" w:hAnsi="Times New Roman" w:cs="Times New Roman"/>
          <w:sz w:val="24"/>
          <w:szCs w:val="24"/>
        </w:rPr>
        <w:t xml:space="preserve">failure where the court is satisfied that there has been substantial compliance </w:t>
      </w:r>
      <w:r w:rsidRPr="00FA4BBB">
        <w:rPr>
          <w:rFonts w:ascii="Times New Roman" w:hAnsi="Times New Roman" w:cs="Times New Roman"/>
          <w:sz w:val="24"/>
          <w:szCs w:val="24"/>
        </w:rPr>
        <w:t>and</w:t>
      </w:r>
      <w:r w:rsidR="00A734C6" w:rsidRPr="00FA4BBB">
        <w:rPr>
          <w:rFonts w:ascii="Times New Roman" w:hAnsi="Times New Roman" w:cs="Times New Roman"/>
          <w:sz w:val="24"/>
          <w:szCs w:val="24"/>
        </w:rPr>
        <w:t xml:space="preserve"> that the failure will not unduly prejudice the defendant. </w:t>
      </w:r>
      <w:r w:rsidR="00F01358" w:rsidRPr="00FA4BBB">
        <w:rPr>
          <w:rFonts w:ascii="Times New Roman" w:hAnsi="Times New Roman" w:cs="Times New Roman"/>
          <w:sz w:val="24"/>
          <w:szCs w:val="24"/>
        </w:rPr>
        <w:t xml:space="preserve">In </w:t>
      </w:r>
      <w:r w:rsidR="00F01358" w:rsidRPr="00F01358">
        <w:rPr>
          <w:rFonts w:ascii="Times New Roman" w:hAnsi="Times New Roman" w:cs="Times New Roman"/>
          <w:i/>
          <w:sz w:val="24"/>
          <w:szCs w:val="24"/>
        </w:rPr>
        <w:t>Trans</w:t>
      </w:r>
      <w:r w:rsidR="00A734C6" w:rsidRPr="00F01358">
        <w:rPr>
          <w:rFonts w:ascii="Times New Roman" w:hAnsi="Times New Roman" w:cs="Times New Roman"/>
          <w:i/>
          <w:sz w:val="24"/>
          <w:szCs w:val="24"/>
        </w:rPr>
        <w:t xml:space="preserve"> Africa Insurance Co Ltd</w:t>
      </w:r>
      <w:r w:rsidR="00A734C6" w:rsidRPr="00FA4BBB">
        <w:rPr>
          <w:rFonts w:ascii="Times New Roman" w:hAnsi="Times New Roman" w:cs="Times New Roman"/>
          <w:b/>
          <w:sz w:val="24"/>
          <w:szCs w:val="24"/>
        </w:rPr>
        <w:t xml:space="preserve"> v </w:t>
      </w:r>
      <w:proofErr w:type="spellStart"/>
      <w:r w:rsidR="00A734C6" w:rsidRPr="00F01358">
        <w:rPr>
          <w:rFonts w:ascii="Times New Roman" w:hAnsi="Times New Roman" w:cs="Times New Roman"/>
          <w:i/>
          <w:sz w:val="24"/>
          <w:szCs w:val="24"/>
        </w:rPr>
        <w:t>Maluleka</w:t>
      </w:r>
      <w:proofErr w:type="spellEnd"/>
      <w:r w:rsidR="00A734C6" w:rsidRPr="00FA4BBB">
        <w:rPr>
          <w:rFonts w:ascii="Times New Roman" w:hAnsi="Times New Roman" w:cs="Times New Roman"/>
          <w:i/>
          <w:sz w:val="24"/>
          <w:szCs w:val="24"/>
        </w:rPr>
        <w:t xml:space="preserve"> </w:t>
      </w:r>
      <w:r w:rsidR="00A734C6" w:rsidRPr="00FA4BBB">
        <w:rPr>
          <w:rFonts w:ascii="Times New Roman" w:hAnsi="Times New Roman" w:cs="Times New Roman"/>
          <w:sz w:val="24"/>
          <w:szCs w:val="24"/>
        </w:rPr>
        <w:t>1956 (2) SA 273 AD at 278</w:t>
      </w:r>
      <w:r w:rsidR="00A413FB" w:rsidRPr="00FA4BBB">
        <w:rPr>
          <w:rFonts w:ascii="Times New Roman" w:hAnsi="Times New Roman" w:cs="Times New Roman"/>
          <w:sz w:val="24"/>
          <w:szCs w:val="24"/>
        </w:rPr>
        <w:t>,</w:t>
      </w:r>
      <w:r w:rsidR="00A734C6" w:rsidRPr="00FA4BBB">
        <w:rPr>
          <w:rFonts w:ascii="Times New Roman" w:hAnsi="Times New Roman" w:cs="Times New Roman"/>
          <w:sz w:val="24"/>
          <w:szCs w:val="24"/>
        </w:rPr>
        <w:t xml:space="preserve"> </w:t>
      </w:r>
      <w:proofErr w:type="spellStart"/>
      <w:r w:rsidR="00A734C6" w:rsidRPr="00FA4BBB">
        <w:rPr>
          <w:rFonts w:ascii="Times New Roman" w:hAnsi="Times New Roman" w:cs="Times New Roman"/>
          <w:smallCaps/>
          <w:sz w:val="24"/>
          <w:szCs w:val="24"/>
        </w:rPr>
        <w:t>schreiver</w:t>
      </w:r>
      <w:proofErr w:type="spellEnd"/>
      <w:r w:rsidR="00A734C6" w:rsidRPr="00FA4BBB">
        <w:rPr>
          <w:rFonts w:ascii="Times New Roman" w:hAnsi="Times New Roman" w:cs="Times New Roman"/>
          <w:sz w:val="24"/>
          <w:szCs w:val="24"/>
        </w:rPr>
        <w:t xml:space="preserve"> JA said of technical objections:</w:t>
      </w:r>
    </w:p>
    <w:p w:rsidR="00A734C6" w:rsidRDefault="00A734C6" w:rsidP="00F01358">
      <w:pPr>
        <w:spacing w:after="0" w:line="240" w:lineRule="auto"/>
        <w:ind w:left="720"/>
        <w:jc w:val="both"/>
        <w:rPr>
          <w:rFonts w:ascii="Times New Roman" w:hAnsi="Times New Roman" w:cs="Times New Roman"/>
        </w:rPr>
      </w:pPr>
      <w:r w:rsidRPr="00F01358">
        <w:rPr>
          <w:rFonts w:ascii="Times New Roman" w:hAnsi="Times New Roman" w:cs="Times New Roman"/>
        </w:rPr>
        <w:t>“Technical objections to less than perfect procedural steps should not be permitted, in the absence of prejudice, to interfere with the expeditious, and if possible inexpensive decision of cases on their real merits.”</w:t>
      </w:r>
    </w:p>
    <w:p w:rsidR="00F01358" w:rsidRPr="00F01358" w:rsidRDefault="00F01358" w:rsidP="00F01358">
      <w:pPr>
        <w:spacing w:after="0" w:line="240" w:lineRule="auto"/>
        <w:ind w:left="720"/>
        <w:jc w:val="both"/>
        <w:rPr>
          <w:rFonts w:ascii="Times New Roman" w:hAnsi="Times New Roman" w:cs="Times New Roman"/>
        </w:rPr>
      </w:pPr>
    </w:p>
    <w:p w:rsidR="005453EE" w:rsidRPr="00FA4BBB" w:rsidRDefault="00CC39FF" w:rsidP="00F01358">
      <w:pPr>
        <w:spacing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This </w:t>
      </w:r>
      <w:r w:rsidR="00F01358">
        <w:rPr>
          <w:rFonts w:ascii="Times New Roman" w:hAnsi="Times New Roman" w:cs="Times New Roman"/>
          <w:sz w:val="24"/>
          <w:szCs w:val="24"/>
        </w:rPr>
        <w:t>c</w:t>
      </w:r>
      <w:r w:rsidRPr="00FA4BBB">
        <w:rPr>
          <w:rFonts w:ascii="Times New Roman" w:hAnsi="Times New Roman" w:cs="Times New Roman"/>
          <w:sz w:val="24"/>
          <w:szCs w:val="24"/>
        </w:rPr>
        <w:t xml:space="preserve">ourt was satisfied that </w:t>
      </w:r>
      <w:r w:rsidR="002738ED" w:rsidRPr="00FA4BBB">
        <w:rPr>
          <w:rFonts w:ascii="Times New Roman" w:hAnsi="Times New Roman" w:cs="Times New Roman"/>
          <w:sz w:val="24"/>
          <w:szCs w:val="24"/>
        </w:rPr>
        <w:t>there was substantial complian</w:t>
      </w:r>
      <w:r w:rsidR="00F01358">
        <w:rPr>
          <w:rFonts w:ascii="Times New Roman" w:hAnsi="Times New Roman" w:cs="Times New Roman"/>
          <w:sz w:val="24"/>
          <w:szCs w:val="24"/>
        </w:rPr>
        <w:t>ce with Order 31 (</w:t>
      </w:r>
      <w:proofErr w:type="spellStart"/>
      <w:r w:rsidR="00F01358">
        <w:rPr>
          <w:rFonts w:ascii="Times New Roman" w:hAnsi="Times New Roman" w:cs="Times New Roman"/>
          <w:sz w:val="24"/>
          <w:szCs w:val="24"/>
        </w:rPr>
        <w:t>i</w:t>
      </w:r>
      <w:proofErr w:type="spellEnd"/>
      <w:r w:rsidR="00F01358">
        <w:rPr>
          <w:rFonts w:ascii="Times New Roman" w:hAnsi="Times New Roman" w:cs="Times New Roman"/>
          <w:sz w:val="24"/>
          <w:szCs w:val="24"/>
        </w:rPr>
        <w:t>)(4)</w:t>
      </w:r>
      <w:r w:rsidR="002738ED" w:rsidRPr="00FA4BBB">
        <w:rPr>
          <w:rFonts w:ascii="Times New Roman" w:hAnsi="Times New Roman" w:cs="Times New Roman"/>
          <w:sz w:val="24"/>
          <w:szCs w:val="24"/>
        </w:rPr>
        <w:t xml:space="preserve">(b) of the </w:t>
      </w:r>
      <w:proofErr w:type="gramStart"/>
      <w:r w:rsidR="00F01358">
        <w:rPr>
          <w:rFonts w:ascii="Times New Roman" w:hAnsi="Times New Roman" w:cs="Times New Roman"/>
          <w:sz w:val="24"/>
          <w:szCs w:val="24"/>
        </w:rPr>
        <w:t>m</w:t>
      </w:r>
      <w:r w:rsidR="002738ED" w:rsidRPr="00FA4BBB">
        <w:rPr>
          <w:rFonts w:ascii="Times New Roman" w:hAnsi="Times New Roman" w:cs="Times New Roman"/>
          <w:sz w:val="24"/>
          <w:szCs w:val="24"/>
        </w:rPr>
        <w:t>agistrates</w:t>
      </w:r>
      <w:proofErr w:type="gramEnd"/>
      <w:r w:rsidR="002738ED" w:rsidRPr="00FA4BBB">
        <w:rPr>
          <w:rFonts w:ascii="Times New Roman" w:hAnsi="Times New Roman" w:cs="Times New Roman"/>
          <w:sz w:val="24"/>
          <w:szCs w:val="24"/>
        </w:rPr>
        <w:t xml:space="preserve"> </w:t>
      </w:r>
      <w:r w:rsidR="00F01358">
        <w:rPr>
          <w:rFonts w:ascii="Times New Roman" w:hAnsi="Times New Roman" w:cs="Times New Roman"/>
          <w:sz w:val="24"/>
          <w:szCs w:val="24"/>
        </w:rPr>
        <w:t>c</w:t>
      </w:r>
      <w:r w:rsidR="002738ED" w:rsidRPr="00FA4BBB">
        <w:rPr>
          <w:rFonts w:ascii="Times New Roman" w:hAnsi="Times New Roman" w:cs="Times New Roman"/>
          <w:sz w:val="24"/>
          <w:szCs w:val="24"/>
        </w:rPr>
        <w:t xml:space="preserve">ourt (Civil) Rules, 2019. Though the grounds of appeal could be phrased in a better way, this </w:t>
      </w:r>
      <w:r w:rsidR="00F01358">
        <w:rPr>
          <w:rFonts w:ascii="Times New Roman" w:hAnsi="Times New Roman" w:cs="Times New Roman"/>
          <w:sz w:val="24"/>
          <w:szCs w:val="24"/>
        </w:rPr>
        <w:t>c</w:t>
      </w:r>
      <w:r w:rsidR="002738ED" w:rsidRPr="00FA4BBB">
        <w:rPr>
          <w:rFonts w:ascii="Times New Roman" w:hAnsi="Times New Roman" w:cs="Times New Roman"/>
          <w:sz w:val="24"/>
          <w:szCs w:val="24"/>
        </w:rPr>
        <w:t>ourt was of the view that the</w:t>
      </w:r>
      <w:r w:rsidR="00F92B3A" w:rsidRPr="00FA4BBB">
        <w:rPr>
          <w:rFonts w:ascii="Times New Roman" w:hAnsi="Times New Roman" w:cs="Times New Roman"/>
          <w:sz w:val="24"/>
          <w:szCs w:val="24"/>
        </w:rPr>
        <w:t xml:space="preserve">y </w:t>
      </w:r>
      <w:r w:rsidR="002738ED" w:rsidRPr="00FA4BBB">
        <w:rPr>
          <w:rFonts w:ascii="Times New Roman" w:hAnsi="Times New Roman" w:cs="Times New Roman"/>
          <w:sz w:val="24"/>
          <w:szCs w:val="24"/>
        </w:rPr>
        <w:t xml:space="preserve">state the findings </w:t>
      </w:r>
      <w:r w:rsidR="00F01358">
        <w:rPr>
          <w:rFonts w:ascii="Times New Roman" w:hAnsi="Times New Roman" w:cs="Times New Roman"/>
          <w:sz w:val="24"/>
          <w:szCs w:val="24"/>
        </w:rPr>
        <w:t>a</w:t>
      </w:r>
      <w:r w:rsidR="002738ED" w:rsidRPr="00FA4BBB">
        <w:rPr>
          <w:rFonts w:ascii="Times New Roman" w:hAnsi="Times New Roman" w:cs="Times New Roman"/>
          <w:sz w:val="24"/>
          <w:szCs w:val="24"/>
        </w:rPr>
        <w:t xml:space="preserve">ppellant considers wrong and why he is of that view. In the first ground, he attacks the finding that there was a universal partnership on the basis that </w:t>
      </w:r>
      <w:r w:rsidR="00F01358">
        <w:rPr>
          <w:rFonts w:ascii="Times New Roman" w:hAnsi="Times New Roman" w:cs="Times New Roman"/>
          <w:sz w:val="24"/>
          <w:szCs w:val="24"/>
        </w:rPr>
        <w:t>r</w:t>
      </w:r>
      <w:r w:rsidR="002738ED" w:rsidRPr="00FA4BBB">
        <w:rPr>
          <w:rFonts w:ascii="Times New Roman" w:hAnsi="Times New Roman" w:cs="Times New Roman"/>
          <w:sz w:val="24"/>
          <w:szCs w:val="24"/>
        </w:rPr>
        <w:t>espondent did not prove the partnership and its terms. In the second ground,</w:t>
      </w:r>
      <w:r w:rsidR="0062243B" w:rsidRPr="00FA4BBB">
        <w:rPr>
          <w:rFonts w:ascii="Times New Roman" w:hAnsi="Times New Roman" w:cs="Times New Roman"/>
          <w:sz w:val="24"/>
          <w:szCs w:val="24"/>
        </w:rPr>
        <w:t xml:space="preserve"> </w:t>
      </w:r>
      <w:r w:rsidR="00F01358">
        <w:rPr>
          <w:rFonts w:ascii="Times New Roman" w:hAnsi="Times New Roman" w:cs="Times New Roman"/>
          <w:sz w:val="24"/>
          <w:szCs w:val="24"/>
        </w:rPr>
        <w:t>a</w:t>
      </w:r>
      <w:r w:rsidR="0062243B" w:rsidRPr="00FA4BBB">
        <w:rPr>
          <w:rFonts w:ascii="Times New Roman" w:hAnsi="Times New Roman" w:cs="Times New Roman"/>
          <w:sz w:val="24"/>
          <w:szCs w:val="24"/>
        </w:rPr>
        <w:t xml:space="preserve">ppellant attacks the award of 50% in the immovable property, its development and 10000 bricks and accuses the lower court of not giving due weight to the evidence before it. In the third ground, </w:t>
      </w:r>
      <w:r w:rsidR="00F01358">
        <w:rPr>
          <w:rFonts w:ascii="Times New Roman" w:hAnsi="Times New Roman" w:cs="Times New Roman"/>
          <w:sz w:val="24"/>
          <w:szCs w:val="24"/>
        </w:rPr>
        <w:t>a</w:t>
      </w:r>
      <w:r w:rsidR="0062243B" w:rsidRPr="00FA4BBB">
        <w:rPr>
          <w:rFonts w:ascii="Times New Roman" w:hAnsi="Times New Roman" w:cs="Times New Roman"/>
          <w:sz w:val="24"/>
          <w:szCs w:val="24"/>
        </w:rPr>
        <w:t xml:space="preserve">ppellant accused the lower court of disregarding the documentary evidence tendered </w:t>
      </w:r>
      <w:r w:rsidR="0062243B" w:rsidRPr="00FA4BBB">
        <w:rPr>
          <w:rFonts w:ascii="Times New Roman" w:hAnsi="Times New Roman" w:cs="Times New Roman"/>
          <w:sz w:val="24"/>
          <w:szCs w:val="24"/>
        </w:rPr>
        <w:lastRenderedPageBreak/>
        <w:t xml:space="preserve">during trial and finding that earned above him at some point during their union. </w:t>
      </w:r>
      <w:r w:rsidRPr="00FA4BBB">
        <w:rPr>
          <w:rFonts w:ascii="Times New Roman" w:hAnsi="Times New Roman" w:cs="Times New Roman"/>
          <w:sz w:val="24"/>
          <w:szCs w:val="24"/>
        </w:rPr>
        <w:t xml:space="preserve">There was no allegation that the </w:t>
      </w:r>
      <w:r w:rsidR="00263132">
        <w:rPr>
          <w:rFonts w:ascii="Times New Roman" w:hAnsi="Times New Roman" w:cs="Times New Roman"/>
          <w:sz w:val="24"/>
          <w:szCs w:val="24"/>
        </w:rPr>
        <w:t>r</w:t>
      </w:r>
      <w:r w:rsidRPr="00FA4BBB">
        <w:rPr>
          <w:rFonts w:ascii="Times New Roman" w:hAnsi="Times New Roman" w:cs="Times New Roman"/>
          <w:sz w:val="24"/>
          <w:szCs w:val="24"/>
        </w:rPr>
        <w:t xml:space="preserve">espondent was prejudiced in the preparation of her response as a result of the manner in which the grounds of appeal were crafted. The preliminary point raised by the Respondent was </w:t>
      </w:r>
      <w:r w:rsidR="00F92B3A" w:rsidRPr="00FA4BBB">
        <w:rPr>
          <w:rFonts w:ascii="Times New Roman" w:hAnsi="Times New Roman" w:cs="Times New Roman"/>
          <w:sz w:val="24"/>
          <w:szCs w:val="24"/>
        </w:rPr>
        <w:t>not upheld on that</w:t>
      </w:r>
      <w:r w:rsidRPr="00FA4BBB">
        <w:rPr>
          <w:rFonts w:ascii="Times New Roman" w:hAnsi="Times New Roman" w:cs="Times New Roman"/>
          <w:sz w:val="24"/>
          <w:szCs w:val="24"/>
        </w:rPr>
        <w:t xml:space="preserve"> basis</w:t>
      </w:r>
      <w:r w:rsidR="00F92B3A" w:rsidRPr="00FA4BBB">
        <w:rPr>
          <w:rFonts w:ascii="Times New Roman" w:hAnsi="Times New Roman" w:cs="Times New Roman"/>
          <w:sz w:val="24"/>
          <w:szCs w:val="24"/>
        </w:rPr>
        <w:t>.</w:t>
      </w:r>
    </w:p>
    <w:p w:rsidR="00F92B3A" w:rsidRPr="00F01358" w:rsidRDefault="00F92B3A" w:rsidP="00F01358">
      <w:pPr>
        <w:spacing w:after="0" w:line="360" w:lineRule="auto"/>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t>The First Ground of Appeal</w:t>
      </w:r>
    </w:p>
    <w:p w:rsidR="00F92B3A" w:rsidRPr="00FA4BBB" w:rsidRDefault="00F92B3A" w:rsidP="00F01358">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Appellant argued that a tacit universal partnership and its terms was not proved in the lower court. In response </w:t>
      </w:r>
      <w:r w:rsidR="00F01358">
        <w:rPr>
          <w:rFonts w:ascii="Times New Roman" w:hAnsi="Times New Roman" w:cs="Times New Roman"/>
          <w:sz w:val="24"/>
          <w:szCs w:val="24"/>
        </w:rPr>
        <w:t>r</w:t>
      </w:r>
      <w:r w:rsidRPr="00FA4BBB">
        <w:rPr>
          <w:rFonts w:ascii="Times New Roman" w:hAnsi="Times New Roman" w:cs="Times New Roman"/>
          <w:sz w:val="24"/>
          <w:szCs w:val="24"/>
        </w:rPr>
        <w:t>espondent outlined its requirements and some of the evidence on record that proved its existence.</w:t>
      </w:r>
      <w:r w:rsidR="00A324C3" w:rsidRPr="00FA4BBB">
        <w:rPr>
          <w:rFonts w:ascii="Times New Roman" w:hAnsi="Times New Roman" w:cs="Times New Roman"/>
          <w:sz w:val="24"/>
          <w:szCs w:val="24"/>
        </w:rPr>
        <w:t xml:space="preserve"> The requirements of a tacit universal partnership are stated in </w:t>
      </w:r>
      <w:proofErr w:type="spellStart"/>
      <w:r w:rsidR="00A324C3" w:rsidRPr="00F01358">
        <w:rPr>
          <w:rFonts w:ascii="Times New Roman" w:hAnsi="Times New Roman" w:cs="Times New Roman"/>
          <w:i/>
          <w:sz w:val="24"/>
          <w:szCs w:val="24"/>
        </w:rPr>
        <w:t>Ntini</w:t>
      </w:r>
      <w:proofErr w:type="spellEnd"/>
      <w:r w:rsidR="00A324C3" w:rsidRPr="00FA4BBB">
        <w:rPr>
          <w:rFonts w:ascii="Times New Roman" w:hAnsi="Times New Roman" w:cs="Times New Roman"/>
          <w:b/>
          <w:sz w:val="24"/>
          <w:szCs w:val="24"/>
        </w:rPr>
        <w:t xml:space="preserve"> </w:t>
      </w:r>
      <w:r w:rsidR="00A324C3" w:rsidRPr="00F01358">
        <w:rPr>
          <w:rFonts w:ascii="Times New Roman" w:hAnsi="Times New Roman" w:cs="Times New Roman"/>
          <w:sz w:val="24"/>
          <w:szCs w:val="24"/>
        </w:rPr>
        <w:t>v</w:t>
      </w:r>
      <w:r w:rsidR="00A324C3" w:rsidRPr="00FA4BBB">
        <w:rPr>
          <w:rFonts w:ascii="Times New Roman" w:hAnsi="Times New Roman" w:cs="Times New Roman"/>
          <w:b/>
          <w:sz w:val="24"/>
          <w:szCs w:val="24"/>
        </w:rPr>
        <w:t xml:space="preserve"> </w:t>
      </w:r>
      <w:proofErr w:type="spellStart"/>
      <w:r w:rsidR="00A324C3" w:rsidRPr="00F01358">
        <w:rPr>
          <w:rFonts w:ascii="Times New Roman" w:hAnsi="Times New Roman" w:cs="Times New Roman"/>
          <w:i/>
          <w:sz w:val="24"/>
          <w:szCs w:val="24"/>
        </w:rPr>
        <w:t>Masuku</w:t>
      </w:r>
      <w:proofErr w:type="spellEnd"/>
      <w:r w:rsidR="00A324C3" w:rsidRPr="00FA4BBB">
        <w:rPr>
          <w:rFonts w:ascii="Times New Roman" w:hAnsi="Times New Roman" w:cs="Times New Roman"/>
          <w:sz w:val="24"/>
          <w:szCs w:val="24"/>
        </w:rPr>
        <w:t xml:space="preserve"> 2003 (1) ZLR 638. They are </w:t>
      </w:r>
    </w:p>
    <w:p w:rsidR="00A324C3" w:rsidRPr="00FA4BBB" w:rsidRDefault="00A324C3" w:rsidP="00923FFF">
      <w:pPr>
        <w:pStyle w:val="ListParagraph"/>
        <w:numPr>
          <w:ilvl w:val="0"/>
          <w:numId w:val="4"/>
        </w:numPr>
        <w:spacing w:line="360" w:lineRule="auto"/>
        <w:jc w:val="both"/>
        <w:rPr>
          <w:rFonts w:ascii="Times New Roman" w:hAnsi="Times New Roman" w:cs="Times New Roman"/>
          <w:sz w:val="24"/>
          <w:szCs w:val="24"/>
        </w:rPr>
      </w:pPr>
      <w:r w:rsidRPr="00F01358">
        <w:rPr>
          <w:rFonts w:ascii="Times New Roman" w:hAnsi="Times New Roman" w:cs="Times New Roman"/>
          <w:sz w:val="24"/>
          <w:szCs w:val="24"/>
        </w:rPr>
        <w:t>Each of the parties must bring something into the partnership, or must bind him/</w:t>
      </w:r>
      <w:proofErr w:type="spellStart"/>
      <w:r w:rsidRPr="00F01358">
        <w:rPr>
          <w:rFonts w:ascii="Times New Roman" w:hAnsi="Times New Roman" w:cs="Times New Roman"/>
          <w:sz w:val="24"/>
          <w:szCs w:val="24"/>
        </w:rPr>
        <w:t>her self</w:t>
      </w:r>
      <w:proofErr w:type="spellEnd"/>
      <w:r w:rsidRPr="00F01358">
        <w:rPr>
          <w:rFonts w:ascii="Times New Roman" w:hAnsi="Times New Roman" w:cs="Times New Roman"/>
          <w:sz w:val="24"/>
          <w:szCs w:val="24"/>
        </w:rPr>
        <w:t xml:space="preserve"> to bring something into it, whether money, </w:t>
      </w:r>
      <w:proofErr w:type="spellStart"/>
      <w:r w:rsidRPr="00F01358">
        <w:rPr>
          <w:rFonts w:ascii="Times New Roman" w:hAnsi="Times New Roman" w:cs="Times New Roman"/>
          <w:sz w:val="24"/>
          <w:szCs w:val="24"/>
        </w:rPr>
        <w:t>labour</w:t>
      </w:r>
      <w:proofErr w:type="spellEnd"/>
      <w:r w:rsidRPr="00F01358">
        <w:rPr>
          <w:rFonts w:ascii="Times New Roman" w:hAnsi="Times New Roman" w:cs="Times New Roman"/>
          <w:sz w:val="24"/>
          <w:szCs w:val="24"/>
        </w:rPr>
        <w:t xml:space="preserve"> or skill. The lower</w:t>
      </w:r>
      <w:r w:rsidRPr="00FA4BBB">
        <w:rPr>
          <w:rFonts w:ascii="Times New Roman" w:hAnsi="Times New Roman" w:cs="Times New Roman"/>
          <w:sz w:val="24"/>
          <w:szCs w:val="24"/>
        </w:rPr>
        <w:t xml:space="preserve"> court found that the fact that both parties were gainfully employed and purchased goods for their joint benefit satisfied this requirement.</w:t>
      </w:r>
    </w:p>
    <w:p w:rsidR="00A324C3" w:rsidRPr="00FA4BBB" w:rsidRDefault="00A324C3" w:rsidP="00923FFF">
      <w:pPr>
        <w:pStyle w:val="ListParagraph"/>
        <w:numPr>
          <w:ilvl w:val="0"/>
          <w:numId w:val="4"/>
        </w:numPr>
        <w:spacing w:line="360" w:lineRule="auto"/>
        <w:jc w:val="both"/>
        <w:rPr>
          <w:rFonts w:ascii="Times New Roman" w:hAnsi="Times New Roman" w:cs="Times New Roman"/>
          <w:sz w:val="24"/>
          <w:szCs w:val="24"/>
        </w:rPr>
      </w:pPr>
      <w:r w:rsidRPr="00545988">
        <w:rPr>
          <w:rFonts w:ascii="Times New Roman" w:hAnsi="Times New Roman" w:cs="Times New Roman"/>
          <w:b/>
          <w:sz w:val="24"/>
          <w:szCs w:val="24"/>
        </w:rPr>
        <w:t>T</w:t>
      </w:r>
      <w:r w:rsidRPr="00F01358">
        <w:rPr>
          <w:rFonts w:ascii="Times New Roman" w:hAnsi="Times New Roman" w:cs="Times New Roman"/>
          <w:sz w:val="24"/>
          <w:szCs w:val="24"/>
        </w:rPr>
        <w:t>he business to be carried out should be for the joint benefit of the partie</w:t>
      </w:r>
      <w:r w:rsidRPr="00545988">
        <w:rPr>
          <w:rFonts w:ascii="Times New Roman" w:hAnsi="Times New Roman" w:cs="Times New Roman"/>
          <w:b/>
          <w:sz w:val="24"/>
          <w:szCs w:val="24"/>
        </w:rPr>
        <w:t>s.</w:t>
      </w:r>
      <w:r w:rsidR="001C4873" w:rsidRPr="00FA4BBB">
        <w:rPr>
          <w:rFonts w:ascii="Times New Roman" w:hAnsi="Times New Roman" w:cs="Times New Roman"/>
          <w:sz w:val="24"/>
          <w:szCs w:val="24"/>
        </w:rPr>
        <w:t xml:space="preserve"> The record of proceedings indicates that in cross-examination, </w:t>
      </w:r>
      <w:r w:rsidR="00F01358">
        <w:rPr>
          <w:rFonts w:ascii="Times New Roman" w:hAnsi="Times New Roman" w:cs="Times New Roman"/>
          <w:sz w:val="24"/>
          <w:szCs w:val="24"/>
        </w:rPr>
        <w:t>a</w:t>
      </w:r>
      <w:r w:rsidR="001C4873" w:rsidRPr="00FA4BBB">
        <w:rPr>
          <w:rFonts w:ascii="Times New Roman" w:hAnsi="Times New Roman" w:cs="Times New Roman"/>
          <w:sz w:val="24"/>
          <w:szCs w:val="24"/>
        </w:rPr>
        <w:t>ppellant indicated that the stand in question was bought when they were staying together and that it was for the family. See p 84 of the record. The requirement of joint-benefit was therefore fulfilled.</w:t>
      </w:r>
    </w:p>
    <w:p w:rsidR="001C4873" w:rsidRPr="00FA4BBB" w:rsidRDefault="001C4873" w:rsidP="00923FFF">
      <w:pPr>
        <w:pStyle w:val="ListParagraph"/>
        <w:numPr>
          <w:ilvl w:val="0"/>
          <w:numId w:val="4"/>
        </w:numPr>
        <w:spacing w:line="360" w:lineRule="auto"/>
        <w:jc w:val="both"/>
        <w:rPr>
          <w:rFonts w:ascii="Times New Roman" w:hAnsi="Times New Roman" w:cs="Times New Roman"/>
          <w:sz w:val="24"/>
          <w:szCs w:val="24"/>
        </w:rPr>
      </w:pPr>
      <w:r w:rsidRPr="00F01358">
        <w:rPr>
          <w:rFonts w:ascii="Times New Roman" w:hAnsi="Times New Roman" w:cs="Times New Roman"/>
          <w:sz w:val="24"/>
          <w:szCs w:val="24"/>
        </w:rPr>
        <w:t>The objective of the business should be to make profit</w:t>
      </w:r>
      <w:r w:rsidRPr="00FA4BBB">
        <w:rPr>
          <w:rFonts w:ascii="Times New Roman" w:hAnsi="Times New Roman" w:cs="Times New Roman"/>
          <w:sz w:val="24"/>
          <w:szCs w:val="24"/>
        </w:rPr>
        <w:t xml:space="preserve">. The very existence of the property at the </w:t>
      </w:r>
      <w:proofErr w:type="spellStart"/>
      <w:r w:rsidRPr="00FA4BBB">
        <w:rPr>
          <w:rFonts w:ascii="Times New Roman" w:hAnsi="Times New Roman" w:cs="Times New Roman"/>
          <w:sz w:val="24"/>
          <w:szCs w:val="24"/>
        </w:rPr>
        <w:t>centre</w:t>
      </w:r>
      <w:proofErr w:type="spellEnd"/>
      <w:r w:rsidRPr="00FA4BBB">
        <w:rPr>
          <w:rFonts w:ascii="Times New Roman" w:hAnsi="Times New Roman" w:cs="Times New Roman"/>
          <w:sz w:val="24"/>
          <w:szCs w:val="24"/>
        </w:rPr>
        <w:t xml:space="preserve"> of the dispute is evidence of the profit that resulted from the union.</w:t>
      </w:r>
    </w:p>
    <w:p w:rsidR="001C4873" w:rsidRPr="00FA4BBB" w:rsidRDefault="001C4873" w:rsidP="00923FFF">
      <w:pPr>
        <w:pStyle w:val="ListParagraph"/>
        <w:numPr>
          <w:ilvl w:val="0"/>
          <w:numId w:val="4"/>
        </w:numPr>
        <w:spacing w:line="360" w:lineRule="auto"/>
        <w:jc w:val="both"/>
        <w:rPr>
          <w:rFonts w:ascii="Times New Roman" w:hAnsi="Times New Roman" w:cs="Times New Roman"/>
          <w:sz w:val="24"/>
          <w:szCs w:val="24"/>
        </w:rPr>
      </w:pPr>
      <w:r w:rsidRPr="00F01358">
        <w:rPr>
          <w:rFonts w:ascii="Times New Roman" w:hAnsi="Times New Roman" w:cs="Times New Roman"/>
          <w:sz w:val="24"/>
          <w:szCs w:val="24"/>
        </w:rPr>
        <w:t>The agreement should be a legitimate one</w:t>
      </w:r>
      <w:r w:rsidRPr="00545988">
        <w:rPr>
          <w:rFonts w:ascii="Times New Roman" w:hAnsi="Times New Roman" w:cs="Times New Roman"/>
          <w:b/>
          <w:sz w:val="24"/>
          <w:szCs w:val="24"/>
        </w:rPr>
        <w:t>.</w:t>
      </w:r>
      <w:r w:rsidR="00921BFC" w:rsidRPr="00FA4BBB">
        <w:rPr>
          <w:rFonts w:ascii="Times New Roman" w:hAnsi="Times New Roman" w:cs="Times New Roman"/>
          <w:sz w:val="24"/>
          <w:szCs w:val="24"/>
        </w:rPr>
        <w:t xml:space="preserve"> There was no allegation that the parties were engaged in any illegal activities. </w:t>
      </w:r>
    </w:p>
    <w:p w:rsidR="00921BFC" w:rsidRPr="00FA4BBB" w:rsidRDefault="00921BFC" w:rsidP="00F01358">
      <w:pPr>
        <w:spacing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Despite the fact that the lower court did not set out and </w:t>
      </w:r>
      <w:proofErr w:type="spellStart"/>
      <w:r w:rsidRPr="00FA4BBB">
        <w:rPr>
          <w:rFonts w:ascii="Times New Roman" w:hAnsi="Times New Roman" w:cs="Times New Roman"/>
          <w:sz w:val="24"/>
          <w:szCs w:val="24"/>
        </w:rPr>
        <w:t>analyse</w:t>
      </w:r>
      <w:proofErr w:type="spellEnd"/>
      <w:r w:rsidRPr="00FA4BBB">
        <w:rPr>
          <w:rFonts w:ascii="Times New Roman" w:hAnsi="Times New Roman" w:cs="Times New Roman"/>
          <w:sz w:val="24"/>
          <w:szCs w:val="24"/>
        </w:rPr>
        <w:t xml:space="preserve"> each requirement, there is no misdirection in its conclusion that a tacit universal partnership existed. For that </w:t>
      </w:r>
      <w:proofErr w:type="gramStart"/>
      <w:r w:rsidRPr="00FA4BBB">
        <w:rPr>
          <w:rFonts w:ascii="Times New Roman" w:hAnsi="Times New Roman" w:cs="Times New Roman"/>
          <w:sz w:val="24"/>
          <w:szCs w:val="24"/>
        </w:rPr>
        <w:t>reason</w:t>
      </w:r>
      <w:proofErr w:type="gramEnd"/>
      <w:r w:rsidRPr="00FA4BBB">
        <w:rPr>
          <w:rFonts w:ascii="Times New Roman" w:hAnsi="Times New Roman" w:cs="Times New Roman"/>
          <w:sz w:val="24"/>
          <w:szCs w:val="24"/>
        </w:rPr>
        <w:t xml:space="preserve"> the first ground of appeal fails.</w:t>
      </w:r>
    </w:p>
    <w:p w:rsidR="00921BFC" w:rsidRPr="00F01358" w:rsidRDefault="00921BFC" w:rsidP="00F01358">
      <w:pPr>
        <w:spacing w:after="0" w:line="360" w:lineRule="auto"/>
        <w:jc w:val="both"/>
        <w:rPr>
          <w:rFonts w:ascii="Times New Roman" w:hAnsi="Times New Roman" w:cs="Times New Roman"/>
          <w:b/>
          <w:sz w:val="24"/>
          <w:szCs w:val="24"/>
          <w:u w:val="single"/>
        </w:rPr>
      </w:pPr>
      <w:r w:rsidRPr="00F01358">
        <w:rPr>
          <w:rFonts w:ascii="Times New Roman" w:hAnsi="Times New Roman" w:cs="Times New Roman"/>
          <w:b/>
          <w:sz w:val="24"/>
          <w:szCs w:val="24"/>
          <w:u w:val="single"/>
        </w:rPr>
        <w:t>The Second Ground of Appeal</w:t>
      </w:r>
    </w:p>
    <w:p w:rsidR="00921BFC" w:rsidRPr="00FA4BBB" w:rsidRDefault="00921BFC" w:rsidP="00AC7FD4">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Appellant accused the lower court of not giving due weight to the evidence before it resulting in an improper award. In heads of argument, </w:t>
      </w:r>
      <w:r w:rsidR="00AC7FD4">
        <w:rPr>
          <w:rFonts w:ascii="Times New Roman" w:hAnsi="Times New Roman" w:cs="Times New Roman"/>
          <w:sz w:val="24"/>
          <w:szCs w:val="24"/>
        </w:rPr>
        <w:t>a</w:t>
      </w:r>
      <w:r w:rsidRPr="00FA4BBB">
        <w:rPr>
          <w:rFonts w:ascii="Times New Roman" w:hAnsi="Times New Roman" w:cs="Times New Roman"/>
          <w:sz w:val="24"/>
          <w:szCs w:val="24"/>
        </w:rPr>
        <w:t xml:space="preserve">ppellant argues that the lower court did not fully canvas the extent to which each party contributed and </w:t>
      </w:r>
      <w:r w:rsidR="00021955" w:rsidRPr="00FA4BBB">
        <w:rPr>
          <w:rFonts w:ascii="Times New Roman" w:hAnsi="Times New Roman" w:cs="Times New Roman"/>
          <w:sz w:val="24"/>
          <w:szCs w:val="24"/>
        </w:rPr>
        <w:t>th</w:t>
      </w:r>
      <w:r w:rsidRPr="00FA4BBB">
        <w:rPr>
          <w:rFonts w:ascii="Times New Roman" w:hAnsi="Times New Roman" w:cs="Times New Roman"/>
          <w:sz w:val="24"/>
          <w:szCs w:val="24"/>
        </w:rPr>
        <w:t xml:space="preserve">erefore failed to distribute </w:t>
      </w:r>
      <w:r w:rsidR="00021955" w:rsidRPr="00FA4BBB">
        <w:rPr>
          <w:rFonts w:ascii="Times New Roman" w:hAnsi="Times New Roman" w:cs="Times New Roman"/>
          <w:sz w:val="24"/>
          <w:szCs w:val="24"/>
        </w:rPr>
        <w:t xml:space="preserve">the </w:t>
      </w:r>
      <w:r w:rsidR="00021955" w:rsidRPr="00FA4BBB">
        <w:rPr>
          <w:rFonts w:ascii="Times New Roman" w:hAnsi="Times New Roman" w:cs="Times New Roman"/>
          <w:sz w:val="24"/>
          <w:szCs w:val="24"/>
        </w:rPr>
        <w:lastRenderedPageBreak/>
        <w:t>property in proportion to the contribution made.</w:t>
      </w:r>
      <w:r w:rsidRPr="00FA4BBB">
        <w:rPr>
          <w:rFonts w:ascii="Times New Roman" w:hAnsi="Times New Roman" w:cs="Times New Roman"/>
          <w:sz w:val="24"/>
          <w:szCs w:val="24"/>
        </w:rPr>
        <w:t xml:space="preserve"> </w:t>
      </w:r>
      <w:r w:rsidR="00263132">
        <w:rPr>
          <w:rFonts w:ascii="Times New Roman" w:hAnsi="Times New Roman" w:cs="Times New Roman"/>
          <w:sz w:val="24"/>
          <w:szCs w:val="24"/>
        </w:rPr>
        <w:t xml:space="preserve"> </w:t>
      </w:r>
      <w:r w:rsidR="00021955" w:rsidRPr="00FA4BBB">
        <w:rPr>
          <w:rFonts w:ascii="Times New Roman" w:hAnsi="Times New Roman" w:cs="Times New Roman"/>
          <w:sz w:val="24"/>
          <w:szCs w:val="24"/>
        </w:rPr>
        <w:t xml:space="preserve">He referred to the case of </w:t>
      </w:r>
      <w:proofErr w:type="spellStart"/>
      <w:r w:rsidR="00021955" w:rsidRPr="00AC7FD4">
        <w:rPr>
          <w:rFonts w:ascii="Times New Roman" w:hAnsi="Times New Roman" w:cs="Times New Roman"/>
          <w:i/>
          <w:sz w:val="24"/>
          <w:szCs w:val="24"/>
        </w:rPr>
        <w:t>Marange</w:t>
      </w:r>
      <w:proofErr w:type="spellEnd"/>
      <w:r w:rsidR="00021955" w:rsidRPr="00AC7FD4">
        <w:rPr>
          <w:rFonts w:ascii="Times New Roman" w:hAnsi="Times New Roman" w:cs="Times New Roman"/>
          <w:sz w:val="24"/>
          <w:szCs w:val="24"/>
        </w:rPr>
        <w:t xml:space="preserve"> v </w:t>
      </w:r>
      <w:proofErr w:type="spellStart"/>
      <w:r w:rsidR="00021955" w:rsidRPr="00AC7FD4">
        <w:rPr>
          <w:rFonts w:ascii="Times New Roman" w:hAnsi="Times New Roman" w:cs="Times New Roman"/>
          <w:i/>
          <w:sz w:val="24"/>
          <w:szCs w:val="24"/>
        </w:rPr>
        <w:t>Chiroodza</w:t>
      </w:r>
      <w:proofErr w:type="spellEnd"/>
      <w:r w:rsidR="00021955" w:rsidRPr="00AC7FD4">
        <w:rPr>
          <w:rFonts w:ascii="Times New Roman" w:hAnsi="Times New Roman" w:cs="Times New Roman"/>
          <w:b/>
          <w:i/>
          <w:sz w:val="24"/>
          <w:szCs w:val="24"/>
        </w:rPr>
        <w:t xml:space="preserve"> </w:t>
      </w:r>
      <w:r w:rsidR="00021955" w:rsidRPr="00FA4BBB">
        <w:rPr>
          <w:rFonts w:ascii="Times New Roman" w:hAnsi="Times New Roman" w:cs="Times New Roman"/>
          <w:sz w:val="24"/>
          <w:szCs w:val="24"/>
        </w:rPr>
        <w:t xml:space="preserve">2002 (2) ZLR 171 in which it is stated </w:t>
      </w:r>
      <w:r w:rsidR="00AC7FD4" w:rsidRPr="00FA4BBB">
        <w:rPr>
          <w:rFonts w:ascii="Times New Roman" w:hAnsi="Times New Roman" w:cs="Times New Roman"/>
          <w:sz w:val="24"/>
          <w:szCs w:val="24"/>
        </w:rPr>
        <w:t>that;</w:t>
      </w:r>
      <w:r w:rsidR="00021955" w:rsidRPr="00FA4BBB">
        <w:rPr>
          <w:rFonts w:ascii="Times New Roman" w:hAnsi="Times New Roman" w:cs="Times New Roman"/>
          <w:sz w:val="24"/>
          <w:szCs w:val="24"/>
        </w:rPr>
        <w:t xml:space="preserve"> -</w:t>
      </w:r>
    </w:p>
    <w:p w:rsidR="00021955" w:rsidRPr="00AC7FD4" w:rsidRDefault="00021955" w:rsidP="00AC7FD4">
      <w:pPr>
        <w:spacing w:line="240" w:lineRule="auto"/>
        <w:ind w:left="720"/>
        <w:jc w:val="both"/>
        <w:rPr>
          <w:rFonts w:ascii="Times New Roman" w:hAnsi="Times New Roman" w:cs="Times New Roman"/>
        </w:rPr>
      </w:pPr>
      <w:r w:rsidRPr="00AC7FD4">
        <w:rPr>
          <w:rFonts w:ascii="Times New Roman" w:hAnsi="Times New Roman" w:cs="Times New Roman"/>
        </w:rPr>
        <w:t>“In Roman Dutch Law, there is no presumption of equality of shares in a partnership, but the share of each partner is in proportion to what they have contributed.”</w:t>
      </w:r>
    </w:p>
    <w:p w:rsidR="00D22B77" w:rsidRPr="00FA4BBB" w:rsidRDefault="005B619C" w:rsidP="00AC7FD4">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Appellant highlighted several</w:t>
      </w:r>
      <w:r w:rsidR="00021955" w:rsidRPr="00FA4BBB">
        <w:rPr>
          <w:rFonts w:ascii="Times New Roman" w:hAnsi="Times New Roman" w:cs="Times New Roman"/>
          <w:sz w:val="24"/>
          <w:szCs w:val="24"/>
        </w:rPr>
        <w:t xml:space="preserve"> issues</w:t>
      </w:r>
      <w:r w:rsidR="007742C8" w:rsidRPr="00FA4BBB">
        <w:rPr>
          <w:rFonts w:ascii="Times New Roman" w:hAnsi="Times New Roman" w:cs="Times New Roman"/>
          <w:sz w:val="24"/>
          <w:szCs w:val="24"/>
        </w:rPr>
        <w:t xml:space="preserve"> in </w:t>
      </w:r>
      <w:r w:rsidRPr="00FA4BBB">
        <w:rPr>
          <w:rFonts w:ascii="Times New Roman" w:hAnsi="Times New Roman" w:cs="Times New Roman"/>
          <w:sz w:val="24"/>
          <w:szCs w:val="24"/>
        </w:rPr>
        <w:t>which he alleges evidence was not considered.</w:t>
      </w:r>
      <w:r w:rsidR="007742C8" w:rsidRPr="00FA4BBB">
        <w:rPr>
          <w:rFonts w:ascii="Times New Roman" w:hAnsi="Times New Roman" w:cs="Times New Roman"/>
          <w:sz w:val="24"/>
          <w:szCs w:val="24"/>
        </w:rPr>
        <w:t xml:space="preserve"> F</w:t>
      </w:r>
      <w:r w:rsidR="00021955" w:rsidRPr="00FA4BBB">
        <w:rPr>
          <w:rFonts w:ascii="Times New Roman" w:hAnsi="Times New Roman" w:cs="Times New Roman"/>
          <w:sz w:val="24"/>
          <w:szCs w:val="24"/>
        </w:rPr>
        <w:t>irstly</w:t>
      </w:r>
      <w:r w:rsidR="00545988">
        <w:rPr>
          <w:rFonts w:ascii="Times New Roman" w:hAnsi="Times New Roman" w:cs="Times New Roman"/>
          <w:sz w:val="24"/>
          <w:szCs w:val="24"/>
        </w:rPr>
        <w:t>,</w:t>
      </w:r>
      <w:r w:rsidR="00021955" w:rsidRPr="00FA4BBB">
        <w:rPr>
          <w:rFonts w:ascii="Times New Roman" w:hAnsi="Times New Roman" w:cs="Times New Roman"/>
          <w:sz w:val="24"/>
          <w:szCs w:val="24"/>
        </w:rPr>
        <w:t xml:space="preserve"> that it is on record that his salary fluctuated from US$700 to US$1500 whilst </w:t>
      </w:r>
      <w:r w:rsidR="00AC7FD4">
        <w:rPr>
          <w:rFonts w:ascii="Times New Roman" w:hAnsi="Times New Roman" w:cs="Times New Roman"/>
          <w:sz w:val="24"/>
          <w:szCs w:val="24"/>
        </w:rPr>
        <w:t>r</w:t>
      </w:r>
      <w:r w:rsidR="00021955" w:rsidRPr="00FA4BBB">
        <w:rPr>
          <w:rFonts w:ascii="Times New Roman" w:hAnsi="Times New Roman" w:cs="Times New Roman"/>
          <w:sz w:val="24"/>
          <w:szCs w:val="24"/>
        </w:rPr>
        <w:t xml:space="preserve">espondent’s particulars of claim stated that she contributed US$350 per month. Secondly, that </w:t>
      </w:r>
      <w:r w:rsidR="00AC7FD4">
        <w:rPr>
          <w:rFonts w:ascii="Times New Roman" w:hAnsi="Times New Roman" w:cs="Times New Roman"/>
          <w:sz w:val="24"/>
          <w:szCs w:val="24"/>
        </w:rPr>
        <w:t>r</w:t>
      </w:r>
      <w:r w:rsidR="00021955" w:rsidRPr="00FA4BBB">
        <w:rPr>
          <w:rFonts w:ascii="Times New Roman" w:hAnsi="Times New Roman" w:cs="Times New Roman"/>
          <w:sz w:val="24"/>
          <w:szCs w:val="24"/>
        </w:rPr>
        <w:t xml:space="preserve">espondent’s case was that she contributed US$700 out of the </w:t>
      </w:r>
      <w:r w:rsidRPr="00FA4BBB">
        <w:rPr>
          <w:rFonts w:ascii="Times New Roman" w:hAnsi="Times New Roman" w:cs="Times New Roman"/>
          <w:sz w:val="24"/>
          <w:szCs w:val="24"/>
        </w:rPr>
        <w:t>US</w:t>
      </w:r>
      <w:r w:rsidR="00021955" w:rsidRPr="00FA4BBB">
        <w:rPr>
          <w:rFonts w:ascii="Times New Roman" w:hAnsi="Times New Roman" w:cs="Times New Roman"/>
          <w:sz w:val="24"/>
          <w:szCs w:val="24"/>
        </w:rPr>
        <w:t>$</w:t>
      </w:r>
      <w:r w:rsidRPr="00FA4BBB">
        <w:rPr>
          <w:rFonts w:ascii="Times New Roman" w:hAnsi="Times New Roman" w:cs="Times New Roman"/>
          <w:sz w:val="24"/>
          <w:szCs w:val="24"/>
        </w:rPr>
        <w:t>6000 towards the purchase of the stand, therefore he contributed 89% of the purchase price.</w:t>
      </w:r>
      <w:r w:rsidR="00021955" w:rsidRPr="00FA4BBB">
        <w:rPr>
          <w:rFonts w:ascii="Times New Roman" w:hAnsi="Times New Roman" w:cs="Times New Roman"/>
          <w:sz w:val="24"/>
          <w:szCs w:val="24"/>
        </w:rPr>
        <w:t xml:space="preserve"> </w:t>
      </w:r>
      <w:r w:rsidR="007742C8" w:rsidRPr="00FA4BBB">
        <w:rPr>
          <w:rFonts w:ascii="Times New Roman" w:hAnsi="Times New Roman" w:cs="Times New Roman"/>
          <w:sz w:val="24"/>
          <w:szCs w:val="24"/>
        </w:rPr>
        <w:t>Thirdly, that he di</w:t>
      </w:r>
      <w:r w:rsidR="00743B46">
        <w:rPr>
          <w:rFonts w:ascii="Times New Roman" w:hAnsi="Times New Roman" w:cs="Times New Roman"/>
          <w:sz w:val="24"/>
          <w:szCs w:val="24"/>
        </w:rPr>
        <w:t xml:space="preserve">d the developments which cost </w:t>
      </w:r>
      <w:r w:rsidR="007742C8" w:rsidRPr="00FA4BBB">
        <w:rPr>
          <w:rFonts w:ascii="Times New Roman" w:hAnsi="Times New Roman" w:cs="Times New Roman"/>
          <w:sz w:val="24"/>
          <w:szCs w:val="24"/>
        </w:rPr>
        <w:t xml:space="preserve">around US$6000 whereas </w:t>
      </w:r>
      <w:r w:rsidR="00AC7FD4">
        <w:rPr>
          <w:rFonts w:ascii="Times New Roman" w:hAnsi="Times New Roman" w:cs="Times New Roman"/>
          <w:sz w:val="24"/>
          <w:szCs w:val="24"/>
        </w:rPr>
        <w:t>r</w:t>
      </w:r>
      <w:r w:rsidR="007742C8" w:rsidRPr="00FA4BBB">
        <w:rPr>
          <w:rFonts w:ascii="Times New Roman" w:hAnsi="Times New Roman" w:cs="Times New Roman"/>
          <w:sz w:val="24"/>
          <w:szCs w:val="24"/>
        </w:rPr>
        <w:t xml:space="preserve">espondent alleged that she contributed US$400. Fourthly, that </w:t>
      </w:r>
      <w:r w:rsidR="00AC7FD4">
        <w:rPr>
          <w:rFonts w:ascii="Times New Roman" w:hAnsi="Times New Roman" w:cs="Times New Roman"/>
          <w:sz w:val="24"/>
          <w:szCs w:val="24"/>
        </w:rPr>
        <w:t>r</w:t>
      </w:r>
      <w:r w:rsidR="007742C8" w:rsidRPr="00FA4BBB">
        <w:rPr>
          <w:rFonts w:ascii="Times New Roman" w:hAnsi="Times New Roman" w:cs="Times New Roman"/>
          <w:sz w:val="24"/>
          <w:szCs w:val="24"/>
        </w:rPr>
        <w:t>espondent’s loans amounted to US$</w:t>
      </w:r>
      <w:proofErr w:type="gramStart"/>
      <w:r w:rsidR="007742C8" w:rsidRPr="00FA4BBB">
        <w:rPr>
          <w:rFonts w:ascii="Times New Roman" w:hAnsi="Times New Roman" w:cs="Times New Roman"/>
          <w:sz w:val="24"/>
          <w:szCs w:val="24"/>
        </w:rPr>
        <w:t>1200  yet</w:t>
      </w:r>
      <w:proofErr w:type="gramEnd"/>
      <w:r w:rsidR="007742C8" w:rsidRPr="00FA4BBB">
        <w:rPr>
          <w:rFonts w:ascii="Times New Roman" w:hAnsi="Times New Roman" w:cs="Times New Roman"/>
          <w:sz w:val="24"/>
          <w:szCs w:val="24"/>
        </w:rPr>
        <w:t xml:space="preserve"> his amounted to over US$7015, and lastly, that he single handedly purchased the 10000 bricks, paid for developer administration charges, rates, </w:t>
      </w:r>
      <w:proofErr w:type="spellStart"/>
      <w:r w:rsidR="007742C8" w:rsidRPr="00FA4BBB">
        <w:rPr>
          <w:rFonts w:ascii="Times New Roman" w:hAnsi="Times New Roman" w:cs="Times New Roman"/>
          <w:sz w:val="24"/>
          <w:szCs w:val="24"/>
        </w:rPr>
        <w:t>Zesa</w:t>
      </w:r>
      <w:proofErr w:type="spellEnd"/>
      <w:r w:rsidR="007742C8" w:rsidRPr="00FA4BBB">
        <w:rPr>
          <w:rFonts w:ascii="Times New Roman" w:hAnsi="Times New Roman" w:cs="Times New Roman"/>
          <w:sz w:val="24"/>
          <w:szCs w:val="24"/>
        </w:rPr>
        <w:t>, medical bills, credit cellphones, school fees, transport for the children, car insurance and registration</w:t>
      </w:r>
      <w:r w:rsidR="00D22B77" w:rsidRPr="00FA4BBB">
        <w:rPr>
          <w:rFonts w:ascii="Times New Roman" w:hAnsi="Times New Roman" w:cs="Times New Roman"/>
          <w:sz w:val="24"/>
          <w:szCs w:val="24"/>
        </w:rPr>
        <w:t>.</w:t>
      </w:r>
    </w:p>
    <w:p w:rsidR="00D22B77" w:rsidRPr="00FA4BBB" w:rsidRDefault="00D22B77" w:rsidP="00AC7FD4">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In response, </w:t>
      </w:r>
      <w:r w:rsidR="00AC7FD4">
        <w:rPr>
          <w:rFonts w:ascii="Times New Roman" w:hAnsi="Times New Roman" w:cs="Times New Roman"/>
          <w:sz w:val="24"/>
          <w:szCs w:val="24"/>
        </w:rPr>
        <w:t>r</w:t>
      </w:r>
      <w:r w:rsidRPr="00FA4BBB">
        <w:rPr>
          <w:rFonts w:ascii="Times New Roman" w:hAnsi="Times New Roman" w:cs="Times New Roman"/>
          <w:sz w:val="24"/>
          <w:szCs w:val="24"/>
        </w:rPr>
        <w:t xml:space="preserve">espondent submitted that the court exercised its discretion and did not need to match and marry where every dollar each party contributed went to or which asset it related to. </w:t>
      </w:r>
      <w:r w:rsidR="00AC7FD4">
        <w:rPr>
          <w:rFonts w:ascii="Times New Roman" w:hAnsi="Times New Roman" w:cs="Times New Roman"/>
          <w:sz w:val="24"/>
          <w:szCs w:val="24"/>
        </w:rPr>
        <w:t>r</w:t>
      </w:r>
      <w:r w:rsidRPr="00FA4BBB">
        <w:rPr>
          <w:rFonts w:ascii="Times New Roman" w:hAnsi="Times New Roman" w:cs="Times New Roman"/>
          <w:sz w:val="24"/>
          <w:szCs w:val="24"/>
        </w:rPr>
        <w:t xml:space="preserve">espondent referred to the case of </w:t>
      </w:r>
      <w:proofErr w:type="spellStart"/>
      <w:r w:rsidRPr="00AC7FD4">
        <w:rPr>
          <w:rFonts w:ascii="Times New Roman" w:hAnsi="Times New Roman" w:cs="Times New Roman"/>
          <w:i/>
          <w:sz w:val="24"/>
          <w:szCs w:val="24"/>
        </w:rPr>
        <w:t>Maware</w:t>
      </w:r>
      <w:proofErr w:type="spellEnd"/>
      <w:r w:rsidRPr="00AC7FD4">
        <w:rPr>
          <w:rFonts w:ascii="Times New Roman" w:hAnsi="Times New Roman" w:cs="Times New Roman"/>
          <w:sz w:val="24"/>
          <w:szCs w:val="24"/>
        </w:rPr>
        <w:t xml:space="preserve"> v </w:t>
      </w:r>
      <w:proofErr w:type="spellStart"/>
      <w:r w:rsidRPr="00AC7FD4">
        <w:rPr>
          <w:rFonts w:ascii="Times New Roman" w:hAnsi="Times New Roman" w:cs="Times New Roman"/>
          <w:i/>
          <w:sz w:val="24"/>
          <w:szCs w:val="24"/>
        </w:rPr>
        <w:t>Chiware</w:t>
      </w:r>
      <w:proofErr w:type="spellEnd"/>
      <w:r w:rsidRPr="00FA4BBB">
        <w:rPr>
          <w:rFonts w:ascii="Times New Roman" w:hAnsi="Times New Roman" w:cs="Times New Roman"/>
          <w:b/>
          <w:sz w:val="24"/>
          <w:szCs w:val="24"/>
        </w:rPr>
        <w:t xml:space="preserve"> </w:t>
      </w:r>
      <w:r w:rsidRPr="00FA4BBB">
        <w:rPr>
          <w:rFonts w:ascii="Times New Roman" w:hAnsi="Times New Roman" w:cs="Times New Roman"/>
          <w:sz w:val="24"/>
          <w:szCs w:val="24"/>
        </w:rPr>
        <w:t>HMA I/19 in which the court stated; -</w:t>
      </w:r>
    </w:p>
    <w:p w:rsidR="00021955" w:rsidRPr="00AC7FD4" w:rsidRDefault="00D22B77" w:rsidP="00923FFF">
      <w:pPr>
        <w:spacing w:line="240" w:lineRule="auto"/>
        <w:ind w:left="720"/>
        <w:jc w:val="both"/>
        <w:rPr>
          <w:rFonts w:ascii="Times New Roman" w:hAnsi="Times New Roman" w:cs="Times New Roman"/>
        </w:rPr>
      </w:pPr>
      <w:r w:rsidRPr="00AC7FD4">
        <w:rPr>
          <w:rFonts w:ascii="Times New Roman" w:hAnsi="Times New Roman" w:cs="Times New Roman"/>
        </w:rPr>
        <w:t>“Redistribution of assets in a matter like this is not a matter of metaphysics. A plaintiff cannot be required to establish with some mathematical precision the causal link between his or her contribution, in cash or kind, to the acquisition of the assets and their subsequent appreciation or depreciation in value. After all is said and done the matter calls for a sensible retrospective analysis of what would probably have been the contribution of each party, what would be expected to occur in the ordinary course of human affairs.”</w:t>
      </w:r>
    </w:p>
    <w:p w:rsidR="00E47B13" w:rsidRDefault="00D22B77" w:rsidP="00AC7FD4">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She argued that the lower court was not wrong in finding that she had discharged her onus of showing her direct and indirect contributions to the union.</w:t>
      </w:r>
      <w:r w:rsidR="00CB79A2" w:rsidRPr="00FA4BBB">
        <w:rPr>
          <w:rFonts w:ascii="Times New Roman" w:hAnsi="Times New Roman" w:cs="Times New Roman"/>
          <w:sz w:val="24"/>
          <w:szCs w:val="24"/>
        </w:rPr>
        <w:t xml:space="preserve"> She further argued that there was nothing so ludicrous to be said to be an affront to common sense in awarding 50% to a gainfully employed wife.</w:t>
      </w:r>
    </w:p>
    <w:p w:rsidR="00AF5268" w:rsidRPr="00FA4BBB" w:rsidRDefault="00CB79A2" w:rsidP="00AC7FD4">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 From case law referred to by the parties, it is clear that the contributions </w:t>
      </w:r>
      <w:r w:rsidR="00E47B13">
        <w:rPr>
          <w:rFonts w:ascii="Times New Roman" w:hAnsi="Times New Roman" w:cs="Times New Roman"/>
          <w:sz w:val="24"/>
          <w:szCs w:val="24"/>
        </w:rPr>
        <w:t>e</w:t>
      </w:r>
      <w:r w:rsidRPr="00FA4BBB">
        <w:rPr>
          <w:rFonts w:ascii="Times New Roman" w:hAnsi="Times New Roman" w:cs="Times New Roman"/>
          <w:sz w:val="24"/>
          <w:szCs w:val="24"/>
        </w:rPr>
        <w:t xml:space="preserve">ach party made </w:t>
      </w:r>
      <w:r w:rsidR="0061606D" w:rsidRPr="00FA4BBB">
        <w:rPr>
          <w:rFonts w:ascii="Times New Roman" w:hAnsi="Times New Roman" w:cs="Times New Roman"/>
          <w:sz w:val="24"/>
          <w:szCs w:val="24"/>
        </w:rPr>
        <w:t>are considered in determining what share of the property she gets. In this case</w:t>
      </w:r>
      <w:r w:rsidR="00743B46">
        <w:rPr>
          <w:rFonts w:ascii="Times New Roman" w:hAnsi="Times New Roman" w:cs="Times New Roman"/>
          <w:sz w:val="24"/>
          <w:szCs w:val="24"/>
        </w:rPr>
        <w:t>,</w:t>
      </w:r>
      <w:r w:rsidR="0061606D" w:rsidRPr="00FA4BBB">
        <w:rPr>
          <w:rFonts w:ascii="Times New Roman" w:hAnsi="Times New Roman" w:cs="Times New Roman"/>
          <w:sz w:val="24"/>
          <w:szCs w:val="24"/>
        </w:rPr>
        <w:t xml:space="preserve"> it is clear from the record that the parties’ contributions were not equal. There was therefore a misdirection in equating their contributions. Had the lower court considered that, it would not have concluded that the parties’ contributions were equal.</w:t>
      </w:r>
      <w:r w:rsidR="00263132">
        <w:rPr>
          <w:rFonts w:ascii="Times New Roman" w:hAnsi="Times New Roman" w:cs="Times New Roman"/>
          <w:sz w:val="24"/>
          <w:szCs w:val="24"/>
        </w:rPr>
        <w:t xml:space="preserve"> </w:t>
      </w:r>
      <w:r w:rsidR="0061606D" w:rsidRPr="00FA4BBB">
        <w:rPr>
          <w:rFonts w:ascii="Times New Roman" w:hAnsi="Times New Roman" w:cs="Times New Roman"/>
          <w:sz w:val="24"/>
          <w:szCs w:val="24"/>
        </w:rPr>
        <w:t xml:space="preserve"> For that </w:t>
      </w:r>
      <w:proofErr w:type="gramStart"/>
      <w:r w:rsidR="0061606D" w:rsidRPr="00FA4BBB">
        <w:rPr>
          <w:rFonts w:ascii="Times New Roman" w:hAnsi="Times New Roman" w:cs="Times New Roman"/>
          <w:sz w:val="24"/>
          <w:szCs w:val="24"/>
        </w:rPr>
        <w:t>reason</w:t>
      </w:r>
      <w:proofErr w:type="gramEnd"/>
      <w:r w:rsidR="0061606D" w:rsidRPr="00FA4BBB">
        <w:rPr>
          <w:rFonts w:ascii="Times New Roman" w:hAnsi="Times New Roman" w:cs="Times New Roman"/>
          <w:sz w:val="24"/>
          <w:szCs w:val="24"/>
        </w:rPr>
        <w:t xml:space="preserve"> the second ground of appeal succeeds.</w:t>
      </w:r>
    </w:p>
    <w:p w:rsidR="00AC7FD4" w:rsidRDefault="00AC7FD4" w:rsidP="00923FFF">
      <w:pPr>
        <w:spacing w:line="360" w:lineRule="auto"/>
        <w:jc w:val="both"/>
        <w:rPr>
          <w:rFonts w:ascii="Times New Roman" w:hAnsi="Times New Roman" w:cs="Times New Roman"/>
          <w:b/>
          <w:sz w:val="24"/>
          <w:szCs w:val="24"/>
        </w:rPr>
      </w:pPr>
    </w:p>
    <w:p w:rsidR="0061606D" w:rsidRPr="00AC7FD4" w:rsidRDefault="0061606D" w:rsidP="00AC7FD4">
      <w:pPr>
        <w:spacing w:after="0" w:line="360" w:lineRule="auto"/>
        <w:jc w:val="both"/>
        <w:rPr>
          <w:rFonts w:ascii="Times New Roman" w:hAnsi="Times New Roman" w:cs="Times New Roman"/>
          <w:b/>
          <w:sz w:val="24"/>
          <w:szCs w:val="24"/>
          <w:u w:val="single"/>
        </w:rPr>
      </w:pPr>
      <w:r w:rsidRPr="00AC7FD4">
        <w:rPr>
          <w:rFonts w:ascii="Times New Roman" w:hAnsi="Times New Roman" w:cs="Times New Roman"/>
          <w:b/>
          <w:sz w:val="24"/>
          <w:szCs w:val="24"/>
          <w:u w:val="single"/>
        </w:rPr>
        <w:lastRenderedPageBreak/>
        <w:t>The Third Ground of Appeal.</w:t>
      </w:r>
    </w:p>
    <w:p w:rsidR="00835FFA" w:rsidRPr="00FA4BBB" w:rsidRDefault="0061606D" w:rsidP="00AC7FD4">
      <w:pPr>
        <w:spacing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App</w:t>
      </w:r>
      <w:r w:rsidR="00E47B13">
        <w:rPr>
          <w:rFonts w:ascii="Times New Roman" w:hAnsi="Times New Roman" w:cs="Times New Roman"/>
          <w:sz w:val="24"/>
          <w:szCs w:val="24"/>
        </w:rPr>
        <w:t>ellant faults the lower court for</w:t>
      </w:r>
      <w:r w:rsidRPr="00FA4BBB">
        <w:rPr>
          <w:rFonts w:ascii="Times New Roman" w:hAnsi="Times New Roman" w:cs="Times New Roman"/>
          <w:sz w:val="24"/>
          <w:szCs w:val="24"/>
        </w:rPr>
        <w:t xml:space="preserve"> finding that at some point </w:t>
      </w:r>
      <w:r w:rsidR="00AC7FD4">
        <w:rPr>
          <w:rFonts w:ascii="Times New Roman" w:hAnsi="Times New Roman" w:cs="Times New Roman"/>
          <w:sz w:val="24"/>
          <w:szCs w:val="24"/>
        </w:rPr>
        <w:t>r</w:t>
      </w:r>
      <w:r w:rsidRPr="00FA4BBB">
        <w:rPr>
          <w:rFonts w:ascii="Times New Roman" w:hAnsi="Times New Roman" w:cs="Times New Roman"/>
          <w:sz w:val="24"/>
          <w:szCs w:val="24"/>
        </w:rPr>
        <w:t>espondent earned above him when no evidence was tendered to that effect.</w:t>
      </w:r>
      <w:r w:rsidR="00835FFA" w:rsidRPr="00FA4BBB">
        <w:rPr>
          <w:rFonts w:ascii="Times New Roman" w:hAnsi="Times New Roman" w:cs="Times New Roman"/>
          <w:sz w:val="24"/>
          <w:szCs w:val="24"/>
        </w:rPr>
        <w:t xml:space="preserve"> He submitted that the lower court disregarded bank statements and pay slips on record. In response, </w:t>
      </w:r>
      <w:r w:rsidR="00AC7FD4">
        <w:rPr>
          <w:rFonts w:ascii="Times New Roman" w:hAnsi="Times New Roman" w:cs="Times New Roman"/>
          <w:sz w:val="24"/>
          <w:szCs w:val="24"/>
        </w:rPr>
        <w:t>r</w:t>
      </w:r>
      <w:r w:rsidR="00835FFA" w:rsidRPr="00FA4BBB">
        <w:rPr>
          <w:rFonts w:ascii="Times New Roman" w:hAnsi="Times New Roman" w:cs="Times New Roman"/>
          <w:sz w:val="24"/>
          <w:szCs w:val="24"/>
        </w:rPr>
        <w:t>espondent submitted that there was no error on the part of the lower court as</w:t>
      </w:r>
      <w:r w:rsidR="00953B13" w:rsidRPr="00FA4BBB">
        <w:rPr>
          <w:rFonts w:ascii="Times New Roman" w:hAnsi="Times New Roman" w:cs="Times New Roman"/>
          <w:sz w:val="24"/>
          <w:szCs w:val="24"/>
        </w:rPr>
        <w:t xml:space="preserve"> the figures she stated in her evidence were not disputed. She referred to p</w:t>
      </w:r>
      <w:r w:rsidR="00AC7FD4">
        <w:rPr>
          <w:rFonts w:ascii="Times New Roman" w:hAnsi="Times New Roman" w:cs="Times New Roman"/>
          <w:sz w:val="24"/>
          <w:szCs w:val="24"/>
        </w:rPr>
        <w:t>p</w:t>
      </w:r>
      <w:r w:rsidR="00953B13" w:rsidRPr="00FA4BBB">
        <w:rPr>
          <w:rFonts w:ascii="Times New Roman" w:hAnsi="Times New Roman" w:cs="Times New Roman"/>
          <w:sz w:val="24"/>
          <w:szCs w:val="24"/>
        </w:rPr>
        <w:t xml:space="preserve"> 26</w:t>
      </w:r>
      <w:r w:rsidR="00F47AAD" w:rsidRPr="00FA4BBB">
        <w:rPr>
          <w:rFonts w:ascii="Times New Roman" w:hAnsi="Times New Roman" w:cs="Times New Roman"/>
          <w:sz w:val="24"/>
          <w:szCs w:val="24"/>
        </w:rPr>
        <w:t>, 27</w:t>
      </w:r>
      <w:r w:rsidR="00953B13" w:rsidRPr="00FA4BBB">
        <w:rPr>
          <w:rFonts w:ascii="Times New Roman" w:hAnsi="Times New Roman" w:cs="Times New Roman"/>
          <w:sz w:val="24"/>
          <w:szCs w:val="24"/>
        </w:rPr>
        <w:t xml:space="preserve"> and 47 of the record. On p 26, Counsel for the </w:t>
      </w:r>
      <w:r w:rsidR="00AC7FD4">
        <w:rPr>
          <w:rFonts w:ascii="Times New Roman" w:hAnsi="Times New Roman" w:cs="Times New Roman"/>
          <w:sz w:val="24"/>
          <w:szCs w:val="24"/>
        </w:rPr>
        <w:t>a</w:t>
      </w:r>
      <w:r w:rsidR="00953B13" w:rsidRPr="00FA4BBB">
        <w:rPr>
          <w:rFonts w:ascii="Times New Roman" w:hAnsi="Times New Roman" w:cs="Times New Roman"/>
          <w:sz w:val="24"/>
          <w:szCs w:val="24"/>
        </w:rPr>
        <w:t>ppellant objected to the reliance of 2021 earnings when the property was acquired in 2013</w:t>
      </w:r>
      <w:r w:rsidR="008C2A24" w:rsidRPr="00FA4BBB">
        <w:rPr>
          <w:rFonts w:ascii="Times New Roman" w:hAnsi="Times New Roman" w:cs="Times New Roman"/>
          <w:sz w:val="24"/>
          <w:szCs w:val="24"/>
        </w:rPr>
        <w:t xml:space="preserve">. On p 47 </w:t>
      </w:r>
      <w:r w:rsidR="00AC7FD4">
        <w:rPr>
          <w:rFonts w:ascii="Times New Roman" w:hAnsi="Times New Roman" w:cs="Times New Roman"/>
          <w:sz w:val="24"/>
          <w:szCs w:val="24"/>
        </w:rPr>
        <w:t>r</w:t>
      </w:r>
      <w:r w:rsidR="008C2A24" w:rsidRPr="00FA4BBB">
        <w:rPr>
          <w:rFonts w:ascii="Times New Roman" w:hAnsi="Times New Roman" w:cs="Times New Roman"/>
          <w:sz w:val="24"/>
          <w:szCs w:val="24"/>
        </w:rPr>
        <w:t xml:space="preserve">espondent was asked to confirm that she had produced the </w:t>
      </w:r>
      <w:r w:rsidR="00F47AAD" w:rsidRPr="00FA4BBB">
        <w:rPr>
          <w:rFonts w:ascii="Times New Roman" w:hAnsi="Times New Roman" w:cs="Times New Roman"/>
          <w:sz w:val="24"/>
          <w:szCs w:val="24"/>
        </w:rPr>
        <w:t>pay slips</w:t>
      </w:r>
      <w:r w:rsidR="008C2A24" w:rsidRPr="00FA4BBB">
        <w:rPr>
          <w:rFonts w:ascii="Times New Roman" w:hAnsi="Times New Roman" w:cs="Times New Roman"/>
          <w:sz w:val="24"/>
          <w:szCs w:val="24"/>
        </w:rPr>
        <w:t xml:space="preserve"> to show that she earned more than the </w:t>
      </w:r>
      <w:r w:rsidR="00AC7FD4">
        <w:rPr>
          <w:rFonts w:ascii="Times New Roman" w:hAnsi="Times New Roman" w:cs="Times New Roman"/>
          <w:sz w:val="24"/>
          <w:szCs w:val="24"/>
        </w:rPr>
        <w:t>a</w:t>
      </w:r>
      <w:r w:rsidR="008C2A24" w:rsidRPr="00FA4BBB">
        <w:rPr>
          <w:rFonts w:ascii="Times New Roman" w:hAnsi="Times New Roman" w:cs="Times New Roman"/>
          <w:sz w:val="24"/>
          <w:szCs w:val="24"/>
        </w:rPr>
        <w:t>ppellant. Her response was that that is not what she said. On p 49 she repeated to say “I did not say I earn more than him.”</w:t>
      </w:r>
      <w:r w:rsidR="00F47AAD" w:rsidRPr="00FA4BBB">
        <w:rPr>
          <w:rFonts w:ascii="Times New Roman" w:hAnsi="Times New Roman" w:cs="Times New Roman"/>
          <w:sz w:val="24"/>
          <w:szCs w:val="24"/>
        </w:rPr>
        <w:t xml:space="preserve"> It is not clear how the lower court was able to conclude that </w:t>
      </w:r>
      <w:r w:rsidR="00E47B13" w:rsidRPr="00E47B13">
        <w:rPr>
          <w:rFonts w:ascii="Times New Roman" w:hAnsi="Times New Roman" w:cs="Times New Roman"/>
          <w:i/>
          <w:sz w:val="24"/>
          <w:szCs w:val="24"/>
        </w:rPr>
        <w:t>“</w:t>
      </w:r>
      <w:r w:rsidR="00E47B13" w:rsidRPr="00AC7FD4">
        <w:rPr>
          <w:rFonts w:ascii="Times New Roman" w:hAnsi="Times New Roman" w:cs="Times New Roman"/>
          <w:sz w:val="24"/>
          <w:szCs w:val="24"/>
        </w:rPr>
        <w:t>at</w:t>
      </w:r>
      <w:r w:rsidR="00F47AAD" w:rsidRPr="00AC7FD4">
        <w:rPr>
          <w:rFonts w:ascii="Times New Roman" w:hAnsi="Times New Roman" w:cs="Times New Roman"/>
          <w:sz w:val="24"/>
          <w:szCs w:val="24"/>
        </w:rPr>
        <w:t xml:space="preserve"> some point the plaintiff from the evidence on record earned slightly above the income of defendant and defendant also at some point earned slightly above the income of plaintiff”. T</w:t>
      </w:r>
      <w:r w:rsidR="00F47AAD" w:rsidRPr="00FA4BBB">
        <w:rPr>
          <w:rFonts w:ascii="Times New Roman" w:hAnsi="Times New Roman" w:cs="Times New Roman"/>
          <w:sz w:val="24"/>
          <w:szCs w:val="24"/>
        </w:rPr>
        <w:t>his is against the fact that i</w:t>
      </w:r>
      <w:r w:rsidR="00835FFA" w:rsidRPr="00FA4BBB">
        <w:rPr>
          <w:rFonts w:ascii="Times New Roman" w:hAnsi="Times New Roman" w:cs="Times New Roman"/>
          <w:sz w:val="24"/>
          <w:szCs w:val="24"/>
        </w:rPr>
        <w:t>n para 9 of he</w:t>
      </w:r>
      <w:r w:rsidR="00F47AAD" w:rsidRPr="00FA4BBB">
        <w:rPr>
          <w:rFonts w:ascii="Times New Roman" w:hAnsi="Times New Roman" w:cs="Times New Roman"/>
          <w:sz w:val="24"/>
          <w:szCs w:val="24"/>
        </w:rPr>
        <w:t>r</w:t>
      </w:r>
      <w:r w:rsidR="00835FFA" w:rsidRPr="00FA4BBB">
        <w:rPr>
          <w:rFonts w:ascii="Times New Roman" w:hAnsi="Times New Roman" w:cs="Times New Roman"/>
          <w:sz w:val="24"/>
          <w:szCs w:val="24"/>
        </w:rPr>
        <w:t xml:space="preserve"> Particulars of Claim, </w:t>
      </w:r>
      <w:r w:rsidR="00AC7FD4">
        <w:rPr>
          <w:rFonts w:ascii="Times New Roman" w:hAnsi="Times New Roman" w:cs="Times New Roman"/>
          <w:sz w:val="24"/>
          <w:szCs w:val="24"/>
        </w:rPr>
        <w:t>r</w:t>
      </w:r>
      <w:r w:rsidR="00835FFA" w:rsidRPr="00FA4BBB">
        <w:rPr>
          <w:rFonts w:ascii="Times New Roman" w:hAnsi="Times New Roman" w:cs="Times New Roman"/>
          <w:sz w:val="24"/>
          <w:szCs w:val="24"/>
        </w:rPr>
        <w:t>espondent stated; -</w:t>
      </w:r>
    </w:p>
    <w:p w:rsidR="00835FFA" w:rsidRPr="00AC7FD4" w:rsidRDefault="00835FFA" w:rsidP="00923FFF">
      <w:pPr>
        <w:spacing w:line="240" w:lineRule="auto"/>
        <w:ind w:left="720"/>
        <w:jc w:val="both"/>
        <w:rPr>
          <w:rFonts w:ascii="Times New Roman" w:hAnsi="Times New Roman" w:cs="Times New Roman"/>
        </w:rPr>
      </w:pPr>
      <w:r w:rsidRPr="00AC7FD4">
        <w:rPr>
          <w:rFonts w:ascii="Times New Roman" w:hAnsi="Times New Roman" w:cs="Times New Roman"/>
        </w:rPr>
        <w:t xml:space="preserve">“Plaintiff and </w:t>
      </w:r>
      <w:r w:rsidR="00AC7FD4" w:rsidRPr="00AC7FD4">
        <w:rPr>
          <w:rFonts w:ascii="Times New Roman" w:hAnsi="Times New Roman" w:cs="Times New Roman"/>
        </w:rPr>
        <w:t>d</w:t>
      </w:r>
      <w:r w:rsidRPr="00AC7FD4">
        <w:rPr>
          <w:rFonts w:ascii="Times New Roman" w:hAnsi="Times New Roman" w:cs="Times New Roman"/>
        </w:rPr>
        <w:t xml:space="preserve">efendant are both civil servants with </w:t>
      </w:r>
      <w:r w:rsidR="00AC7FD4" w:rsidRPr="00AC7FD4">
        <w:rPr>
          <w:rFonts w:ascii="Times New Roman" w:hAnsi="Times New Roman" w:cs="Times New Roman"/>
        </w:rPr>
        <w:t>d</w:t>
      </w:r>
      <w:r w:rsidRPr="00AC7FD4">
        <w:rPr>
          <w:rFonts w:ascii="Times New Roman" w:hAnsi="Times New Roman" w:cs="Times New Roman"/>
        </w:rPr>
        <w:t xml:space="preserve">efendant earning slightly more than the </w:t>
      </w:r>
      <w:r w:rsidR="00AC7FD4" w:rsidRPr="00AC7FD4">
        <w:rPr>
          <w:rFonts w:ascii="Times New Roman" w:hAnsi="Times New Roman" w:cs="Times New Roman"/>
        </w:rPr>
        <w:t>p</w:t>
      </w:r>
      <w:r w:rsidRPr="00AC7FD4">
        <w:rPr>
          <w:rFonts w:ascii="Times New Roman" w:hAnsi="Times New Roman" w:cs="Times New Roman"/>
        </w:rPr>
        <w:t>laintiff i</w:t>
      </w:r>
      <w:r w:rsidR="00F47AAD" w:rsidRPr="00AC7FD4">
        <w:rPr>
          <w:rFonts w:ascii="Times New Roman" w:hAnsi="Times New Roman" w:cs="Times New Roman"/>
        </w:rPr>
        <w:t>n monthly sala</w:t>
      </w:r>
      <w:r w:rsidRPr="00AC7FD4">
        <w:rPr>
          <w:rFonts w:ascii="Times New Roman" w:hAnsi="Times New Roman" w:cs="Times New Roman"/>
        </w:rPr>
        <w:t>ry.”</w:t>
      </w:r>
    </w:p>
    <w:p w:rsidR="00F47AAD" w:rsidRPr="00FA4BBB" w:rsidRDefault="00F47AAD" w:rsidP="00AC7FD4">
      <w:pPr>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The conclusion by the lower court is therefore not supported by the record of proceedings. The third ground of appeal therefore succeeds.</w:t>
      </w:r>
    </w:p>
    <w:p w:rsidR="008F1ADF" w:rsidRDefault="00F47AAD" w:rsidP="00AC7FD4">
      <w:pPr>
        <w:autoSpaceDE w:val="0"/>
        <w:autoSpaceDN w:val="0"/>
        <w:adjustRightInd w:val="0"/>
        <w:spacing w:after="0" w:line="360" w:lineRule="auto"/>
        <w:ind w:firstLine="720"/>
        <w:jc w:val="both"/>
        <w:rPr>
          <w:rFonts w:ascii="Times New Roman" w:hAnsi="Times New Roman" w:cs="Times New Roman"/>
          <w:sz w:val="24"/>
          <w:szCs w:val="24"/>
        </w:rPr>
      </w:pPr>
      <w:r w:rsidRPr="00FA4BBB">
        <w:rPr>
          <w:rFonts w:ascii="Times New Roman" w:hAnsi="Times New Roman" w:cs="Times New Roman"/>
          <w:sz w:val="24"/>
          <w:szCs w:val="24"/>
        </w:rPr>
        <w:t xml:space="preserve">It is trite that where a lower court mistakes the facts or does not take into account some relevant consideration, an appeal court can interfere with its discretion. See </w:t>
      </w:r>
      <w:r w:rsidRPr="00AC7FD4">
        <w:rPr>
          <w:rFonts w:ascii="Times New Roman" w:hAnsi="Times New Roman" w:cs="Times New Roman"/>
          <w:i/>
          <w:sz w:val="24"/>
          <w:szCs w:val="24"/>
        </w:rPr>
        <w:t>Barros &amp; Another</w:t>
      </w:r>
      <w:r w:rsidRPr="00FA4BBB">
        <w:rPr>
          <w:rFonts w:ascii="Times New Roman" w:hAnsi="Times New Roman" w:cs="Times New Roman"/>
          <w:b/>
          <w:sz w:val="24"/>
          <w:szCs w:val="24"/>
        </w:rPr>
        <w:t xml:space="preserve"> </w:t>
      </w:r>
      <w:r w:rsidRPr="00AC7FD4">
        <w:rPr>
          <w:rFonts w:ascii="Times New Roman" w:hAnsi="Times New Roman" w:cs="Times New Roman"/>
          <w:sz w:val="24"/>
          <w:szCs w:val="24"/>
        </w:rPr>
        <w:t>v</w:t>
      </w:r>
      <w:r w:rsidRPr="00FA4BBB">
        <w:rPr>
          <w:rFonts w:ascii="Times New Roman" w:hAnsi="Times New Roman" w:cs="Times New Roman"/>
          <w:b/>
          <w:sz w:val="24"/>
          <w:szCs w:val="24"/>
        </w:rPr>
        <w:t xml:space="preserve"> </w:t>
      </w:r>
      <w:proofErr w:type="spellStart"/>
      <w:r w:rsidRPr="00AC7FD4">
        <w:rPr>
          <w:rFonts w:ascii="Times New Roman" w:hAnsi="Times New Roman" w:cs="Times New Roman"/>
          <w:i/>
          <w:sz w:val="24"/>
          <w:szCs w:val="24"/>
        </w:rPr>
        <w:t>Chimphonda</w:t>
      </w:r>
      <w:proofErr w:type="spellEnd"/>
      <w:r w:rsidRPr="00AC7FD4">
        <w:rPr>
          <w:rFonts w:ascii="Times New Roman" w:hAnsi="Times New Roman" w:cs="Times New Roman"/>
          <w:i/>
          <w:sz w:val="24"/>
          <w:szCs w:val="24"/>
        </w:rPr>
        <w:t xml:space="preserve"> </w:t>
      </w:r>
      <w:r w:rsidRPr="00FA4BBB">
        <w:rPr>
          <w:rFonts w:ascii="Times New Roman" w:hAnsi="Times New Roman" w:cs="Times New Roman"/>
          <w:sz w:val="24"/>
          <w:szCs w:val="24"/>
        </w:rPr>
        <w:t xml:space="preserve">1999 (1) ZLR 58.  </w:t>
      </w:r>
    </w:p>
    <w:p w:rsidR="00E47B13" w:rsidRPr="008F1ADF" w:rsidRDefault="00E47B13" w:rsidP="00923FFF">
      <w:pPr>
        <w:autoSpaceDE w:val="0"/>
        <w:autoSpaceDN w:val="0"/>
        <w:adjustRightInd w:val="0"/>
        <w:spacing w:after="0" w:line="360" w:lineRule="auto"/>
        <w:jc w:val="both"/>
        <w:rPr>
          <w:rFonts w:ascii="Times New Roman" w:hAnsi="Times New Roman" w:cs="Times New Roman"/>
          <w:sz w:val="21"/>
          <w:szCs w:val="21"/>
        </w:rPr>
      </w:pPr>
    </w:p>
    <w:p w:rsidR="00262A6C" w:rsidRPr="00AC7FD4" w:rsidRDefault="00262A6C" w:rsidP="00AC7FD4">
      <w:pPr>
        <w:spacing w:after="0" w:line="360" w:lineRule="auto"/>
        <w:jc w:val="both"/>
        <w:rPr>
          <w:rFonts w:ascii="Times New Roman" w:hAnsi="Times New Roman" w:cs="Times New Roman"/>
          <w:b/>
          <w:sz w:val="24"/>
          <w:szCs w:val="24"/>
          <w:u w:val="single"/>
        </w:rPr>
      </w:pPr>
      <w:r w:rsidRPr="00AC7FD4">
        <w:rPr>
          <w:rFonts w:ascii="Times New Roman" w:hAnsi="Times New Roman" w:cs="Times New Roman"/>
          <w:b/>
          <w:sz w:val="24"/>
          <w:szCs w:val="24"/>
          <w:u w:val="single"/>
        </w:rPr>
        <w:t>The Relief Sought</w:t>
      </w:r>
    </w:p>
    <w:p w:rsidR="00262A6C" w:rsidRPr="00FA4BBB" w:rsidRDefault="00262A6C" w:rsidP="00923FFF">
      <w:pPr>
        <w:spacing w:line="360" w:lineRule="auto"/>
        <w:jc w:val="both"/>
        <w:rPr>
          <w:rFonts w:ascii="Times New Roman" w:hAnsi="Times New Roman" w:cs="Times New Roman"/>
          <w:sz w:val="24"/>
          <w:szCs w:val="24"/>
        </w:rPr>
      </w:pPr>
      <w:r w:rsidRPr="00FA4BBB">
        <w:rPr>
          <w:rFonts w:ascii="Times New Roman" w:hAnsi="Times New Roman" w:cs="Times New Roman"/>
          <w:b/>
          <w:sz w:val="24"/>
          <w:szCs w:val="24"/>
        </w:rPr>
        <w:t xml:space="preserve"> </w:t>
      </w:r>
      <w:r w:rsidR="00AC7FD4">
        <w:rPr>
          <w:rFonts w:ascii="Times New Roman" w:hAnsi="Times New Roman" w:cs="Times New Roman"/>
          <w:b/>
          <w:sz w:val="24"/>
          <w:szCs w:val="24"/>
        </w:rPr>
        <w:tab/>
      </w:r>
      <w:r w:rsidRPr="00FA4BBB">
        <w:rPr>
          <w:rFonts w:ascii="Times New Roman" w:hAnsi="Times New Roman" w:cs="Times New Roman"/>
          <w:b/>
          <w:sz w:val="24"/>
          <w:szCs w:val="24"/>
        </w:rPr>
        <w:t xml:space="preserve"> </w:t>
      </w:r>
      <w:r w:rsidRPr="00FA4BBB">
        <w:rPr>
          <w:rFonts w:ascii="Times New Roman" w:hAnsi="Times New Roman" w:cs="Times New Roman"/>
          <w:sz w:val="24"/>
          <w:szCs w:val="24"/>
        </w:rPr>
        <w:t xml:space="preserve">Appellant sought the setting aside of the judgment of the court </w:t>
      </w:r>
      <w:r w:rsidRPr="00620FA6">
        <w:rPr>
          <w:rFonts w:ascii="Times New Roman" w:hAnsi="Times New Roman" w:cs="Times New Roman"/>
          <w:i/>
          <w:sz w:val="24"/>
          <w:szCs w:val="24"/>
        </w:rPr>
        <w:t>a quo</w:t>
      </w:r>
      <w:r w:rsidRPr="00FA4BBB">
        <w:rPr>
          <w:rFonts w:ascii="Times New Roman" w:hAnsi="Times New Roman" w:cs="Times New Roman"/>
          <w:sz w:val="24"/>
          <w:szCs w:val="24"/>
        </w:rPr>
        <w:t xml:space="preserve"> and its substitution with either the dismissal of the plaintiff’s claim with costs or an award of 30% share in the immovable property in question to plaintiff whilst he gets </w:t>
      </w:r>
      <w:r w:rsidR="00620FA6">
        <w:rPr>
          <w:rFonts w:ascii="Times New Roman" w:hAnsi="Times New Roman" w:cs="Times New Roman"/>
          <w:sz w:val="24"/>
          <w:szCs w:val="24"/>
        </w:rPr>
        <w:t xml:space="preserve">a </w:t>
      </w:r>
      <w:r w:rsidRPr="00FA4BBB">
        <w:rPr>
          <w:rFonts w:ascii="Times New Roman" w:hAnsi="Times New Roman" w:cs="Times New Roman"/>
          <w:sz w:val="24"/>
          <w:szCs w:val="24"/>
        </w:rPr>
        <w:t>70%</w:t>
      </w:r>
      <w:r w:rsidR="00620FA6">
        <w:rPr>
          <w:rFonts w:ascii="Times New Roman" w:hAnsi="Times New Roman" w:cs="Times New Roman"/>
          <w:sz w:val="24"/>
          <w:szCs w:val="24"/>
        </w:rPr>
        <w:t xml:space="preserve"> share</w:t>
      </w:r>
      <w:r w:rsidRPr="00FA4BBB">
        <w:rPr>
          <w:rFonts w:ascii="Times New Roman" w:hAnsi="Times New Roman" w:cs="Times New Roman"/>
          <w:sz w:val="24"/>
          <w:szCs w:val="24"/>
        </w:rPr>
        <w:t>. In para 4.65</w:t>
      </w:r>
      <w:r w:rsidR="00BA578B" w:rsidRPr="00FA4BBB">
        <w:rPr>
          <w:rFonts w:ascii="Times New Roman" w:hAnsi="Times New Roman" w:cs="Times New Roman"/>
          <w:sz w:val="24"/>
          <w:szCs w:val="24"/>
        </w:rPr>
        <w:t xml:space="preserve"> of his heads of argument, </w:t>
      </w:r>
      <w:r w:rsidR="00AC7FD4">
        <w:rPr>
          <w:rFonts w:ascii="Times New Roman" w:hAnsi="Times New Roman" w:cs="Times New Roman"/>
          <w:sz w:val="24"/>
          <w:szCs w:val="24"/>
        </w:rPr>
        <w:t>a</w:t>
      </w:r>
      <w:r w:rsidR="00BA578B" w:rsidRPr="00FA4BBB">
        <w:rPr>
          <w:rFonts w:ascii="Times New Roman" w:hAnsi="Times New Roman" w:cs="Times New Roman"/>
          <w:sz w:val="24"/>
          <w:szCs w:val="24"/>
        </w:rPr>
        <w:t>ppellant stated; -</w:t>
      </w:r>
    </w:p>
    <w:p w:rsidR="00BA578B" w:rsidRPr="00AC7FD4" w:rsidRDefault="00BA578B" w:rsidP="00923FFF">
      <w:pPr>
        <w:spacing w:line="240" w:lineRule="auto"/>
        <w:ind w:left="720"/>
        <w:jc w:val="both"/>
        <w:rPr>
          <w:rFonts w:ascii="Times New Roman" w:hAnsi="Times New Roman" w:cs="Times New Roman"/>
        </w:rPr>
      </w:pPr>
      <w:r w:rsidRPr="00AC7FD4">
        <w:rPr>
          <w:rFonts w:ascii="Times New Roman" w:hAnsi="Times New Roman" w:cs="Times New Roman"/>
        </w:rPr>
        <w:t xml:space="preserve">“Had the court </w:t>
      </w:r>
      <w:r w:rsidRPr="00AC7FD4">
        <w:rPr>
          <w:rFonts w:ascii="Times New Roman" w:hAnsi="Times New Roman" w:cs="Times New Roman"/>
          <w:i/>
        </w:rPr>
        <w:t>a quo</w:t>
      </w:r>
      <w:r w:rsidRPr="00AC7FD4">
        <w:rPr>
          <w:rFonts w:ascii="Times New Roman" w:hAnsi="Times New Roman" w:cs="Times New Roman"/>
        </w:rPr>
        <w:t xml:space="preserve"> done a robust assessment of the evidence it would have appreciated the differences in the contributions made by each party and proceeded to share the property accordingly.”</w:t>
      </w:r>
    </w:p>
    <w:p w:rsidR="00BA578B" w:rsidRPr="00FA4BBB" w:rsidRDefault="00BA578B" w:rsidP="00923FFF">
      <w:p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This is an indication of an appreciation that </w:t>
      </w:r>
      <w:r w:rsidR="00AC7FD4">
        <w:rPr>
          <w:rFonts w:ascii="Times New Roman" w:hAnsi="Times New Roman" w:cs="Times New Roman"/>
          <w:sz w:val="24"/>
          <w:szCs w:val="24"/>
        </w:rPr>
        <w:t>r</w:t>
      </w:r>
      <w:r w:rsidRPr="00FA4BBB">
        <w:rPr>
          <w:rFonts w:ascii="Times New Roman" w:hAnsi="Times New Roman" w:cs="Times New Roman"/>
          <w:sz w:val="24"/>
          <w:szCs w:val="24"/>
        </w:rPr>
        <w:t xml:space="preserve">espondent is entitled to a share in the property. The dismissal of the </w:t>
      </w:r>
      <w:r w:rsidR="00AC7FD4">
        <w:rPr>
          <w:rFonts w:ascii="Times New Roman" w:hAnsi="Times New Roman" w:cs="Times New Roman"/>
          <w:sz w:val="24"/>
          <w:szCs w:val="24"/>
        </w:rPr>
        <w:t>r</w:t>
      </w:r>
      <w:r w:rsidRPr="00FA4BBB">
        <w:rPr>
          <w:rFonts w:ascii="Times New Roman" w:hAnsi="Times New Roman" w:cs="Times New Roman"/>
          <w:sz w:val="24"/>
          <w:szCs w:val="24"/>
        </w:rPr>
        <w:t xml:space="preserve">espondent’s </w:t>
      </w:r>
      <w:r w:rsidRPr="00923FFF">
        <w:rPr>
          <w:rFonts w:ascii="Times New Roman" w:hAnsi="Times New Roman" w:cs="Times New Roman"/>
          <w:sz w:val="24"/>
          <w:szCs w:val="24"/>
        </w:rPr>
        <w:t xml:space="preserve">claim is therefore not appropriate in the circumstances. </w:t>
      </w:r>
      <w:r w:rsidR="008F1ADF" w:rsidRPr="00923FFF">
        <w:rPr>
          <w:rFonts w:ascii="Times New Roman" w:hAnsi="Times New Roman" w:cs="Times New Roman"/>
          <w:sz w:val="24"/>
          <w:szCs w:val="24"/>
        </w:rPr>
        <w:t xml:space="preserve">Section </w:t>
      </w:r>
      <w:r w:rsidR="00923FFF" w:rsidRPr="00923FFF">
        <w:rPr>
          <w:rFonts w:ascii="Times New Roman" w:hAnsi="Times New Roman" w:cs="Times New Roman"/>
          <w:bCs/>
          <w:sz w:val="24"/>
          <w:szCs w:val="24"/>
        </w:rPr>
        <w:t xml:space="preserve">31 </w:t>
      </w:r>
      <w:r w:rsidR="00923FFF" w:rsidRPr="00923FFF">
        <w:rPr>
          <w:rFonts w:ascii="Times New Roman" w:hAnsi="Times New Roman" w:cs="Times New Roman"/>
          <w:bCs/>
          <w:sz w:val="24"/>
          <w:szCs w:val="24"/>
        </w:rPr>
        <w:lastRenderedPageBreak/>
        <w:t>of</w:t>
      </w:r>
      <w:r w:rsidR="008F1ADF" w:rsidRPr="00923FFF">
        <w:rPr>
          <w:rFonts w:ascii="Times New Roman" w:hAnsi="Times New Roman" w:cs="Times New Roman"/>
          <w:bCs/>
          <w:sz w:val="24"/>
          <w:szCs w:val="24"/>
        </w:rPr>
        <w:t xml:space="preserve"> the High Court Act,</w:t>
      </w:r>
      <w:r w:rsidR="00923FFF">
        <w:rPr>
          <w:rFonts w:ascii="Times New Roman" w:hAnsi="Times New Roman" w:cs="Times New Roman"/>
          <w:bCs/>
          <w:sz w:val="24"/>
          <w:szCs w:val="24"/>
        </w:rPr>
        <w:t xml:space="preserve"> [</w:t>
      </w:r>
      <w:r w:rsidR="00923FFF" w:rsidRPr="00AC7FD4">
        <w:rPr>
          <w:rFonts w:ascii="Times New Roman" w:hAnsi="Times New Roman" w:cs="Times New Roman"/>
          <w:bCs/>
          <w:i/>
          <w:sz w:val="24"/>
          <w:szCs w:val="24"/>
        </w:rPr>
        <w:t>Chapter7:06</w:t>
      </w:r>
      <w:r w:rsidR="00923FFF">
        <w:rPr>
          <w:rFonts w:ascii="Times New Roman" w:hAnsi="Times New Roman" w:cs="Times New Roman"/>
          <w:bCs/>
          <w:sz w:val="24"/>
          <w:szCs w:val="24"/>
        </w:rPr>
        <w:t xml:space="preserve">], </w:t>
      </w:r>
      <w:r w:rsidR="00923FFF" w:rsidRPr="00923FFF">
        <w:rPr>
          <w:rFonts w:ascii="Times New Roman" w:hAnsi="Times New Roman" w:cs="Times New Roman"/>
          <w:bCs/>
          <w:sz w:val="24"/>
          <w:szCs w:val="24"/>
        </w:rPr>
        <w:t>sets</w:t>
      </w:r>
      <w:r w:rsidR="008F1ADF" w:rsidRPr="00923FFF">
        <w:rPr>
          <w:rFonts w:ascii="Times New Roman" w:hAnsi="Times New Roman" w:cs="Times New Roman"/>
          <w:bCs/>
          <w:sz w:val="24"/>
          <w:szCs w:val="24"/>
        </w:rPr>
        <w:t xml:space="preserve"> out the powers of this </w:t>
      </w:r>
      <w:r w:rsidR="00572874">
        <w:rPr>
          <w:rFonts w:ascii="Times New Roman" w:hAnsi="Times New Roman" w:cs="Times New Roman"/>
          <w:bCs/>
          <w:sz w:val="24"/>
          <w:szCs w:val="24"/>
        </w:rPr>
        <w:t>c</w:t>
      </w:r>
      <w:r w:rsidR="008F1ADF" w:rsidRPr="00923FFF">
        <w:rPr>
          <w:rFonts w:ascii="Times New Roman" w:hAnsi="Times New Roman" w:cs="Times New Roman"/>
          <w:bCs/>
          <w:sz w:val="24"/>
          <w:szCs w:val="24"/>
        </w:rPr>
        <w:t xml:space="preserve">ourt on appeal in civil cases. </w:t>
      </w:r>
      <w:r w:rsidR="008F1ADF" w:rsidRPr="00923FFF">
        <w:rPr>
          <w:rFonts w:ascii="Times New Roman" w:hAnsi="Times New Roman" w:cs="Times New Roman"/>
          <w:sz w:val="24"/>
          <w:szCs w:val="24"/>
        </w:rPr>
        <w:t xml:space="preserve">On the hearing of a civil appeal this court has power to confirm, vary, amend or set aside the judgment appealed against or give such judgment as the case may require. It is appropriate to vary the judgment of the court </w:t>
      </w:r>
      <w:r w:rsidR="008F1ADF" w:rsidRPr="00263132">
        <w:rPr>
          <w:rFonts w:ascii="Times New Roman" w:hAnsi="Times New Roman" w:cs="Times New Roman"/>
          <w:i/>
          <w:sz w:val="24"/>
          <w:szCs w:val="24"/>
        </w:rPr>
        <w:t>a quo</w:t>
      </w:r>
      <w:r w:rsidR="008F1ADF" w:rsidRPr="00923FFF">
        <w:rPr>
          <w:rFonts w:ascii="Times New Roman" w:hAnsi="Times New Roman" w:cs="Times New Roman"/>
          <w:sz w:val="24"/>
          <w:szCs w:val="24"/>
        </w:rPr>
        <w:t xml:space="preserve"> in the interests of justice. </w:t>
      </w:r>
      <w:r w:rsidRPr="00923FFF">
        <w:rPr>
          <w:rFonts w:ascii="Times New Roman" w:hAnsi="Times New Roman" w:cs="Times New Roman"/>
          <w:sz w:val="24"/>
          <w:szCs w:val="24"/>
        </w:rPr>
        <w:t>The alternative prayer is accordingly granted.</w:t>
      </w:r>
    </w:p>
    <w:p w:rsidR="00BA578B" w:rsidRPr="00E47B13" w:rsidRDefault="00BA578B" w:rsidP="00923FFF">
      <w:pPr>
        <w:spacing w:line="360" w:lineRule="auto"/>
        <w:jc w:val="both"/>
        <w:rPr>
          <w:rFonts w:ascii="Times New Roman" w:hAnsi="Times New Roman" w:cs="Times New Roman"/>
          <w:b/>
          <w:sz w:val="24"/>
          <w:szCs w:val="24"/>
        </w:rPr>
      </w:pPr>
      <w:r w:rsidRPr="00E47B13">
        <w:rPr>
          <w:rFonts w:ascii="Times New Roman" w:hAnsi="Times New Roman" w:cs="Times New Roman"/>
          <w:b/>
          <w:sz w:val="24"/>
          <w:szCs w:val="24"/>
        </w:rPr>
        <w:t>DISPOSITION</w:t>
      </w:r>
    </w:p>
    <w:p w:rsidR="00BA578B" w:rsidRPr="00FA4BBB" w:rsidRDefault="00BA578B" w:rsidP="00923FFF">
      <w:pPr>
        <w:pStyle w:val="ListParagraph"/>
        <w:numPr>
          <w:ilvl w:val="0"/>
          <w:numId w:val="5"/>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The preliminary points be and are hereby dismissed.</w:t>
      </w:r>
    </w:p>
    <w:p w:rsidR="00BA578B" w:rsidRPr="00FA4BBB" w:rsidRDefault="00BA578B" w:rsidP="00923FFF">
      <w:pPr>
        <w:pStyle w:val="ListParagraph"/>
        <w:numPr>
          <w:ilvl w:val="0"/>
          <w:numId w:val="5"/>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The appeal partially succeeds. The first ground of appeal be and is hereby dismissed. The second and third grounds of appeal be and are hereby upheld.</w:t>
      </w:r>
    </w:p>
    <w:p w:rsidR="00BA578B" w:rsidRPr="00FA4BBB" w:rsidRDefault="00BA578B" w:rsidP="00923FFF">
      <w:pPr>
        <w:pStyle w:val="ListParagraph"/>
        <w:numPr>
          <w:ilvl w:val="0"/>
          <w:numId w:val="5"/>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 xml:space="preserve">The judgment of the court </w:t>
      </w:r>
      <w:r w:rsidRPr="00E47B13">
        <w:rPr>
          <w:rFonts w:ascii="Times New Roman" w:hAnsi="Times New Roman" w:cs="Times New Roman"/>
          <w:i/>
          <w:sz w:val="24"/>
          <w:szCs w:val="24"/>
        </w:rPr>
        <w:t>a quo</w:t>
      </w:r>
      <w:r w:rsidRPr="00FA4BBB">
        <w:rPr>
          <w:rFonts w:ascii="Times New Roman" w:hAnsi="Times New Roman" w:cs="Times New Roman"/>
          <w:sz w:val="24"/>
          <w:szCs w:val="24"/>
        </w:rPr>
        <w:t xml:space="preserve"> in case number 924/21 be and is hereby set aside and substituted with the following,</w:t>
      </w:r>
    </w:p>
    <w:p w:rsidR="00BA578B" w:rsidRDefault="00BA578B" w:rsidP="00AC7FD4">
      <w:pPr>
        <w:pStyle w:val="ListParagraph"/>
        <w:spacing w:after="0" w:line="240" w:lineRule="auto"/>
        <w:ind w:left="1440"/>
        <w:jc w:val="both"/>
        <w:rPr>
          <w:rFonts w:ascii="Times New Roman" w:hAnsi="Times New Roman" w:cs="Times New Roman"/>
        </w:rPr>
      </w:pPr>
      <w:r w:rsidRPr="00AC7FD4">
        <w:rPr>
          <w:rFonts w:ascii="Times New Roman" w:hAnsi="Times New Roman" w:cs="Times New Roman"/>
        </w:rPr>
        <w:t xml:space="preserve"> </w:t>
      </w:r>
      <w:r w:rsidR="00FA4BBB" w:rsidRPr="00AC7FD4">
        <w:rPr>
          <w:rFonts w:ascii="Times New Roman" w:hAnsi="Times New Roman" w:cs="Times New Roman"/>
        </w:rPr>
        <w:t>“The plaintiff be and is hereby awarded a 30% share in the immovable property namely Stand number 1992 Granary Park whilst the defendant retains a 70% share.”</w:t>
      </w:r>
    </w:p>
    <w:p w:rsidR="00AC7FD4" w:rsidRPr="00AC7FD4" w:rsidRDefault="00AC7FD4" w:rsidP="00AC7FD4">
      <w:pPr>
        <w:pStyle w:val="ListParagraph"/>
        <w:spacing w:after="0" w:line="240" w:lineRule="auto"/>
        <w:ind w:left="1440"/>
        <w:jc w:val="both"/>
        <w:rPr>
          <w:rFonts w:ascii="Times New Roman" w:hAnsi="Times New Roman" w:cs="Times New Roman"/>
        </w:rPr>
      </w:pPr>
    </w:p>
    <w:p w:rsidR="00FA4BBB" w:rsidRDefault="00FA4BBB" w:rsidP="00923FFF">
      <w:pPr>
        <w:pStyle w:val="ListParagraph"/>
        <w:numPr>
          <w:ilvl w:val="0"/>
          <w:numId w:val="5"/>
        </w:numPr>
        <w:spacing w:line="360" w:lineRule="auto"/>
        <w:jc w:val="both"/>
        <w:rPr>
          <w:rFonts w:ascii="Times New Roman" w:hAnsi="Times New Roman" w:cs="Times New Roman"/>
          <w:sz w:val="24"/>
          <w:szCs w:val="24"/>
        </w:rPr>
      </w:pPr>
      <w:r w:rsidRPr="00FA4BBB">
        <w:rPr>
          <w:rFonts w:ascii="Times New Roman" w:hAnsi="Times New Roman" w:cs="Times New Roman"/>
          <w:sz w:val="24"/>
          <w:szCs w:val="24"/>
        </w:rPr>
        <w:t>Each party bears its own costs.</w:t>
      </w:r>
    </w:p>
    <w:p w:rsidR="00A97151" w:rsidRDefault="00A97151" w:rsidP="00A97151">
      <w:pPr>
        <w:spacing w:line="360" w:lineRule="auto"/>
        <w:jc w:val="both"/>
        <w:rPr>
          <w:rFonts w:ascii="Times New Roman" w:hAnsi="Times New Roman" w:cs="Times New Roman"/>
          <w:sz w:val="24"/>
          <w:szCs w:val="24"/>
        </w:rPr>
      </w:pPr>
    </w:p>
    <w:p w:rsidR="00A97151" w:rsidRDefault="00A97151" w:rsidP="00A97151">
      <w:pPr>
        <w:spacing w:line="360" w:lineRule="auto"/>
        <w:jc w:val="both"/>
        <w:rPr>
          <w:rFonts w:ascii="Times New Roman" w:hAnsi="Times New Roman" w:cs="Times New Roman"/>
          <w:sz w:val="24"/>
          <w:szCs w:val="24"/>
        </w:rPr>
      </w:pPr>
    </w:p>
    <w:p w:rsidR="00A97151" w:rsidRPr="00A97151" w:rsidRDefault="00A97151" w:rsidP="00A97151">
      <w:pPr>
        <w:spacing w:line="360" w:lineRule="auto"/>
        <w:jc w:val="both"/>
        <w:rPr>
          <w:rFonts w:ascii="Times New Roman" w:hAnsi="Times New Roman" w:cs="Times New Roman"/>
          <w:sz w:val="24"/>
          <w:szCs w:val="24"/>
        </w:rPr>
      </w:pPr>
      <w:r>
        <w:rPr>
          <w:rFonts w:ascii="Times New Roman" w:hAnsi="Times New Roman" w:cs="Times New Roman"/>
          <w:sz w:val="24"/>
          <w:szCs w:val="24"/>
        </w:rPr>
        <w:t>TSANGA J……………………</w:t>
      </w:r>
      <w:proofErr w:type="gramStart"/>
      <w:r>
        <w:rPr>
          <w:rFonts w:ascii="Times New Roman" w:hAnsi="Times New Roman" w:cs="Times New Roman"/>
          <w:sz w:val="24"/>
          <w:szCs w:val="24"/>
        </w:rPr>
        <w:t>….A</w:t>
      </w:r>
      <w:r w:rsidR="00AC7FD4">
        <w:rPr>
          <w:rFonts w:ascii="Times New Roman" w:hAnsi="Times New Roman" w:cs="Times New Roman"/>
          <w:sz w:val="24"/>
          <w:szCs w:val="24"/>
        </w:rPr>
        <w:t>grees</w:t>
      </w:r>
      <w:proofErr w:type="gramEnd"/>
    </w:p>
    <w:p w:rsidR="00BA578B" w:rsidRPr="00FA4BBB" w:rsidRDefault="00BA578B" w:rsidP="00923FFF">
      <w:pPr>
        <w:spacing w:line="360" w:lineRule="auto"/>
        <w:jc w:val="both"/>
        <w:rPr>
          <w:rFonts w:ascii="Times New Roman" w:hAnsi="Times New Roman" w:cs="Times New Roman"/>
          <w:sz w:val="24"/>
          <w:szCs w:val="24"/>
        </w:rPr>
      </w:pPr>
    </w:p>
    <w:p w:rsidR="00F47AAD" w:rsidRPr="00FA4BBB" w:rsidRDefault="00FA4BBB" w:rsidP="00AC7FD4">
      <w:pPr>
        <w:spacing w:after="0" w:line="240" w:lineRule="auto"/>
        <w:jc w:val="both"/>
        <w:rPr>
          <w:rFonts w:ascii="Times New Roman" w:hAnsi="Times New Roman" w:cs="Times New Roman"/>
          <w:sz w:val="24"/>
          <w:szCs w:val="24"/>
        </w:rPr>
      </w:pPr>
      <w:proofErr w:type="spellStart"/>
      <w:r w:rsidRPr="00FA4BBB">
        <w:rPr>
          <w:rFonts w:ascii="Times New Roman" w:hAnsi="Times New Roman" w:cs="Times New Roman"/>
          <w:i/>
          <w:sz w:val="24"/>
          <w:szCs w:val="24"/>
        </w:rPr>
        <w:t>Kamusasa</w:t>
      </w:r>
      <w:proofErr w:type="spellEnd"/>
      <w:r w:rsidRPr="00FA4BBB">
        <w:rPr>
          <w:rFonts w:ascii="Times New Roman" w:hAnsi="Times New Roman" w:cs="Times New Roman"/>
          <w:i/>
          <w:sz w:val="24"/>
          <w:szCs w:val="24"/>
        </w:rPr>
        <w:t xml:space="preserve"> and </w:t>
      </w:r>
      <w:proofErr w:type="spellStart"/>
      <w:r w:rsidRPr="00FA4BBB">
        <w:rPr>
          <w:rFonts w:ascii="Times New Roman" w:hAnsi="Times New Roman" w:cs="Times New Roman"/>
          <w:i/>
          <w:sz w:val="24"/>
          <w:szCs w:val="24"/>
        </w:rPr>
        <w:t>Masendo</w:t>
      </w:r>
      <w:proofErr w:type="spellEnd"/>
      <w:r w:rsidRPr="00FA4BBB">
        <w:rPr>
          <w:rFonts w:ascii="Times New Roman" w:hAnsi="Times New Roman" w:cs="Times New Roman"/>
          <w:i/>
          <w:sz w:val="24"/>
          <w:szCs w:val="24"/>
        </w:rPr>
        <w:t xml:space="preserve">, </w:t>
      </w:r>
      <w:r w:rsidR="00AC7FD4">
        <w:rPr>
          <w:rFonts w:ascii="Times New Roman" w:hAnsi="Times New Roman" w:cs="Times New Roman"/>
          <w:sz w:val="24"/>
          <w:szCs w:val="24"/>
        </w:rPr>
        <w:t>a</w:t>
      </w:r>
      <w:r w:rsidRPr="00FA4BBB">
        <w:rPr>
          <w:rFonts w:ascii="Times New Roman" w:hAnsi="Times New Roman" w:cs="Times New Roman"/>
          <w:sz w:val="24"/>
          <w:szCs w:val="24"/>
        </w:rPr>
        <w:t xml:space="preserve">ppellant’s </w:t>
      </w:r>
      <w:r w:rsidR="00AC7FD4">
        <w:rPr>
          <w:rFonts w:ascii="Times New Roman" w:hAnsi="Times New Roman" w:cs="Times New Roman"/>
          <w:sz w:val="24"/>
          <w:szCs w:val="24"/>
        </w:rPr>
        <w:t>l</w:t>
      </w:r>
      <w:r w:rsidRPr="00FA4BBB">
        <w:rPr>
          <w:rFonts w:ascii="Times New Roman" w:hAnsi="Times New Roman" w:cs="Times New Roman"/>
          <w:sz w:val="24"/>
          <w:szCs w:val="24"/>
        </w:rPr>
        <w:t xml:space="preserve">egal </w:t>
      </w:r>
      <w:r w:rsidR="00AC7FD4">
        <w:rPr>
          <w:rFonts w:ascii="Times New Roman" w:hAnsi="Times New Roman" w:cs="Times New Roman"/>
          <w:sz w:val="24"/>
          <w:szCs w:val="24"/>
        </w:rPr>
        <w:t>p</w:t>
      </w:r>
      <w:r w:rsidRPr="00FA4BBB">
        <w:rPr>
          <w:rFonts w:ascii="Times New Roman" w:hAnsi="Times New Roman" w:cs="Times New Roman"/>
          <w:sz w:val="24"/>
          <w:szCs w:val="24"/>
        </w:rPr>
        <w:t>ractitioners</w:t>
      </w:r>
    </w:p>
    <w:p w:rsidR="00FA4BBB" w:rsidRPr="00FA4BBB" w:rsidRDefault="00FA4BBB" w:rsidP="00AC7FD4">
      <w:pPr>
        <w:spacing w:after="0" w:line="240" w:lineRule="auto"/>
        <w:jc w:val="both"/>
        <w:rPr>
          <w:rFonts w:ascii="Times New Roman" w:hAnsi="Times New Roman" w:cs="Times New Roman"/>
          <w:sz w:val="24"/>
          <w:szCs w:val="24"/>
        </w:rPr>
      </w:pPr>
      <w:r w:rsidRPr="00FA4BBB">
        <w:rPr>
          <w:rFonts w:ascii="Times New Roman" w:hAnsi="Times New Roman" w:cs="Times New Roman"/>
          <w:i/>
          <w:sz w:val="24"/>
          <w:szCs w:val="24"/>
        </w:rPr>
        <w:t xml:space="preserve">Wilmot &amp; Bennett, </w:t>
      </w:r>
      <w:r w:rsidR="00AC7FD4">
        <w:rPr>
          <w:rFonts w:ascii="Times New Roman" w:hAnsi="Times New Roman" w:cs="Times New Roman"/>
          <w:sz w:val="24"/>
          <w:szCs w:val="24"/>
        </w:rPr>
        <w:t>r</w:t>
      </w:r>
      <w:r w:rsidRPr="00FA4BBB">
        <w:rPr>
          <w:rFonts w:ascii="Times New Roman" w:hAnsi="Times New Roman" w:cs="Times New Roman"/>
          <w:sz w:val="24"/>
          <w:szCs w:val="24"/>
        </w:rPr>
        <w:t xml:space="preserve">espondent’s </w:t>
      </w:r>
      <w:r w:rsidR="00AC7FD4">
        <w:rPr>
          <w:rFonts w:ascii="Times New Roman" w:hAnsi="Times New Roman" w:cs="Times New Roman"/>
          <w:sz w:val="24"/>
          <w:szCs w:val="24"/>
        </w:rPr>
        <w:t>l</w:t>
      </w:r>
      <w:r w:rsidRPr="00FA4BBB">
        <w:rPr>
          <w:rFonts w:ascii="Times New Roman" w:hAnsi="Times New Roman" w:cs="Times New Roman"/>
          <w:sz w:val="24"/>
          <w:szCs w:val="24"/>
        </w:rPr>
        <w:t xml:space="preserve">egal </w:t>
      </w:r>
      <w:r w:rsidR="00AC7FD4">
        <w:rPr>
          <w:rFonts w:ascii="Times New Roman" w:hAnsi="Times New Roman" w:cs="Times New Roman"/>
          <w:sz w:val="24"/>
          <w:szCs w:val="24"/>
        </w:rPr>
        <w:t>p</w:t>
      </w:r>
      <w:r w:rsidRPr="00FA4BBB">
        <w:rPr>
          <w:rFonts w:ascii="Times New Roman" w:hAnsi="Times New Roman" w:cs="Times New Roman"/>
          <w:sz w:val="24"/>
          <w:szCs w:val="24"/>
        </w:rPr>
        <w:t>ractitioners</w:t>
      </w:r>
    </w:p>
    <w:sectPr w:rsidR="00FA4BBB" w:rsidRPr="00FA4BB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85" w:rsidRDefault="00DE1685" w:rsidP="00A734C6">
      <w:pPr>
        <w:spacing w:after="0" w:line="240" w:lineRule="auto"/>
      </w:pPr>
      <w:r>
        <w:separator/>
      </w:r>
    </w:p>
  </w:endnote>
  <w:endnote w:type="continuationSeparator" w:id="0">
    <w:p w:rsidR="00DE1685" w:rsidRDefault="00DE1685" w:rsidP="00A7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85" w:rsidRDefault="00DE1685" w:rsidP="00A734C6">
      <w:pPr>
        <w:spacing w:after="0" w:line="240" w:lineRule="auto"/>
      </w:pPr>
      <w:r>
        <w:separator/>
      </w:r>
    </w:p>
  </w:footnote>
  <w:footnote w:type="continuationSeparator" w:id="0">
    <w:p w:rsidR="00DE1685" w:rsidRDefault="00DE1685" w:rsidP="00A73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819550"/>
      <w:docPartObj>
        <w:docPartGallery w:val="Page Numbers (Top of Page)"/>
        <w:docPartUnique/>
      </w:docPartObj>
    </w:sdtPr>
    <w:sdtEndPr>
      <w:rPr>
        <w:noProof/>
      </w:rPr>
    </w:sdtEndPr>
    <w:sdtContent>
      <w:p w:rsidR="00F01358" w:rsidRDefault="00F01358">
        <w:pPr>
          <w:pStyle w:val="Header"/>
          <w:jc w:val="right"/>
          <w:rPr>
            <w:noProof/>
          </w:rPr>
        </w:pPr>
        <w:r>
          <w:fldChar w:fldCharType="begin"/>
        </w:r>
        <w:r>
          <w:instrText xml:space="preserve"> PAGE   \* MERGEFORMAT </w:instrText>
        </w:r>
        <w:r>
          <w:fldChar w:fldCharType="separate"/>
        </w:r>
        <w:r w:rsidR="00E561F0">
          <w:rPr>
            <w:noProof/>
          </w:rPr>
          <w:t>8</w:t>
        </w:r>
        <w:r>
          <w:rPr>
            <w:noProof/>
          </w:rPr>
          <w:fldChar w:fldCharType="end"/>
        </w:r>
      </w:p>
      <w:p w:rsidR="00F01358" w:rsidRDefault="00F01358">
        <w:pPr>
          <w:pStyle w:val="Header"/>
          <w:jc w:val="right"/>
          <w:rPr>
            <w:noProof/>
          </w:rPr>
        </w:pPr>
        <w:r>
          <w:rPr>
            <w:noProof/>
          </w:rPr>
          <w:t>HH</w:t>
        </w:r>
        <w:r w:rsidR="00206483">
          <w:rPr>
            <w:noProof/>
          </w:rPr>
          <w:t xml:space="preserve"> 615-22</w:t>
        </w:r>
      </w:p>
      <w:p w:rsidR="00F01358" w:rsidRDefault="00F01358">
        <w:pPr>
          <w:pStyle w:val="Header"/>
          <w:jc w:val="right"/>
        </w:pPr>
        <w:r>
          <w:rPr>
            <w:noProof/>
          </w:rPr>
          <w:t>CIV “A” 84/22</w:t>
        </w:r>
      </w:p>
    </w:sdtContent>
  </w:sdt>
  <w:p w:rsidR="00923FFF" w:rsidRDefault="00923F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4673"/>
    <w:multiLevelType w:val="hybridMultilevel"/>
    <w:tmpl w:val="5CD6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727DB"/>
    <w:multiLevelType w:val="hybridMultilevel"/>
    <w:tmpl w:val="997A558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E2EA0"/>
    <w:multiLevelType w:val="hybridMultilevel"/>
    <w:tmpl w:val="B9D00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5011B"/>
    <w:multiLevelType w:val="hybridMultilevel"/>
    <w:tmpl w:val="F57EA050"/>
    <w:lvl w:ilvl="0" w:tplc="11E03E6C">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B1C8CCE8">
      <w:start w:val="1"/>
      <w:numFmt w:val="decimal"/>
      <w:lvlText w:val="(%3)"/>
      <w:lvlJc w:val="left"/>
      <w:pPr>
        <w:ind w:left="3780" w:hanging="720"/>
      </w:pPr>
      <w:rPr>
        <w:rFonts w:hint="default"/>
        <w:b/>
      </w:rPr>
    </w:lvl>
    <w:lvl w:ilvl="3" w:tplc="A160629C">
      <w:start w:val="1"/>
      <w:numFmt w:val="lowerLetter"/>
      <w:lvlText w:val="(%4)"/>
      <w:lvlJc w:val="left"/>
      <w:pPr>
        <w:ind w:left="4320" w:hanging="72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3A557B4"/>
    <w:multiLevelType w:val="hybridMultilevel"/>
    <w:tmpl w:val="5824B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514"/>
    <w:rsid w:val="0000304B"/>
    <w:rsid w:val="00021955"/>
    <w:rsid w:val="00070F54"/>
    <w:rsid w:val="00104E83"/>
    <w:rsid w:val="00167319"/>
    <w:rsid w:val="001C4873"/>
    <w:rsid w:val="001D3710"/>
    <w:rsid w:val="001E6B5D"/>
    <w:rsid w:val="00206483"/>
    <w:rsid w:val="00217A64"/>
    <w:rsid w:val="00262A6C"/>
    <w:rsid w:val="00263132"/>
    <w:rsid w:val="002738ED"/>
    <w:rsid w:val="003D4294"/>
    <w:rsid w:val="003E3018"/>
    <w:rsid w:val="003E4331"/>
    <w:rsid w:val="0043018F"/>
    <w:rsid w:val="00456E57"/>
    <w:rsid w:val="004C3D43"/>
    <w:rsid w:val="004C4C13"/>
    <w:rsid w:val="00541E77"/>
    <w:rsid w:val="005444A9"/>
    <w:rsid w:val="005453EE"/>
    <w:rsid w:val="00545988"/>
    <w:rsid w:val="00572874"/>
    <w:rsid w:val="00575FF8"/>
    <w:rsid w:val="005B619C"/>
    <w:rsid w:val="005B693A"/>
    <w:rsid w:val="0061606D"/>
    <w:rsid w:val="00620FA6"/>
    <w:rsid w:val="0062243B"/>
    <w:rsid w:val="006302FA"/>
    <w:rsid w:val="00743B46"/>
    <w:rsid w:val="007742C8"/>
    <w:rsid w:val="007D4880"/>
    <w:rsid w:val="007E7514"/>
    <w:rsid w:val="00835FFA"/>
    <w:rsid w:val="00873481"/>
    <w:rsid w:val="008A45D9"/>
    <w:rsid w:val="008C2A24"/>
    <w:rsid w:val="008F1ADF"/>
    <w:rsid w:val="00907917"/>
    <w:rsid w:val="00910C03"/>
    <w:rsid w:val="00921BFC"/>
    <w:rsid w:val="00923FFF"/>
    <w:rsid w:val="00932639"/>
    <w:rsid w:val="00936EBC"/>
    <w:rsid w:val="00953B13"/>
    <w:rsid w:val="00A3210F"/>
    <w:rsid w:val="00A324C3"/>
    <w:rsid w:val="00A413FB"/>
    <w:rsid w:val="00A63ED9"/>
    <w:rsid w:val="00A734C6"/>
    <w:rsid w:val="00A97151"/>
    <w:rsid w:val="00AC7FD4"/>
    <w:rsid w:val="00AF5268"/>
    <w:rsid w:val="00B41EE5"/>
    <w:rsid w:val="00BA578B"/>
    <w:rsid w:val="00C7249F"/>
    <w:rsid w:val="00CB79A2"/>
    <w:rsid w:val="00CC29FD"/>
    <w:rsid w:val="00CC39FF"/>
    <w:rsid w:val="00CD5E1B"/>
    <w:rsid w:val="00CF468D"/>
    <w:rsid w:val="00D22B77"/>
    <w:rsid w:val="00D46B8E"/>
    <w:rsid w:val="00D50E95"/>
    <w:rsid w:val="00DE1685"/>
    <w:rsid w:val="00E325E1"/>
    <w:rsid w:val="00E4680D"/>
    <w:rsid w:val="00E47B13"/>
    <w:rsid w:val="00E561F0"/>
    <w:rsid w:val="00E93F4F"/>
    <w:rsid w:val="00F01358"/>
    <w:rsid w:val="00F403B9"/>
    <w:rsid w:val="00F47AAD"/>
    <w:rsid w:val="00F54745"/>
    <w:rsid w:val="00F92B3A"/>
    <w:rsid w:val="00FA4BBB"/>
    <w:rsid w:val="00FB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F2B79-903D-4360-9A46-BEAD8E66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5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4A9"/>
    <w:pPr>
      <w:ind w:left="720"/>
      <w:contextualSpacing/>
    </w:pPr>
  </w:style>
  <w:style w:type="paragraph" w:styleId="FootnoteText">
    <w:name w:val="footnote text"/>
    <w:basedOn w:val="Normal"/>
    <w:link w:val="FootnoteTextChar"/>
    <w:uiPriority w:val="99"/>
    <w:semiHidden/>
    <w:unhideWhenUsed/>
    <w:rsid w:val="00A734C6"/>
    <w:pPr>
      <w:spacing w:after="0" w:line="240" w:lineRule="auto"/>
    </w:pPr>
    <w:rPr>
      <w:rFonts w:eastAsia="Times New Roman" w:cs="Times New Roman"/>
      <w:sz w:val="20"/>
      <w:szCs w:val="20"/>
      <w:lang w:val="en-ZW"/>
    </w:rPr>
  </w:style>
  <w:style w:type="character" w:customStyle="1" w:styleId="FootnoteTextChar">
    <w:name w:val="Footnote Text Char"/>
    <w:basedOn w:val="DefaultParagraphFont"/>
    <w:link w:val="FootnoteText"/>
    <w:uiPriority w:val="99"/>
    <w:semiHidden/>
    <w:rsid w:val="00A734C6"/>
    <w:rPr>
      <w:rFonts w:eastAsia="Times New Roman" w:cs="Times New Roman"/>
      <w:sz w:val="20"/>
      <w:szCs w:val="20"/>
      <w:lang w:val="en-ZW"/>
    </w:rPr>
  </w:style>
  <w:style w:type="character" w:styleId="FootnoteReference">
    <w:name w:val="footnote reference"/>
    <w:basedOn w:val="DefaultParagraphFont"/>
    <w:uiPriority w:val="99"/>
    <w:semiHidden/>
    <w:unhideWhenUsed/>
    <w:rsid w:val="00A734C6"/>
    <w:rPr>
      <w:rFonts w:cs="Times New Roman"/>
      <w:vertAlign w:val="superscript"/>
    </w:rPr>
  </w:style>
  <w:style w:type="paragraph" w:styleId="BalloonText">
    <w:name w:val="Balloon Text"/>
    <w:basedOn w:val="Normal"/>
    <w:link w:val="BalloonTextChar"/>
    <w:uiPriority w:val="99"/>
    <w:semiHidden/>
    <w:unhideWhenUsed/>
    <w:rsid w:val="00FA4B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BBB"/>
    <w:rPr>
      <w:rFonts w:ascii="Segoe UI" w:hAnsi="Segoe UI" w:cs="Segoe UI"/>
      <w:sz w:val="18"/>
      <w:szCs w:val="18"/>
    </w:rPr>
  </w:style>
  <w:style w:type="paragraph" w:styleId="Header">
    <w:name w:val="header"/>
    <w:basedOn w:val="Normal"/>
    <w:link w:val="HeaderChar"/>
    <w:uiPriority w:val="99"/>
    <w:unhideWhenUsed/>
    <w:rsid w:val="00923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FFF"/>
  </w:style>
  <w:style w:type="paragraph" w:styleId="Footer">
    <w:name w:val="footer"/>
    <w:basedOn w:val="Normal"/>
    <w:link w:val="FooterChar"/>
    <w:uiPriority w:val="99"/>
    <w:unhideWhenUsed/>
    <w:rsid w:val="00923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1FF9E-7D72-491F-BA0A-80B73B12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2541</Words>
  <Characters>14490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2022-09-13T12:58:00Z</cp:lastPrinted>
  <dcterms:created xsi:type="dcterms:W3CDTF">2022-09-16T09:26:00Z</dcterms:created>
  <dcterms:modified xsi:type="dcterms:W3CDTF">2022-09-16T09:26:00Z</dcterms:modified>
</cp:coreProperties>
</file>