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48A5" w14:textId="77777777" w:rsidR="00743640" w:rsidRPr="00D85A4D" w:rsidRDefault="00743640" w:rsidP="00D85A4D">
      <w:pPr>
        <w:spacing w:line="360" w:lineRule="auto"/>
        <w:jc w:val="both"/>
        <w:rPr>
          <w:rFonts w:ascii="Times New Roman" w:hAnsi="Times New Roman" w:cs="Times New Roman"/>
          <w:sz w:val="24"/>
          <w:szCs w:val="24"/>
        </w:rPr>
      </w:pPr>
      <w:bookmarkStart w:id="0" w:name="_GoBack"/>
      <w:bookmarkEnd w:id="0"/>
    </w:p>
    <w:p w14:paraId="63CDAA87" w14:textId="3B5147CE"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TOBACCO RESEARCH BOARD</w:t>
      </w:r>
    </w:p>
    <w:p w14:paraId="011C1D7C" w14:textId="183C868A"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Versus</w:t>
      </w:r>
    </w:p>
    <w:p w14:paraId="4518A775" w14:textId="77777777"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BERGATTAL TOBACCO INC (PRIVATE) LIMITED</w:t>
      </w:r>
    </w:p>
    <w:p w14:paraId="04361C11" w14:textId="77777777"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 xml:space="preserve"> AND</w:t>
      </w:r>
    </w:p>
    <w:p w14:paraId="1EBB3BB4" w14:textId="5DDD0C84"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 xml:space="preserve"> MOSES MACHINE</w:t>
      </w:r>
    </w:p>
    <w:p w14:paraId="592BCC16" w14:textId="77777777" w:rsidR="00F5499B" w:rsidRPr="00D85A4D" w:rsidRDefault="00F5499B" w:rsidP="00D85A4D">
      <w:pPr>
        <w:spacing w:line="360" w:lineRule="auto"/>
        <w:jc w:val="both"/>
        <w:rPr>
          <w:rFonts w:ascii="Times New Roman" w:hAnsi="Times New Roman" w:cs="Times New Roman"/>
          <w:sz w:val="24"/>
          <w:szCs w:val="24"/>
        </w:rPr>
      </w:pPr>
    </w:p>
    <w:p w14:paraId="66390F80" w14:textId="722D0182"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HIGH COURT OF ZIMBABWE</w:t>
      </w:r>
    </w:p>
    <w:p w14:paraId="66B1C088" w14:textId="6CD7CAF3"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COMMERCIAL DIVISION</w:t>
      </w:r>
    </w:p>
    <w:p w14:paraId="4D054BE7" w14:textId="7D31C9B8"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CHILIMBE J</w:t>
      </w:r>
    </w:p>
    <w:p w14:paraId="051F3ED5" w14:textId="047C091D" w:rsidR="00F5499B" w:rsidRPr="00356918" w:rsidRDefault="00F5499B" w:rsidP="00356918">
      <w:pPr>
        <w:pStyle w:val="NoSpacing"/>
        <w:rPr>
          <w:rFonts w:ascii="Times New Roman" w:hAnsi="Times New Roman" w:cs="Times New Roman"/>
          <w:sz w:val="24"/>
          <w:szCs w:val="24"/>
        </w:rPr>
      </w:pPr>
      <w:r w:rsidRPr="00356918">
        <w:rPr>
          <w:rFonts w:ascii="Times New Roman" w:hAnsi="Times New Roman" w:cs="Times New Roman"/>
          <w:sz w:val="24"/>
          <w:szCs w:val="24"/>
        </w:rPr>
        <w:t>HARARE 23 May and 7 June 2024</w:t>
      </w:r>
    </w:p>
    <w:p w14:paraId="3CBEC6BB" w14:textId="77777777" w:rsidR="007B5D67" w:rsidRPr="00D85A4D" w:rsidRDefault="007B5D67" w:rsidP="00D85A4D">
      <w:pPr>
        <w:pStyle w:val="NoSpacing"/>
        <w:spacing w:line="360" w:lineRule="auto"/>
        <w:jc w:val="both"/>
        <w:rPr>
          <w:rFonts w:ascii="Times New Roman" w:hAnsi="Times New Roman" w:cs="Times New Roman"/>
          <w:sz w:val="24"/>
          <w:szCs w:val="24"/>
        </w:rPr>
      </w:pPr>
    </w:p>
    <w:p w14:paraId="4E8DF715" w14:textId="79DE87D6" w:rsidR="00F5499B" w:rsidRPr="00D85A4D" w:rsidRDefault="007B5D67" w:rsidP="00D85A4D">
      <w:pPr>
        <w:spacing w:line="360" w:lineRule="auto"/>
        <w:jc w:val="both"/>
        <w:rPr>
          <w:rFonts w:ascii="Times New Roman" w:hAnsi="Times New Roman" w:cs="Times New Roman"/>
          <w:b/>
          <w:bCs/>
          <w:sz w:val="24"/>
          <w:szCs w:val="24"/>
        </w:rPr>
      </w:pPr>
      <w:r w:rsidRPr="00D85A4D">
        <w:rPr>
          <w:rFonts w:ascii="Times New Roman" w:hAnsi="Times New Roman" w:cs="Times New Roman"/>
          <w:b/>
          <w:bCs/>
          <w:sz w:val="24"/>
          <w:szCs w:val="24"/>
        </w:rPr>
        <w:t xml:space="preserve">Opposed application </w:t>
      </w:r>
    </w:p>
    <w:p w14:paraId="17E4C4E3" w14:textId="3BD82D4D" w:rsidR="00F5499B" w:rsidRPr="00D85A4D" w:rsidRDefault="00F5499B" w:rsidP="00D85A4D">
      <w:pPr>
        <w:pStyle w:val="NoSpacing"/>
        <w:rPr>
          <w:rFonts w:ascii="Times New Roman" w:hAnsi="Times New Roman" w:cs="Times New Roman"/>
          <w:sz w:val="24"/>
          <w:szCs w:val="24"/>
        </w:rPr>
      </w:pPr>
      <w:r w:rsidRPr="00D85A4D">
        <w:rPr>
          <w:rFonts w:ascii="Times New Roman" w:hAnsi="Times New Roman" w:cs="Times New Roman"/>
          <w:i/>
          <w:iCs/>
          <w:sz w:val="24"/>
          <w:szCs w:val="24"/>
        </w:rPr>
        <w:t>S.R Patsvani</w:t>
      </w:r>
      <w:r w:rsidRPr="00D85A4D">
        <w:rPr>
          <w:rFonts w:ascii="Times New Roman" w:hAnsi="Times New Roman" w:cs="Times New Roman"/>
          <w:sz w:val="24"/>
          <w:szCs w:val="24"/>
        </w:rPr>
        <w:t xml:space="preserve"> for applicant </w:t>
      </w:r>
    </w:p>
    <w:p w14:paraId="377B0E18" w14:textId="7ED4A352" w:rsidR="00F5499B" w:rsidRPr="00D85A4D" w:rsidRDefault="00F5499B" w:rsidP="00D85A4D">
      <w:pPr>
        <w:pStyle w:val="NoSpacing"/>
        <w:rPr>
          <w:rFonts w:ascii="Times New Roman" w:hAnsi="Times New Roman" w:cs="Times New Roman"/>
          <w:sz w:val="24"/>
          <w:szCs w:val="24"/>
        </w:rPr>
      </w:pPr>
      <w:r w:rsidRPr="00D85A4D">
        <w:rPr>
          <w:rFonts w:ascii="Times New Roman" w:hAnsi="Times New Roman" w:cs="Times New Roman"/>
          <w:i/>
          <w:iCs/>
          <w:sz w:val="24"/>
          <w:szCs w:val="24"/>
        </w:rPr>
        <w:t>T. Nyahuma</w:t>
      </w:r>
      <w:r w:rsidRPr="00D85A4D">
        <w:rPr>
          <w:rFonts w:ascii="Times New Roman" w:hAnsi="Times New Roman" w:cs="Times New Roman"/>
          <w:sz w:val="24"/>
          <w:szCs w:val="24"/>
        </w:rPr>
        <w:t xml:space="preserve"> for first and second respondent</w:t>
      </w:r>
    </w:p>
    <w:p w14:paraId="4577835F" w14:textId="77777777" w:rsidR="00F5499B" w:rsidRPr="00D85A4D" w:rsidRDefault="00F5499B" w:rsidP="00D85A4D">
      <w:pPr>
        <w:spacing w:line="360" w:lineRule="auto"/>
        <w:jc w:val="both"/>
        <w:rPr>
          <w:rFonts w:ascii="Times New Roman" w:hAnsi="Times New Roman" w:cs="Times New Roman"/>
          <w:sz w:val="24"/>
          <w:szCs w:val="24"/>
        </w:rPr>
      </w:pPr>
    </w:p>
    <w:p w14:paraId="2FA6FC1A" w14:textId="7A928C99" w:rsidR="00F5499B" w:rsidRPr="00D85A4D" w:rsidRDefault="00F5499B"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CHILIMBE J</w:t>
      </w:r>
    </w:p>
    <w:p w14:paraId="20C9370D" w14:textId="78DA67DF" w:rsidR="00F5499B" w:rsidRPr="00D85A4D" w:rsidRDefault="00F5499B"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BACKGROUND</w:t>
      </w:r>
    </w:p>
    <w:p w14:paraId="38ED279A" w14:textId="54860115" w:rsidR="002B10D3" w:rsidRPr="00D85A4D" w:rsidRDefault="007B5D67"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 xml:space="preserve">[1] On 23 May </w:t>
      </w:r>
      <w:r w:rsidR="002B10D3" w:rsidRPr="00D85A4D">
        <w:rPr>
          <w:rFonts w:ascii="Times New Roman" w:hAnsi="Times New Roman" w:cs="Times New Roman"/>
          <w:sz w:val="24"/>
          <w:szCs w:val="24"/>
        </w:rPr>
        <w:t>2024, I</w:t>
      </w:r>
      <w:r w:rsidRPr="00D85A4D">
        <w:rPr>
          <w:rFonts w:ascii="Times New Roman" w:hAnsi="Times New Roman" w:cs="Times New Roman"/>
          <w:sz w:val="24"/>
          <w:szCs w:val="24"/>
        </w:rPr>
        <w:t xml:space="preserve"> refused </w:t>
      </w:r>
      <w:r w:rsidR="002B10D3" w:rsidRPr="00D85A4D">
        <w:rPr>
          <w:rFonts w:ascii="Times New Roman" w:hAnsi="Times New Roman" w:cs="Times New Roman"/>
          <w:sz w:val="24"/>
          <w:szCs w:val="24"/>
        </w:rPr>
        <w:t xml:space="preserve">first and second respondents` </w:t>
      </w:r>
      <w:r w:rsidRPr="00D85A4D">
        <w:rPr>
          <w:rFonts w:ascii="Times New Roman" w:hAnsi="Times New Roman" w:cs="Times New Roman"/>
          <w:sz w:val="24"/>
          <w:szCs w:val="24"/>
        </w:rPr>
        <w:t xml:space="preserve">application for upliftment of </w:t>
      </w:r>
      <w:r w:rsidR="001B50E6">
        <w:rPr>
          <w:rFonts w:ascii="Times New Roman" w:hAnsi="Times New Roman" w:cs="Times New Roman"/>
          <w:sz w:val="24"/>
          <w:szCs w:val="24"/>
        </w:rPr>
        <w:t>a</w:t>
      </w:r>
      <w:r w:rsidRPr="00D85A4D">
        <w:rPr>
          <w:rFonts w:ascii="Times New Roman" w:hAnsi="Times New Roman" w:cs="Times New Roman"/>
          <w:sz w:val="24"/>
          <w:szCs w:val="24"/>
        </w:rPr>
        <w:t xml:space="preserve"> </w:t>
      </w:r>
      <w:r w:rsidR="001B50E6" w:rsidRPr="00D85A4D">
        <w:rPr>
          <w:rFonts w:ascii="Times New Roman" w:hAnsi="Times New Roman" w:cs="Times New Roman"/>
          <w:sz w:val="24"/>
          <w:szCs w:val="24"/>
        </w:rPr>
        <w:t>bar</w:t>
      </w:r>
      <w:r w:rsidR="001B50E6">
        <w:rPr>
          <w:rFonts w:ascii="Times New Roman" w:hAnsi="Times New Roman" w:cs="Times New Roman"/>
          <w:sz w:val="24"/>
          <w:szCs w:val="24"/>
        </w:rPr>
        <w:t xml:space="preserve">. </w:t>
      </w:r>
      <w:r w:rsidR="00F26281">
        <w:rPr>
          <w:rFonts w:ascii="Times New Roman" w:hAnsi="Times New Roman" w:cs="Times New Roman"/>
          <w:sz w:val="24"/>
          <w:szCs w:val="24"/>
        </w:rPr>
        <w:t xml:space="preserve">I </w:t>
      </w:r>
      <w:r w:rsidR="00B12BEB">
        <w:rPr>
          <w:rFonts w:ascii="Times New Roman" w:hAnsi="Times New Roman" w:cs="Times New Roman"/>
          <w:sz w:val="24"/>
          <w:szCs w:val="24"/>
        </w:rPr>
        <w:t xml:space="preserve">furnished </w:t>
      </w:r>
      <w:r w:rsidR="00B12BEB" w:rsidRPr="00D85A4D">
        <w:rPr>
          <w:rFonts w:ascii="Times New Roman" w:hAnsi="Times New Roman" w:cs="Times New Roman"/>
          <w:sz w:val="24"/>
          <w:szCs w:val="24"/>
        </w:rPr>
        <w:t>the</w:t>
      </w:r>
      <w:r w:rsidR="002B10D3" w:rsidRPr="00D85A4D">
        <w:rPr>
          <w:rFonts w:ascii="Times New Roman" w:hAnsi="Times New Roman" w:cs="Times New Roman"/>
          <w:sz w:val="24"/>
          <w:szCs w:val="24"/>
        </w:rPr>
        <w:t xml:space="preserve"> reasons </w:t>
      </w:r>
      <w:r w:rsidR="001B50E6">
        <w:rPr>
          <w:rFonts w:ascii="Times New Roman" w:hAnsi="Times New Roman" w:cs="Times New Roman"/>
          <w:sz w:val="24"/>
          <w:szCs w:val="24"/>
        </w:rPr>
        <w:t xml:space="preserve">thereof </w:t>
      </w:r>
      <w:r w:rsidR="002B10D3" w:rsidRPr="00D85A4D">
        <w:rPr>
          <w:rFonts w:ascii="Times New Roman" w:hAnsi="Times New Roman" w:cs="Times New Roman"/>
          <w:i/>
          <w:iCs/>
          <w:sz w:val="24"/>
          <w:szCs w:val="24"/>
        </w:rPr>
        <w:t xml:space="preserve">ex </w:t>
      </w:r>
      <w:r w:rsidR="00B12BEB" w:rsidRPr="00D85A4D">
        <w:rPr>
          <w:rFonts w:ascii="Times New Roman" w:hAnsi="Times New Roman" w:cs="Times New Roman"/>
          <w:i/>
          <w:iCs/>
          <w:sz w:val="24"/>
          <w:szCs w:val="24"/>
        </w:rPr>
        <w:t>tempor</w:t>
      </w:r>
      <w:r w:rsidR="00B12BEB">
        <w:rPr>
          <w:rFonts w:ascii="Times New Roman" w:hAnsi="Times New Roman" w:cs="Times New Roman"/>
          <w:i/>
          <w:iCs/>
          <w:sz w:val="24"/>
          <w:szCs w:val="24"/>
        </w:rPr>
        <w:t>e</w:t>
      </w:r>
      <w:r w:rsidR="00B12BEB" w:rsidRPr="00D85A4D">
        <w:rPr>
          <w:rFonts w:ascii="Times New Roman" w:hAnsi="Times New Roman" w:cs="Times New Roman"/>
          <w:sz w:val="24"/>
          <w:szCs w:val="24"/>
        </w:rPr>
        <w:t xml:space="preserve"> </w:t>
      </w:r>
      <w:r w:rsidR="00B12BEB">
        <w:rPr>
          <w:rFonts w:ascii="Times New Roman" w:hAnsi="Times New Roman" w:cs="Times New Roman"/>
          <w:sz w:val="24"/>
          <w:szCs w:val="24"/>
        </w:rPr>
        <w:t>and</w:t>
      </w:r>
      <w:r w:rsidR="00F26281">
        <w:rPr>
          <w:rFonts w:ascii="Times New Roman" w:hAnsi="Times New Roman" w:cs="Times New Roman"/>
          <w:sz w:val="24"/>
          <w:szCs w:val="24"/>
        </w:rPr>
        <w:t xml:space="preserve"> </w:t>
      </w:r>
      <w:r w:rsidR="002B10D3" w:rsidRPr="00D85A4D">
        <w:rPr>
          <w:rFonts w:ascii="Times New Roman" w:hAnsi="Times New Roman" w:cs="Times New Roman"/>
          <w:sz w:val="24"/>
          <w:szCs w:val="24"/>
        </w:rPr>
        <w:t>issued the following order; -</w:t>
      </w:r>
    </w:p>
    <w:p w14:paraId="134DCA83" w14:textId="509FB5BA" w:rsidR="00D85A4D" w:rsidRPr="00D85A4D" w:rsidRDefault="002B10D3" w:rsidP="00D85A4D">
      <w:pPr>
        <w:pStyle w:val="ListParagraph"/>
        <w:numPr>
          <w:ilvl w:val="0"/>
          <w:numId w:val="5"/>
        </w:numPr>
        <w:spacing w:line="360" w:lineRule="auto"/>
        <w:ind w:left="1491" w:hanging="357"/>
        <w:jc w:val="both"/>
        <w:rPr>
          <w:rFonts w:ascii="Times New Roman" w:hAnsi="Times New Roman" w:cs="Times New Roman"/>
          <w:sz w:val="24"/>
          <w:szCs w:val="24"/>
        </w:rPr>
      </w:pPr>
      <w:r w:rsidRPr="00D85A4D">
        <w:rPr>
          <w:rFonts w:ascii="Times New Roman" w:hAnsi="Times New Roman" w:cs="Times New Roman"/>
          <w:sz w:val="24"/>
          <w:szCs w:val="24"/>
        </w:rPr>
        <w:t>The </w:t>
      </w:r>
      <w:r w:rsidR="00D85A4D" w:rsidRPr="00D85A4D">
        <w:rPr>
          <w:rFonts w:ascii="Times New Roman" w:hAnsi="Times New Roman" w:cs="Times New Roman"/>
          <w:sz w:val="24"/>
          <w:szCs w:val="24"/>
        </w:rPr>
        <w:t>application for upliftment of the bar by First and Second Respondents for failure to file heads of argument in terms of the Rules</w:t>
      </w:r>
      <w:r w:rsidRPr="00D85A4D">
        <w:rPr>
          <w:rFonts w:ascii="Times New Roman" w:hAnsi="Times New Roman" w:cs="Times New Roman"/>
          <w:sz w:val="24"/>
          <w:szCs w:val="24"/>
        </w:rPr>
        <w:t> of Court be and is hereby dismissed with costs.</w:t>
      </w:r>
    </w:p>
    <w:p w14:paraId="2A794A51" w14:textId="249CD367" w:rsidR="002B10D3" w:rsidRPr="00D85A4D" w:rsidRDefault="002B10D3" w:rsidP="00D85A4D">
      <w:pPr>
        <w:pStyle w:val="ListParagraph"/>
        <w:numPr>
          <w:ilvl w:val="0"/>
          <w:numId w:val="5"/>
        </w:numPr>
        <w:spacing w:line="360" w:lineRule="auto"/>
        <w:ind w:left="1491" w:hanging="357"/>
        <w:jc w:val="both"/>
        <w:rPr>
          <w:rFonts w:ascii="Times New Roman" w:hAnsi="Times New Roman" w:cs="Times New Roman"/>
          <w:sz w:val="24"/>
          <w:szCs w:val="24"/>
        </w:rPr>
      </w:pPr>
      <w:r w:rsidRPr="00D85A4D">
        <w:rPr>
          <w:rFonts w:ascii="Times New Roman" w:hAnsi="Times New Roman" w:cs="Times New Roman"/>
          <w:sz w:val="24"/>
          <w:szCs w:val="24"/>
        </w:rPr>
        <w:t>Matter to proceed as unopposed.</w:t>
      </w:r>
    </w:p>
    <w:p w14:paraId="43230A8C" w14:textId="05282CEB" w:rsidR="002B10D3" w:rsidRDefault="002B10D3"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 xml:space="preserve">[ 2] I thereafter proceeded to hear Mr. </w:t>
      </w:r>
      <w:r w:rsidRPr="00D85A4D">
        <w:rPr>
          <w:rFonts w:ascii="Times New Roman" w:hAnsi="Times New Roman" w:cs="Times New Roman"/>
          <w:i/>
          <w:iCs/>
          <w:sz w:val="24"/>
          <w:szCs w:val="24"/>
        </w:rPr>
        <w:t>Patsvani</w:t>
      </w:r>
      <w:r w:rsidRPr="00D85A4D">
        <w:rPr>
          <w:rFonts w:ascii="Times New Roman" w:hAnsi="Times New Roman" w:cs="Times New Roman"/>
          <w:sz w:val="24"/>
          <w:szCs w:val="24"/>
        </w:rPr>
        <w:t xml:space="preserve"> </w:t>
      </w:r>
      <w:r w:rsidR="001B50E6">
        <w:rPr>
          <w:rFonts w:ascii="Times New Roman" w:hAnsi="Times New Roman" w:cs="Times New Roman"/>
          <w:sz w:val="24"/>
          <w:szCs w:val="24"/>
        </w:rPr>
        <w:t>(</w:t>
      </w:r>
      <w:r w:rsidRPr="00D85A4D">
        <w:rPr>
          <w:rFonts w:ascii="Times New Roman" w:hAnsi="Times New Roman" w:cs="Times New Roman"/>
          <w:sz w:val="24"/>
          <w:szCs w:val="24"/>
        </w:rPr>
        <w:t>for applicant</w:t>
      </w:r>
      <w:r w:rsidR="001B50E6">
        <w:rPr>
          <w:rFonts w:ascii="Times New Roman" w:hAnsi="Times New Roman" w:cs="Times New Roman"/>
          <w:sz w:val="24"/>
          <w:szCs w:val="24"/>
        </w:rPr>
        <w:t>)</w:t>
      </w:r>
      <w:r w:rsidRPr="00D85A4D">
        <w:rPr>
          <w:rFonts w:ascii="Times New Roman" w:hAnsi="Times New Roman" w:cs="Times New Roman"/>
          <w:sz w:val="24"/>
          <w:szCs w:val="24"/>
        </w:rPr>
        <w:t xml:space="preserve"> and </w:t>
      </w:r>
      <w:r w:rsidR="001B50E6">
        <w:rPr>
          <w:rFonts w:ascii="Times New Roman" w:hAnsi="Times New Roman" w:cs="Times New Roman"/>
          <w:sz w:val="24"/>
          <w:szCs w:val="24"/>
        </w:rPr>
        <w:t xml:space="preserve">thereafter </w:t>
      </w:r>
      <w:r w:rsidRPr="00D85A4D">
        <w:rPr>
          <w:rFonts w:ascii="Times New Roman" w:hAnsi="Times New Roman" w:cs="Times New Roman"/>
          <w:sz w:val="24"/>
          <w:szCs w:val="24"/>
        </w:rPr>
        <w:t>issued the below order; -</w:t>
      </w:r>
    </w:p>
    <w:p w14:paraId="39BC2099" w14:textId="28D63A10" w:rsidR="00356918" w:rsidRPr="00356918" w:rsidRDefault="00356918" w:rsidP="00356918">
      <w:pPr>
        <w:pStyle w:val="ListParagraph"/>
        <w:numPr>
          <w:ilvl w:val="0"/>
          <w:numId w:val="6"/>
        </w:numPr>
        <w:spacing w:line="360" w:lineRule="auto"/>
        <w:ind w:left="1491" w:hanging="357"/>
        <w:jc w:val="both"/>
        <w:rPr>
          <w:rFonts w:ascii="Times New Roman" w:hAnsi="Times New Roman" w:cs="Times New Roman"/>
          <w:sz w:val="24"/>
          <w:szCs w:val="24"/>
        </w:rPr>
      </w:pPr>
      <w:r w:rsidRPr="00356918">
        <w:rPr>
          <w:rFonts w:ascii="Times New Roman" w:hAnsi="Times New Roman" w:cs="Times New Roman"/>
          <w:sz w:val="24"/>
          <w:szCs w:val="24"/>
        </w:rPr>
        <w:t>The respondents be and are hereby ordered to pay the sum of USD39,000.00 the one paying the other to be absolved, together with interest, calculated at the rate of 20% per annum, calculated from 24 May 2021 to date of payment in full.</w:t>
      </w:r>
    </w:p>
    <w:p w14:paraId="37E165D4" w14:textId="194D8AA6" w:rsidR="00356918" w:rsidRPr="00356918" w:rsidRDefault="00356918" w:rsidP="00356918">
      <w:pPr>
        <w:pStyle w:val="ListParagraph"/>
        <w:numPr>
          <w:ilvl w:val="0"/>
          <w:numId w:val="6"/>
        </w:numPr>
        <w:spacing w:line="360" w:lineRule="auto"/>
        <w:ind w:left="1491" w:hanging="357"/>
        <w:jc w:val="both"/>
        <w:rPr>
          <w:rFonts w:ascii="Times New Roman" w:hAnsi="Times New Roman" w:cs="Times New Roman"/>
          <w:sz w:val="24"/>
          <w:szCs w:val="24"/>
        </w:rPr>
      </w:pPr>
      <w:r w:rsidRPr="00356918">
        <w:rPr>
          <w:rFonts w:ascii="Times New Roman" w:hAnsi="Times New Roman" w:cs="Times New Roman"/>
          <w:sz w:val="24"/>
          <w:szCs w:val="24"/>
        </w:rPr>
        <w:t>The respondents be and are hereby ordered to pay applicant`s costs of suit on the scale of legal practitioner and client.</w:t>
      </w:r>
    </w:p>
    <w:p w14:paraId="6831A460" w14:textId="77777777" w:rsidR="00356918" w:rsidRDefault="00356918" w:rsidP="00D85A4D">
      <w:pPr>
        <w:spacing w:line="360" w:lineRule="auto"/>
        <w:jc w:val="both"/>
        <w:rPr>
          <w:rFonts w:ascii="Times New Roman" w:hAnsi="Times New Roman" w:cs="Times New Roman"/>
          <w:sz w:val="24"/>
          <w:szCs w:val="24"/>
        </w:rPr>
      </w:pPr>
    </w:p>
    <w:p w14:paraId="51252117" w14:textId="77777777" w:rsidR="00356918" w:rsidRPr="00D85A4D" w:rsidRDefault="00356918" w:rsidP="00D85A4D">
      <w:pPr>
        <w:spacing w:line="360" w:lineRule="auto"/>
        <w:jc w:val="both"/>
        <w:rPr>
          <w:rFonts w:ascii="Times New Roman" w:hAnsi="Times New Roman" w:cs="Times New Roman"/>
          <w:sz w:val="24"/>
          <w:szCs w:val="24"/>
        </w:rPr>
      </w:pPr>
    </w:p>
    <w:p w14:paraId="3F6128B4" w14:textId="1B6F31F0" w:rsidR="006E5E44" w:rsidRPr="00D85A4D" w:rsidRDefault="006E5E44"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 xml:space="preserve">REQUEST FOR REASONS FOR A DEFAULT JUDGMENT </w:t>
      </w:r>
    </w:p>
    <w:p w14:paraId="64A66213" w14:textId="7EBF4964" w:rsidR="002B10D3" w:rsidRPr="00D85A4D" w:rsidRDefault="002B10D3"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[ 3] The next day, the respondents` legal practitioners of record addressed a letter to the Registrar communicating the following request; -</w:t>
      </w:r>
    </w:p>
    <w:p w14:paraId="0F914410" w14:textId="7B6D0D22" w:rsidR="002B10D3" w:rsidRPr="00D85A4D" w:rsidRDefault="002B10D3" w:rsidP="00D85A4D">
      <w:pPr>
        <w:pStyle w:val="ListParagraph"/>
        <w:numPr>
          <w:ilvl w:val="0"/>
          <w:numId w:val="3"/>
        </w:numPr>
        <w:spacing w:line="360" w:lineRule="auto"/>
        <w:ind w:left="1491" w:hanging="357"/>
        <w:jc w:val="both"/>
        <w:rPr>
          <w:rFonts w:ascii="Times New Roman" w:hAnsi="Times New Roman" w:cs="Times New Roman"/>
          <w:sz w:val="24"/>
          <w:szCs w:val="24"/>
        </w:rPr>
      </w:pPr>
      <w:r w:rsidRPr="00D85A4D">
        <w:rPr>
          <w:rFonts w:ascii="Times New Roman" w:hAnsi="Times New Roman" w:cs="Times New Roman"/>
          <w:sz w:val="24"/>
          <w:szCs w:val="24"/>
        </w:rPr>
        <w:t>The costs for the order that was issued in the matter on 23 May [ 2024] and the written reasons thereof</w:t>
      </w:r>
    </w:p>
    <w:p w14:paraId="5B69750F" w14:textId="329FF621" w:rsidR="002B10D3" w:rsidRPr="00D85A4D" w:rsidRDefault="002B10D3" w:rsidP="00D85A4D">
      <w:pPr>
        <w:pStyle w:val="ListParagraph"/>
        <w:numPr>
          <w:ilvl w:val="0"/>
          <w:numId w:val="3"/>
        </w:numPr>
        <w:spacing w:line="360" w:lineRule="auto"/>
        <w:ind w:left="1491" w:hanging="357"/>
        <w:jc w:val="both"/>
        <w:rPr>
          <w:rFonts w:ascii="Times New Roman" w:hAnsi="Times New Roman" w:cs="Times New Roman"/>
          <w:sz w:val="24"/>
          <w:szCs w:val="24"/>
        </w:rPr>
      </w:pPr>
      <w:r w:rsidRPr="00D85A4D">
        <w:rPr>
          <w:rFonts w:ascii="Times New Roman" w:hAnsi="Times New Roman" w:cs="Times New Roman"/>
          <w:sz w:val="24"/>
          <w:szCs w:val="24"/>
        </w:rPr>
        <w:t xml:space="preserve">During the proceedings that culminated in the court`s order in question, an application was made on behalf of the respondents for upliftment of the bar that was operating against </w:t>
      </w:r>
      <w:r w:rsidR="006E5E44" w:rsidRPr="00D85A4D">
        <w:rPr>
          <w:rFonts w:ascii="Times New Roman" w:hAnsi="Times New Roman" w:cs="Times New Roman"/>
          <w:sz w:val="24"/>
          <w:szCs w:val="24"/>
        </w:rPr>
        <w:t>them. That application was dismissed. May we also have written reasons thereof.</w:t>
      </w:r>
    </w:p>
    <w:p w14:paraId="506921B4" w14:textId="3DB21AB1" w:rsidR="0061291F" w:rsidRPr="00D85A4D" w:rsidRDefault="006E5E44"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[4] Before addressing the request, I set out the relevant rule that resulted in the bar. The re</w:t>
      </w:r>
      <w:r w:rsidR="00F5499B" w:rsidRPr="00D85A4D">
        <w:rPr>
          <w:rFonts w:ascii="Times New Roman" w:hAnsi="Times New Roman" w:cs="Times New Roman"/>
          <w:sz w:val="24"/>
          <w:szCs w:val="24"/>
        </w:rPr>
        <w:t xml:space="preserve">spondents were </w:t>
      </w:r>
      <w:r w:rsidR="0061291F" w:rsidRPr="00D85A4D">
        <w:rPr>
          <w:rFonts w:ascii="Times New Roman" w:hAnsi="Times New Roman" w:cs="Times New Roman"/>
          <w:sz w:val="24"/>
          <w:szCs w:val="24"/>
        </w:rPr>
        <w:t xml:space="preserve">barred </w:t>
      </w:r>
      <w:r w:rsidR="00F5499B" w:rsidRPr="00D85A4D">
        <w:rPr>
          <w:rFonts w:ascii="Times New Roman" w:hAnsi="Times New Roman" w:cs="Times New Roman"/>
          <w:sz w:val="24"/>
          <w:szCs w:val="24"/>
        </w:rPr>
        <w:t xml:space="preserve">for failure to file heads of </w:t>
      </w:r>
      <w:r w:rsidR="0061291F" w:rsidRPr="00D85A4D">
        <w:rPr>
          <w:rFonts w:ascii="Times New Roman" w:hAnsi="Times New Roman" w:cs="Times New Roman"/>
          <w:sz w:val="24"/>
          <w:szCs w:val="24"/>
        </w:rPr>
        <w:t xml:space="preserve">argument as required by r 36 (2) as read with r 36 (3) of the High Court (Commercial Division) Rules, 2020 SI 123/20 which state thus; </w:t>
      </w:r>
    </w:p>
    <w:p w14:paraId="1F115D4A" w14:textId="77777777" w:rsidR="0061291F" w:rsidRPr="00D85A4D" w:rsidRDefault="0061291F" w:rsidP="00D85A4D">
      <w:pPr>
        <w:spacing w:line="360" w:lineRule="auto"/>
        <w:ind w:left="1134"/>
        <w:jc w:val="both"/>
        <w:rPr>
          <w:rFonts w:ascii="Times New Roman" w:hAnsi="Times New Roman" w:cs="Times New Roman"/>
          <w:sz w:val="24"/>
          <w:szCs w:val="24"/>
        </w:rPr>
      </w:pPr>
      <w:r w:rsidRPr="00D85A4D">
        <w:rPr>
          <w:rFonts w:ascii="Times New Roman" w:hAnsi="Times New Roman" w:cs="Times New Roman"/>
          <w:sz w:val="24"/>
          <w:szCs w:val="24"/>
        </w:rPr>
        <w:t>36 (2) Where an application, exception or application to strike out has been set down for hearing in terms of Rule 223 subrule (2)</w:t>
      </w:r>
      <w:r w:rsidRPr="00D85A4D">
        <w:rPr>
          <w:rStyle w:val="FootnoteReference"/>
          <w:rFonts w:ascii="Times New Roman" w:hAnsi="Times New Roman" w:cs="Times New Roman"/>
          <w:sz w:val="24"/>
          <w:szCs w:val="24"/>
        </w:rPr>
        <w:footnoteReference w:id="1"/>
      </w:r>
      <w:r w:rsidRPr="00D85A4D">
        <w:rPr>
          <w:rFonts w:ascii="Times New Roman" w:hAnsi="Times New Roman" w:cs="Times New Roman"/>
          <w:sz w:val="24"/>
          <w:szCs w:val="24"/>
        </w:rPr>
        <w:t xml:space="preserve"> and any respondent is to be represented at the hearing by a legal practitioner—</w:t>
      </w:r>
    </w:p>
    <w:p w14:paraId="15FA2B98" w14:textId="77777777" w:rsidR="0061291F" w:rsidRPr="00D85A4D" w:rsidRDefault="0061291F" w:rsidP="00D85A4D">
      <w:pPr>
        <w:spacing w:line="360" w:lineRule="auto"/>
        <w:ind w:left="1134"/>
        <w:jc w:val="both"/>
        <w:rPr>
          <w:rFonts w:ascii="Times New Roman" w:hAnsi="Times New Roman" w:cs="Times New Roman"/>
          <w:sz w:val="24"/>
          <w:szCs w:val="24"/>
        </w:rPr>
      </w:pPr>
      <w:r w:rsidRPr="00D85A4D">
        <w:rPr>
          <w:rFonts w:ascii="Times New Roman" w:hAnsi="Times New Roman" w:cs="Times New Roman"/>
          <w:sz w:val="24"/>
          <w:szCs w:val="24"/>
        </w:rPr>
        <w:t xml:space="preserve"> (a) he or she shall file with the registrar, within ten (10) of the delivery of the applicant’s heads of argument, his or her own heads of argument clearly outlining the submissions relied upon by him or her and setting out the authorities, if any, which he or she intends to cite; and</w:t>
      </w:r>
    </w:p>
    <w:p w14:paraId="45067FAE" w14:textId="77777777" w:rsidR="0061291F" w:rsidRPr="00D85A4D" w:rsidRDefault="0061291F" w:rsidP="00D85A4D">
      <w:pPr>
        <w:spacing w:line="360" w:lineRule="auto"/>
        <w:ind w:left="1134"/>
        <w:jc w:val="both"/>
        <w:rPr>
          <w:rFonts w:ascii="Times New Roman" w:hAnsi="Times New Roman" w:cs="Times New Roman"/>
          <w:sz w:val="24"/>
          <w:szCs w:val="24"/>
        </w:rPr>
      </w:pPr>
      <w:r w:rsidRPr="00D85A4D">
        <w:rPr>
          <w:rFonts w:ascii="Times New Roman" w:hAnsi="Times New Roman" w:cs="Times New Roman"/>
          <w:sz w:val="24"/>
          <w:szCs w:val="24"/>
        </w:rPr>
        <w:t xml:space="preserve"> (b) immediately thereafter deliver a copy of the heads of argument to every other party; and</w:t>
      </w:r>
    </w:p>
    <w:p w14:paraId="7C496AE5" w14:textId="77777777" w:rsidR="0061291F" w:rsidRPr="00D85A4D" w:rsidRDefault="0061291F" w:rsidP="00D85A4D">
      <w:pPr>
        <w:spacing w:line="360" w:lineRule="auto"/>
        <w:ind w:left="1134"/>
        <w:jc w:val="both"/>
        <w:rPr>
          <w:rFonts w:ascii="Times New Roman" w:hAnsi="Times New Roman" w:cs="Times New Roman"/>
          <w:sz w:val="24"/>
          <w:szCs w:val="24"/>
        </w:rPr>
      </w:pPr>
      <w:r w:rsidRPr="00D85A4D">
        <w:rPr>
          <w:rFonts w:ascii="Times New Roman" w:hAnsi="Times New Roman" w:cs="Times New Roman"/>
          <w:sz w:val="24"/>
          <w:szCs w:val="24"/>
        </w:rPr>
        <w:t xml:space="preserve"> (c) thereafter file a certificate of service in Form No. CC 13, within twenty-four (24) hours thereof. </w:t>
      </w:r>
    </w:p>
    <w:p w14:paraId="3F079D0F" w14:textId="7285397A" w:rsidR="00D85A4D" w:rsidRPr="00D85A4D" w:rsidRDefault="0061291F" w:rsidP="00D85A4D">
      <w:pPr>
        <w:spacing w:line="360" w:lineRule="auto"/>
        <w:ind w:left="1134"/>
        <w:jc w:val="both"/>
        <w:rPr>
          <w:rFonts w:ascii="Times New Roman" w:hAnsi="Times New Roman" w:cs="Times New Roman"/>
          <w:sz w:val="24"/>
          <w:szCs w:val="24"/>
        </w:rPr>
      </w:pPr>
      <w:r w:rsidRPr="00D85A4D">
        <w:rPr>
          <w:rFonts w:ascii="Times New Roman" w:hAnsi="Times New Roman" w:cs="Times New Roman"/>
          <w:sz w:val="24"/>
          <w:szCs w:val="24"/>
        </w:rPr>
        <w:t xml:space="preserve">(3) Where a respondent fails to file heads of argument as required in terms of this rule, he or she shall be barred and </w:t>
      </w:r>
      <w:r w:rsidRPr="00D85A4D">
        <w:rPr>
          <w:rFonts w:ascii="Times New Roman" w:hAnsi="Times New Roman" w:cs="Times New Roman"/>
          <w:sz w:val="24"/>
          <w:szCs w:val="24"/>
          <w:u w:val="single"/>
        </w:rPr>
        <w:t>the court or judge may deal with the matter on the merits or direct that it be set down for hearing on the unopposed roll.</w:t>
      </w:r>
    </w:p>
    <w:p w14:paraId="1448BD8C" w14:textId="2B6D147A" w:rsidR="009B0A3D" w:rsidRPr="00D85A4D" w:rsidRDefault="006E5E44"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lastRenderedPageBreak/>
        <w:t xml:space="preserve">[ </w:t>
      </w:r>
      <w:r w:rsidR="009B0A3D" w:rsidRPr="00D85A4D">
        <w:rPr>
          <w:rFonts w:ascii="Times New Roman" w:hAnsi="Times New Roman" w:cs="Times New Roman"/>
          <w:sz w:val="24"/>
          <w:szCs w:val="24"/>
        </w:rPr>
        <w:t xml:space="preserve">5] In terms of the underlined part of r 36 (3), I proceeded to deal with the matter as unopposed. Although Mr. </w:t>
      </w:r>
      <w:r w:rsidR="009B0A3D" w:rsidRPr="002432DB">
        <w:rPr>
          <w:rFonts w:ascii="Times New Roman" w:hAnsi="Times New Roman" w:cs="Times New Roman"/>
          <w:i/>
          <w:iCs/>
          <w:sz w:val="24"/>
          <w:szCs w:val="24"/>
        </w:rPr>
        <w:t>Nyahuma</w:t>
      </w:r>
      <w:r w:rsidR="009B0A3D" w:rsidRPr="00D85A4D">
        <w:rPr>
          <w:rFonts w:ascii="Times New Roman" w:hAnsi="Times New Roman" w:cs="Times New Roman"/>
          <w:sz w:val="24"/>
          <w:szCs w:val="24"/>
        </w:rPr>
        <w:t xml:space="preserve"> remained in the virtual hearing, he was no longer participant. The court had non-suited his clients and as an old adage goes, “had withdrawn its ears”. The matter proceeded as a default judgment. </w:t>
      </w:r>
    </w:p>
    <w:p w14:paraId="1D6A0667" w14:textId="3A1555A4" w:rsidR="009B0A3D" w:rsidRPr="00D85A4D" w:rsidRDefault="009B0A3D"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 xml:space="preserve">[ 6] In that respect, the written request for reasons for issuance of the order </w:t>
      </w:r>
      <w:r w:rsidR="001B50E6">
        <w:rPr>
          <w:rFonts w:ascii="Times New Roman" w:hAnsi="Times New Roman" w:cs="Times New Roman"/>
          <w:sz w:val="24"/>
          <w:szCs w:val="24"/>
        </w:rPr>
        <w:t xml:space="preserve">in default </w:t>
      </w:r>
      <w:r w:rsidRPr="00D85A4D">
        <w:rPr>
          <w:rFonts w:ascii="Times New Roman" w:hAnsi="Times New Roman" w:cs="Times New Roman"/>
          <w:sz w:val="24"/>
          <w:szCs w:val="24"/>
        </w:rPr>
        <w:t xml:space="preserve">becomes misplaced. I can do no more that refer to the remarks of GWAUNZA DCJ in </w:t>
      </w:r>
      <w:r w:rsidRPr="002432DB">
        <w:rPr>
          <w:rFonts w:ascii="Times New Roman" w:hAnsi="Times New Roman" w:cs="Times New Roman"/>
          <w:i/>
          <w:iCs/>
          <w:sz w:val="24"/>
          <w:szCs w:val="24"/>
        </w:rPr>
        <w:t>Chaza v Chawareva &amp; Anor</w:t>
      </w:r>
      <w:r w:rsidRPr="00D85A4D">
        <w:rPr>
          <w:rFonts w:ascii="Times New Roman" w:hAnsi="Times New Roman" w:cs="Times New Roman"/>
          <w:sz w:val="24"/>
          <w:szCs w:val="24"/>
        </w:rPr>
        <w:t xml:space="preserve"> SC 2-18 </w:t>
      </w:r>
      <w:r w:rsidR="00D85A4D" w:rsidRPr="00D85A4D">
        <w:rPr>
          <w:rFonts w:ascii="Times New Roman" w:hAnsi="Times New Roman" w:cs="Times New Roman"/>
          <w:sz w:val="24"/>
          <w:szCs w:val="24"/>
        </w:rPr>
        <w:t>to the following effect; -</w:t>
      </w:r>
    </w:p>
    <w:p w14:paraId="11D884D8" w14:textId="3A6D15C1" w:rsidR="00D85A4D" w:rsidRDefault="00D85A4D" w:rsidP="00D85A4D">
      <w:pPr>
        <w:spacing w:after="0" w:line="360" w:lineRule="auto"/>
        <w:ind w:left="1134"/>
        <w:contextualSpacing/>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Pr="00D85A4D">
        <w:rPr>
          <w:rFonts w:ascii="Times New Roman" w:eastAsia="Calibri" w:hAnsi="Times New Roman" w:cs="Times New Roman"/>
          <w:kern w:val="0"/>
          <w:sz w:val="24"/>
          <w:szCs w:val="24"/>
          <w:lang w:val="en-US"/>
          <w14:ligatures w14:val="none"/>
        </w:rPr>
        <w:t xml:space="preserve">She submitted that consideration by the court </w:t>
      </w:r>
      <w:r w:rsidRPr="00D85A4D">
        <w:rPr>
          <w:rFonts w:ascii="Times New Roman" w:eastAsia="Calibri" w:hAnsi="Times New Roman" w:cs="Times New Roman"/>
          <w:i/>
          <w:kern w:val="0"/>
          <w:sz w:val="24"/>
          <w:szCs w:val="24"/>
          <w:lang w:val="en-US"/>
          <w14:ligatures w14:val="none"/>
        </w:rPr>
        <w:t>a</w:t>
      </w:r>
      <w:r w:rsidRPr="00D85A4D">
        <w:rPr>
          <w:rFonts w:ascii="Times New Roman" w:eastAsia="Calibri" w:hAnsi="Times New Roman" w:cs="Times New Roman"/>
          <w:kern w:val="0"/>
          <w:sz w:val="24"/>
          <w:szCs w:val="24"/>
          <w:lang w:val="en-US"/>
          <w14:ligatures w14:val="none"/>
        </w:rPr>
        <w:t xml:space="preserve"> </w:t>
      </w:r>
      <w:r w:rsidRPr="00D85A4D">
        <w:rPr>
          <w:rFonts w:ascii="Times New Roman" w:eastAsia="Calibri" w:hAnsi="Times New Roman" w:cs="Times New Roman"/>
          <w:i/>
          <w:kern w:val="0"/>
          <w:sz w:val="24"/>
          <w:szCs w:val="24"/>
          <w:lang w:val="en-US"/>
          <w14:ligatures w14:val="none"/>
        </w:rPr>
        <w:t xml:space="preserve">quo </w:t>
      </w:r>
      <w:r w:rsidRPr="00D85A4D">
        <w:rPr>
          <w:rFonts w:ascii="Times New Roman" w:eastAsia="Calibri" w:hAnsi="Times New Roman" w:cs="Times New Roman"/>
          <w:kern w:val="0"/>
          <w:sz w:val="24"/>
          <w:szCs w:val="24"/>
          <w:lang w:val="en-US"/>
          <w14:ligatures w14:val="none"/>
        </w:rPr>
        <w:t xml:space="preserve">of the merits of the matter, did not alter the legal position, that in fact the judgment </w:t>
      </w:r>
      <w:r w:rsidRPr="00D85A4D">
        <w:rPr>
          <w:rFonts w:ascii="Times New Roman" w:eastAsia="Calibri" w:hAnsi="Times New Roman" w:cs="Times New Roman"/>
          <w:i/>
          <w:kern w:val="0"/>
          <w:sz w:val="24"/>
          <w:szCs w:val="24"/>
          <w:lang w:val="en-US"/>
          <w14:ligatures w14:val="none"/>
        </w:rPr>
        <w:t>a</w:t>
      </w:r>
      <w:r w:rsidRPr="00D85A4D">
        <w:rPr>
          <w:rFonts w:ascii="Times New Roman" w:eastAsia="Calibri" w:hAnsi="Times New Roman" w:cs="Times New Roman"/>
          <w:kern w:val="0"/>
          <w:sz w:val="24"/>
          <w:szCs w:val="24"/>
          <w:lang w:val="en-US"/>
          <w14:ligatures w14:val="none"/>
        </w:rPr>
        <w:t xml:space="preserve"> </w:t>
      </w:r>
      <w:r w:rsidRPr="00D85A4D">
        <w:rPr>
          <w:rFonts w:ascii="Times New Roman" w:eastAsia="Calibri" w:hAnsi="Times New Roman" w:cs="Times New Roman"/>
          <w:i/>
          <w:kern w:val="0"/>
          <w:sz w:val="24"/>
          <w:szCs w:val="24"/>
          <w:lang w:val="en-US"/>
          <w14:ligatures w14:val="none"/>
        </w:rPr>
        <w:t xml:space="preserve">quo </w:t>
      </w:r>
      <w:r w:rsidRPr="00D85A4D">
        <w:rPr>
          <w:rFonts w:ascii="Times New Roman" w:eastAsia="Calibri" w:hAnsi="Times New Roman" w:cs="Times New Roman"/>
          <w:kern w:val="0"/>
          <w:sz w:val="24"/>
          <w:szCs w:val="24"/>
          <w:lang w:val="en-US"/>
          <w14:ligatures w14:val="none"/>
        </w:rPr>
        <w:t>was given in default.</w:t>
      </w:r>
      <w:r w:rsidRPr="00D85A4D">
        <w:rPr>
          <w:rFonts w:ascii="Times New Roman" w:eastAsia="Calibri" w:hAnsi="Times New Roman" w:cs="Times New Roman"/>
          <w:i/>
          <w:kern w:val="0"/>
          <w:sz w:val="24"/>
          <w:szCs w:val="24"/>
          <w:lang w:val="en-US"/>
          <w14:ligatures w14:val="none"/>
        </w:rPr>
        <w:t xml:space="preserve"> </w:t>
      </w:r>
      <w:r w:rsidRPr="00D85A4D">
        <w:rPr>
          <w:rFonts w:ascii="Times New Roman" w:eastAsia="Calibri" w:hAnsi="Times New Roman" w:cs="Times New Roman"/>
          <w:kern w:val="0"/>
          <w:sz w:val="24"/>
          <w:szCs w:val="24"/>
          <w:lang w:val="en-US"/>
          <w14:ligatures w14:val="none"/>
        </w:rPr>
        <w:t xml:space="preserve">Counsel relied for these contentions on a judgment of this court, </w:t>
      </w:r>
      <w:r w:rsidRPr="00D85A4D">
        <w:rPr>
          <w:rFonts w:ascii="Times New Roman" w:eastAsia="Calibri" w:hAnsi="Times New Roman" w:cs="Times New Roman"/>
          <w:i/>
          <w:kern w:val="0"/>
          <w:sz w:val="24"/>
          <w:szCs w:val="24"/>
          <w:lang w:val="en-US"/>
          <w14:ligatures w14:val="none"/>
        </w:rPr>
        <w:t xml:space="preserve">Zvinavashe v Ndlovu </w:t>
      </w:r>
      <w:r w:rsidRPr="00D85A4D">
        <w:rPr>
          <w:rFonts w:ascii="Times New Roman" w:eastAsia="Calibri" w:hAnsi="Times New Roman" w:cs="Times New Roman"/>
          <w:kern w:val="0"/>
          <w:sz w:val="24"/>
          <w:szCs w:val="24"/>
          <w:lang w:val="en-US"/>
          <w14:ligatures w14:val="none"/>
        </w:rPr>
        <w:t>2006 (2) ZLR 372 (S)</w:t>
      </w:r>
      <w:r w:rsidRPr="00D85A4D">
        <w:rPr>
          <w:rFonts w:ascii="Times New Roman" w:eastAsia="Calibri" w:hAnsi="Times New Roman" w:cs="Times New Roman"/>
          <w:i/>
          <w:kern w:val="0"/>
          <w:sz w:val="24"/>
          <w:szCs w:val="24"/>
          <w:lang w:val="en-US"/>
          <w14:ligatures w14:val="none"/>
        </w:rPr>
        <w:t xml:space="preserve"> </w:t>
      </w:r>
      <w:r w:rsidRPr="00D85A4D">
        <w:rPr>
          <w:rFonts w:ascii="Times New Roman" w:eastAsia="Calibri" w:hAnsi="Times New Roman" w:cs="Times New Roman"/>
          <w:kern w:val="0"/>
          <w:sz w:val="24"/>
          <w:szCs w:val="24"/>
          <w:lang w:val="en-US"/>
          <w14:ligatures w14:val="none"/>
        </w:rPr>
        <w:t>where the following was stated at pg 375;</w:t>
      </w:r>
    </w:p>
    <w:p w14:paraId="5351C2C2" w14:textId="42F6D1B9" w:rsidR="00D85A4D" w:rsidRDefault="00D85A4D" w:rsidP="00D85A4D">
      <w:pPr>
        <w:spacing w:after="0" w:line="360" w:lineRule="auto"/>
        <w:ind w:left="1134"/>
        <w:contextualSpacing/>
        <w:jc w:val="both"/>
        <w:rPr>
          <w:rFonts w:ascii="Times New Roman" w:eastAsia="Calibri" w:hAnsi="Times New Roman" w:cs="Times New Roman"/>
          <w:kern w:val="0"/>
          <w:sz w:val="24"/>
          <w:szCs w:val="24"/>
          <w:lang w:val="en-US"/>
          <w14:ligatures w14:val="none"/>
        </w:rPr>
      </w:pPr>
      <w:r w:rsidRPr="00D85A4D">
        <w:rPr>
          <w:rFonts w:ascii="Times New Roman" w:eastAsia="Calibri" w:hAnsi="Times New Roman" w:cs="Times New Roman"/>
          <w:kern w:val="0"/>
          <w:sz w:val="24"/>
          <w:szCs w:val="24"/>
          <w:lang w:val="en-US"/>
          <w14:ligatures w14:val="none"/>
        </w:rPr>
        <w:t xml:space="preserve"> “for the avoidance of doubt, it is declared that the giving of reasons for the default judgment in question by the court </w:t>
      </w:r>
      <w:r w:rsidRPr="00D85A4D">
        <w:rPr>
          <w:rFonts w:ascii="Times New Roman" w:eastAsia="Calibri" w:hAnsi="Times New Roman" w:cs="Times New Roman"/>
          <w:i/>
          <w:kern w:val="0"/>
          <w:sz w:val="24"/>
          <w:szCs w:val="24"/>
          <w:lang w:val="en-US"/>
          <w14:ligatures w14:val="none"/>
        </w:rPr>
        <w:t xml:space="preserve">a quo </w:t>
      </w:r>
      <w:r w:rsidRPr="00D85A4D">
        <w:rPr>
          <w:rFonts w:ascii="Times New Roman" w:eastAsia="Calibri" w:hAnsi="Times New Roman" w:cs="Times New Roman"/>
          <w:kern w:val="0"/>
          <w:sz w:val="24"/>
          <w:szCs w:val="24"/>
          <w:lang w:val="en-US"/>
          <w14:ligatures w14:val="none"/>
        </w:rPr>
        <w:t xml:space="preserve">was unnecessary and consequently of no force or effect.  It does not convert the default judgment into a judgment on the merits”. </w:t>
      </w:r>
    </w:p>
    <w:p w14:paraId="3E22432A" w14:textId="0039591C" w:rsidR="00D85A4D" w:rsidRPr="00D85A4D" w:rsidRDefault="00D85A4D" w:rsidP="00D85A4D">
      <w:pPr>
        <w:spacing w:line="360" w:lineRule="auto"/>
        <w:ind w:left="1134"/>
        <w:jc w:val="both"/>
        <w:rPr>
          <w:rFonts w:ascii="Times New Roman" w:hAnsi="Times New Roman" w:cs="Times New Roman"/>
          <w:sz w:val="24"/>
          <w:szCs w:val="24"/>
        </w:rPr>
      </w:pPr>
      <w:r w:rsidRPr="00D85A4D">
        <w:rPr>
          <w:rFonts w:ascii="Times New Roman" w:eastAsia="Calibri" w:hAnsi="Times New Roman" w:cs="Times New Roman"/>
          <w:kern w:val="0"/>
          <w:sz w:val="24"/>
          <w:szCs w:val="24"/>
          <w:lang w:val="en-US"/>
          <w14:ligatures w14:val="none"/>
        </w:rPr>
        <w:t>None of the authorities cited by the appellant contradict this position.   Since it was a default judgment</w:t>
      </w:r>
      <w:r w:rsidRPr="00D85A4D">
        <w:rPr>
          <w:rFonts w:ascii="Times New Roman" w:eastAsia="Calibri" w:hAnsi="Times New Roman" w:cs="Times New Roman"/>
          <w:kern w:val="0"/>
          <w:sz w:val="24"/>
          <w:szCs w:val="24"/>
          <w:u w:val="single"/>
          <w:lang w:val="en-US"/>
          <w14:ligatures w14:val="none"/>
        </w:rPr>
        <w:t xml:space="preserve">, the proper course of action was for the appellant to have obtained a rescission thereof in the court </w:t>
      </w:r>
      <w:r w:rsidRPr="00D85A4D">
        <w:rPr>
          <w:rFonts w:ascii="Times New Roman" w:eastAsia="Calibri" w:hAnsi="Times New Roman" w:cs="Times New Roman"/>
          <w:i/>
          <w:kern w:val="0"/>
          <w:sz w:val="24"/>
          <w:szCs w:val="24"/>
          <w:u w:val="single"/>
          <w:lang w:val="en-US"/>
          <w14:ligatures w14:val="none"/>
        </w:rPr>
        <w:t>a quo.</w:t>
      </w:r>
      <w:r w:rsidRPr="00D85A4D">
        <w:rPr>
          <w:rFonts w:ascii="Times New Roman" w:eastAsia="Calibri" w:hAnsi="Times New Roman" w:cs="Times New Roman"/>
          <w:kern w:val="0"/>
          <w:sz w:val="24"/>
          <w:szCs w:val="24"/>
          <w:lang w:val="en-US"/>
          <w14:ligatures w14:val="none"/>
        </w:rPr>
        <w:t xml:space="preserve"> Accordingly, this matter is not properly before us and it is our unanimous view that it should be struck off the roll.</w:t>
      </w:r>
      <w:r>
        <w:rPr>
          <w:rFonts w:ascii="Times New Roman" w:eastAsia="Calibri" w:hAnsi="Times New Roman" w:cs="Times New Roman"/>
          <w:kern w:val="0"/>
          <w:sz w:val="24"/>
          <w:szCs w:val="24"/>
          <w:lang w:val="en-US"/>
          <w14:ligatures w14:val="none"/>
        </w:rPr>
        <w:t>”</w:t>
      </w:r>
    </w:p>
    <w:p w14:paraId="33599E37" w14:textId="7AA83DDD" w:rsidR="006E5E44" w:rsidRPr="00D85A4D" w:rsidRDefault="002432DB"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85A4D">
        <w:rPr>
          <w:rFonts w:ascii="Times New Roman" w:hAnsi="Times New Roman" w:cs="Times New Roman"/>
          <w:sz w:val="24"/>
          <w:szCs w:val="24"/>
        </w:rPr>
        <w:t>APPLICATION FOR UPLIFTMENT OF BAR</w:t>
      </w:r>
    </w:p>
    <w:p w14:paraId="10F13B67" w14:textId="446593A9" w:rsidR="006E46D1" w:rsidRDefault="007B5D67" w:rsidP="00D85A4D">
      <w:pPr>
        <w:spacing w:line="360" w:lineRule="auto"/>
        <w:jc w:val="both"/>
        <w:rPr>
          <w:rFonts w:ascii="Times New Roman" w:hAnsi="Times New Roman" w:cs="Times New Roman"/>
          <w:sz w:val="24"/>
          <w:szCs w:val="24"/>
        </w:rPr>
      </w:pPr>
      <w:r w:rsidRPr="00D85A4D">
        <w:rPr>
          <w:rFonts w:ascii="Times New Roman" w:hAnsi="Times New Roman" w:cs="Times New Roman"/>
          <w:sz w:val="24"/>
          <w:szCs w:val="24"/>
        </w:rPr>
        <w:t>[</w:t>
      </w:r>
      <w:r w:rsidR="006E46D1">
        <w:rPr>
          <w:rFonts w:ascii="Times New Roman" w:hAnsi="Times New Roman" w:cs="Times New Roman"/>
          <w:sz w:val="24"/>
          <w:szCs w:val="24"/>
        </w:rPr>
        <w:t>7</w:t>
      </w:r>
      <w:r w:rsidRPr="00D85A4D">
        <w:rPr>
          <w:rFonts w:ascii="Times New Roman" w:hAnsi="Times New Roman" w:cs="Times New Roman"/>
          <w:sz w:val="24"/>
          <w:szCs w:val="24"/>
        </w:rPr>
        <w:t xml:space="preserve">] </w:t>
      </w:r>
      <w:r w:rsidR="000A3326">
        <w:rPr>
          <w:rFonts w:ascii="Times New Roman" w:hAnsi="Times New Roman" w:cs="Times New Roman"/>
          <w:sz w:val="24"/>
          <w:szCs w:val="24"/>
        </w:rPr>
        <w:t xml:space="preserve">I will now furnish the reasons for dismissing the application for upliftment of the bar. </w:t>
      </w:r>
      <w:r w:rsidRPr="00D85A4D">
        <w:rPr>
          <w:rFonts w:ascii="Times New Roman" w:hAnsi="Times New Roman" w:cs="Times New Roman"/>
          <w:sz w:val="24"/>
          <w:szCs w:val="24"/>
        </w:rPr>
        <w:t xml:space="preserve">Mr. </w:t>
      </w:r>
      <w:r w:rsidRPr="002432DB">
        <w:rPr>
          <w:rFonts w:ascii="Times New Roman" w:hAnsi="Times New Roman" w:cs="Times New Roman"/>
          <w:i/>
          <w:iCs/>
          <w:sz w:val="24"/>
          <w:szCs w:val="24"/>
        </w:rPr>
        <w:t xml:space="preserve">Nyahuma </w:t>
      </w:r>
      <w:r w:rsidRPr="00D85A4D">
        <w:rPr>
          <w:rFonts w:ascii="Times New Roman" w:hAnsi="Times New Roman" w:cs="Times New Roman"/>
          <w:sz w:val="24"/>
          <w:szCs w:val="24"/>
        </w:rPr>
        <w:t>for the respondents moved th</w:t>
      </w:r>
      <w:r w:rsidR="000A3326">
        <w:rPr>
          <w:rFonts w:ascii="Times New Roman" w:hAnsi="Times New Roman" w:cs="Times New Roman"/>
          <w:sz w:val="24"/>
          <w:szCs w:val="24"/>
        </w:rPr>
        <w:t xml:space="preserve">at application from </w:t>
      </w:r>
      <w:r w:rsidRPr="00D85A4D">
        <w:rPr>
          <w:rFonts w:ascii="Times New Roman" w:hAnsi="Times New Roman" w:cs="Times New Roman"/>
          <w:sz w:val="24"/>
          <w:szCs w:val="24"/>
        </w:rPr>
        <w:t xml:space="preserve">the bar. His prayer and basis thereof </w:t>
      </w:r>
      <w:r w:rsidR="002432DB">
        <w:rPr>
          <w:rFonts w:ascii="Times New Roman" w:hAnsi="Times New Roman" w:cs="Times New Roman"/>
          <w:sz w:val="24"/>
          <w:szCs w:val="24"/>
        </w:rPr>
        <w:t>w</w:t>
      </w:r>
      <w:r w:rsidR="001B50E6">
        <w:rPr>
          <w:rFonts w:ascii="Times New Roman" w:hAnsi="Times New Roman" w:cs="Times New Roman"/>
          <w:sz w:val="24"/>
          <w:szCs w:val="24"/>
        </w:rPr>
        <w:t xml:space="preserve">ere quite </w:t>
      </w:r>
      <w:r w:rsidR="00F25B7B" w:rsidRPr="00D85A4D">
        <w:rPr>
          <w:rFonts w:ascii="Times New Roman" w:hAnsi="Times New Roman" w:cs="Times New Roman"/>
          <w:sz w:val="24"/>
          <w:szCs w:val="24"/>
        </w:rPr>
        <w:t>clear.</w:t>
      </w:r>
      <w:r w:rsidR="00F25B7B">
        <w:rPr>
          <w:rFonts w:ascii="Times New Roman" w:hAnsi="Times New Roman" w:cs="Times New Roman"/>
          <w:sz w:val="24"/>
          <w:szCs w:val="24"/>
        </w:rPr>
        <w:t xml:space="preserve"> Firstly</w:t>
      </w:r>
      <w:r w:rsidR="006E46D1">
        <w:rPr>
          <w:rFonts w:ascii="Times New Roman" w:hAnsi="Times New Roman" w:cs="Times New Roman"/>
          <w:sz w:val="24"/>
          <w:szCs w:val="24"/>
        </w:rPr>
        <w:t xml:space="preserve">, counsel </w:t>
      </w:r>
      <w:r w:rsidR="006E46D1" w:rsidRPr="00D85A4D">
        <w:rPr>
          <w:rFonts w:ascii="Times New Roman" w:hAnsi="Times New Roman" w:cs="Times New Roman"/>
          <w:sz w:val="24"/>
          <w:szCs w:val="24"/>
        </w:rPr>
        <w:t>commendably</w:t>
      </w:r>
      <w:r w:rsidRPr="00D85A4D">
        <w:rPr>
          <w:rFonts w:ascii="Times New Roman" w:hAnsi="Times New Roman" w:cs="Times New Roman"/>
          <w:sz w:val="24"/>
          <w:szCs w:val="24"/>
        </w:rPr>
        <w:t xml:space="preserve"> assumed full responsibility for </w:t>
      </w:r>
      <w:r w:rsidR="00F25B7B">
        <w:rPr>
          <w:rFonts w:ascii="Times New Roman" w:hAnsi="Times New Roman" w:cs="Times New Roman"/>
          <w:sz w:val="24"/>
          <w:szCs w:val="24"/>
        </w:rPr>
        <w:t>the breach of the rules</w:t>
      </w:r>
      <w:r w:rsidR="001B50E6">
        <w:rPr>
          <w:rFonts w:ascii="Times New Roman" w:hAnsi="Times New Roman" w:cs="Times New Roman"/>
          <w:sz w:val="24"/>
          <w:szCs w:val="24"/>
        </w:rPr>
        <w:t xml:space="preserve"> that led to the bar</w:t>
      </w:r>
      <w:r w:rsidR="00F25B7B">
        <w:rPr>
          <w:rFonts w:ascii="Times New Roman" w:hAnsi="Times New Roman" w:cs="Times New Roman"/>
          <w:sz w:val="24"/>
          <w:szCs w:val="24"/>
        </w:rPr>
        <w:t xml:space="preserve">. </w:t>
      </w:r>
      <w:r w:rsidR="000A3326">
        <w:rPr>
          <w:rFonts w:ascii="Times New Roman" w:hAnsi="Times New Roman" w:cs="Times New Roman"/>
          <w:sz w:val="24"/>
          <w:szCs w:val="24"/>
        </w:rPr>
        <w:t xml:space="preserve">He admitted to being </w:t>
      </w:r>
      <w:r w:rsidR="00F25B7B">
        <w:rPr>
          <w:rFonts w:ascii="Times New Roman" w:hAnsi="Times New Roman" w:cs="Times New Roman"/>
          <w:sz w:val="24"/>
          <w:szCs w:val="24"/>
        </w:rPr>
        <w:t xml:space="preserve">entirely </w:t>
      </w:r>
      <w:r w:rsidR="000A3326">
        <w:rPr>
          <w:rFonts w:ascii="Times New Roman" w:hAnsi="Times New Roman" w:cs="Times New Roman"/>
          <w:sz w:val="24"/>
          <w:szCs w:val="24"/>
        </w:rPr>
        <w:t>liable for failure to file heads of argument</w:t>
      </w:r>
      <w:r w:rsidR="0068621E" w:rsidRPr="00D85A4D">
        <w:rPr>
          <w:rFonts w:ascii="Times New Roman" w:hAnsi="Times New Roman" w:cs="Times New Roman"/>
          <w:sz w:val="24"/>
          <w:szCs w:val="24"/>
        </w:rPr>
        <w:t>.</w:t>
      </w:r>
      <w:r w:rsidR="0068621E">
        <w:rPr>
          <w:rFonts w:ascii="Times New Roman" w:hAnsi="Times New Roman" w:cs="Times New Roman"/>
          <w:sz w:val="24"/>
          <w:szCs w:val="24"/>
        </w:rPr>
        <w:t xml:space="preserve"> He stated that he had “somehow missed the notification”.</w:t>
      </w:r>
    </w:p>
    <w:p w14:paraId="375CCD28" w14:textId="35E8C973" w:rsidR="006E46D1" w:rsidRDefault="006E46D1"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sidRPr="00D85A4D">
        <w:rPr>
          <w:rFonts w:ascii="Times New Roman" w:hAnsi="Times New Roman" w:cs="Times New Roman"/>
          <w:sz w:val="24"/>
          <w:szCs w:val="24"/>
        </w:rPr>
        <w:t>In</w:t>
      </w:r>
      <w:r w:rsidR="007B5D67" w:rsidRPr="00D85A4D">
        <w:rPr>
          <w:rFonts w:ascii="Times New Roman" w:hAnsi="Times New Roman" w:cs="Times New Roman"/>
          <w:sz w:val="24"/>
          <w:szCs w:val="24"/>
        </w:rPr>
        <w:t xml:space="preserve"> doing so, counsel did not, </w:t>
      </w:r>
      <w:r w:rsidR="00D85A4D" w:rsidRPr="00D85A4D">
        <w:rPr>
          <w:rFonts w:ascii="Times New Roman" w:hAnsi="Times New Roman" w:cs="Times New Roman"/>
          <w:sz w:val="24"/>
          <w:szCs w:val="24"/>
        </w:rPr>
        <w:t>however take</w:t>
      </w:r>
      <w:r w:rsidR="007B5D67" w:rsidRPr="00D85A4D">
        <w:rPr>
          <w:rFonts w:ascii="Times New Roman" w:hAnsi="Times New Roman" w:cs="Times New Roman"/>
          <w:sz w:val="24"/>
          <w:szCs w:val="24"/>
        </w:rPr>
        <w:t xml:space="preserve"> the court into confidence to </w:t>
      </w:r>
      <w:r>
        <w:rPr>
          <w:rFonts w:ascii="Times New Roman" w:hAnsi="Times New Roman" w:cs="Times New Roman"/>
          <w:sz w:val="24"/>
          <w:szCs w:val="24"/>
        </w:rPr>
        <w:t xml:space="preserve">disclose what it is that had caused the mishap. Was it sheer inadvertence caused possibly by pressure of work? Or </w:t>
      </w:r>
      <w:r w:rsidR="000A3326">
        <w:rPr>
          <w:rFonts w:ascii="Times New Roman" w:hAnsi="Times New Roman" w:cs="Times New Roman"/>
          <w:sz w:val="24"/>
          <w:szCs w:val="24"/>
        </w:rPr>
        <w:t xml:space="preserve">was it on account of </w:t>
      </w:r>
      <w:r>
        <w:rPr>
          <w:rFonts w:ascii="Times New Roman" w:hAnsi="Times New Roman" w:cs="Times New Roman"/>
          <w:sz w:val="24"/>
          <w:szCs w:val="24"/>
        </w:rPr>
        <w:t xml:space="preserve">a debilitating bout of flu? Perhaps he was distracted by other taxing circumstances in the personal or business realm? </w:t>
      </w:r>
    </w:p>
    <w:p w14:paraId="6B51405B" w14:textId="4421EECE" w:rsidR="006E46D1" w:rsidRDefault="006E46D1"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535B0">
        <w:rPr>
          <w:rFonts w:ascii="Times New Roman" w:hAnsi="Times New Roman" w:cs="Times New Roman"/>
          <w:sz w:val="24"/>
          <w:szCs w:val="24"/>
        </w:rPr>
        <w:t>9</w:t>
      </w:r>
      <w:r>
        <w:rPr>
          <w:rFonts w:ascii="Times New Roman" w:hAnsi="Times New Roman" w:cs="Times New Roman"/>
          <w:sz w:val="24"/>
          <w:szCs w:val="24"/>
        </w:rPr>
        <w:t xml:space="preserve">] </w:t>
      </w:r>
      <w:r w:rsidR="008C4601">
        <w:rPr>
          <w:rFonts w:ascii="Times New Roman" w:hAnsi="Times New Roman" w:cs="Times New Roman"/>
          <w:sz w:val="24"/>
          <w:szCs w:val="24"/>
        </w:rPr>
        <w:t xml:space="preserve">Secondly, Mr. </w:t>
      </w:r>
      <w:r w:rsidR="008C4601" w:rsidRPr="002432DB">
        <w:rPr>
          <w:rFonts w:ascii="Times New Roman" w:hAnsi="Times New Roman" w:cs="Times New Roman"/>
          <w:i/>
          <w:iCs/>
          <w:sz w:val="24"/>
          <w:szCs w:val="24"/>
        </w:rPr>
        <w:t>Nyahuma</w:t>
      </w:r>
      <w:r>
        <w:rPr>
          <w:rFonts w:ascii="Times New Roman" w:hAnsi="Times New Roman" w:cs="Times New Roman"/>
          <w:sz w:val="24"/>
          <w:szCs w:val="24"/>
        </w:rPr>
        <w:t xml:space="preserve"> did not </w:t>
      </w:r>
      <w:r w:rsidR="008C4601">
        <w:rPr>
          <w:rFonts w:ascii="Times New Roman" w:hAnsi="Times New Roman" w:cs="Times New Roman"/>
          <w:sz w:val="24"/>
          <w:szCs w:val="24"/>
        </w:rPr>
        <w:t xml:space="preserve">request for </w:t>
      </w:r>
      <w:r>
        <w:rPr>
          <w:rFonts w:ascii="Times New Roman" w:hAnsi="Times New Roman" w:cs="Times New Roman"/>
          <w:sz w:val="24"/>
          <w:szCs w:val="24"/>
        </w:rPr>
        <w:t xml:space="preserve">stay </w:t>
      </w:r>
      <w:r w:rsidR="008C4601">
        <w:rPr>
          <w:rFonts w:ascii="Times New Roman" w:hAnsi="Times New Roman" w:cs="Times New Roman"/>
          <w:sz w:val="24"/>
          <w:szCs w:val="24"/>
        </w:rPr>
        <w:t>of the m</w:t>
      </w:r>
      <w:r>
        <w:rPr>
          <w:rFonts w:ascii="Times New Roman" w:hAnsi="Times New Roman" w:cs="Times New Roman"/>
          <w:sz w:val="24"/>
          <w:szCs w:val="24"/>
        </w:rPr>
        <w:t xml:space="preserve">atter </w:t>
      </w:r>
      <w:r w:rsidR="000A3326">
        <w:rPr>
          <w:rFonts w:ascii="Times New Roman" w:hAnsi="Times New Roman" w:cs="Times New Roman"/>
          <w:sz w:val="24"/>
          <w:szCs w:val="24"/>
        </w:rPr>
        <w:t xml:space="preserve">in order to profit from the opportunity to file a written applicant fully </w:t>
      </w:r>
      <w:r>
        <w:rPr>
          <w:rFonts w:ascii="Times New Roman" w:hAnsi="Times New Roman" w:cs="Times New Roman"/>
          <w:sz w:val="24"/>
          <w:szCs w:val="24"/>
        </w:rPr>
        <w:t>ventilat</w:t>
      </w:r>
      <w:r w:rsidR="000A3326">
        <w:rPr>
          <w:rFonts w:ascii="Times New Roman" w:hAnsi="Times New Roman" w:cs="Times New Roman"/>
          <w:sz w:val="24"/>
          <w:szCs w:val="24"/>
        </w:rPr>
        <w:t xml:space="preserve">ing the prayer </w:t>
      </w:r>
      <w:r>
        <w:rPr>
          <w:rFonts w:ascii="Times New Roman" w:hAnsi="Times New Roman" w:cs="Times New Roman"/>
          <w:sz w:val="24"/>
          <w:szCs w:val="24"/>
        </w:rPr>
        <w:t xml:space="preserve">for condonation. This being the route suggested in </w:t>
      </w:r>
      <w:r w:rsidR="008C4601" w:rsidRPr="002432DB">
        <w:rPr>
          <w:rFonts w:ascii="Times New Roman" w:hAnsi="Times New Roman" w:cs="Times New Roman"/>
          <w:i/>
          <w:iCs/>
          <w:sz w:val="24"/>
          <w:szCs w:val="24"/>
        </w:rPr>
        <w:t>GMB v Martin Muchero</w:t>
      </w:r>
      <w:r w:rsidR="008C4601">
        <w:rPr>
          <w:rFonts w:ascii="Times New Roman" w:hAnsi="Times New Roman" w:cs="Times New Roman"/>
          <w:sz w:val="24"/>
          <w:szCs w:val="24"/>
        </w:rPr>
        <w:t xml:space="preserve"> 2008 (1) ZLR 216 (S</w:t>
      </w:r>
      <w:r w:rsidR="0068621E">
        <w:rPr>
          <w:rFonts w:ascii="Times New Roman" w:hAnsi="Times New Roman" w:cs="Times New Roman"/>
          <w:sz w:val="24"/>
          <w:szCs w:val="24"/>
        </w:rPr>
        <w:t xml:space="preserve">). </w:t>
      </w:r>
      <w:r w:rsidR="000A3326">
        <w:rPr>
          <w:rFonts w:ascii="Times New Roman" w:hAnsi="Times New Roman" w:cs="Times New Roman"/>
          <w:sz w:val="24"/>
          <w:szCs w:val="24"/>
        </w:rPr>
        <w:t xml:space="preserve">Counsel`s </w:t>
      </w:r>
      <w:r w:rsidR="0068621E">
        <w:rPr>
          <w:rFonts w:ascii="Times New Roman" w:hAnsi="Times New Roman" w:cs="Times New Roman"/>
          <w:sz w:val="24"/>
          <w:szCs w:val="24"/>
        </w:rPr>
        <w:t>view was that a written application was merely going to aggravate issues by further delaying the matter.</w:t>
      </w:r>
    </w:p>
    <w:p w14:paraId="2414BF2C" w14:textId="70566846" w:rsidR="0068621E" w:rsidRDefault="008C4601"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35B0">
        <w:rPr>
          <w:rFonts w:ascii="Times New Roman" w:hAnsi="Times New Roman" w:cs="Times New Roman"/>
          <w:sz w:val="24"/>
          <w:szCs w:val="24"/>
        </w:rPr>
        <w:t>10</w:t>
      </w:r>
      <w:r>
        <w:rPr>
          <w:rFonts w:ascii="Times New Roman" w:hAnsi="Times New Roman" w:cs="Times New Roman"/>
          <w:sz w:val="24"/>
          <w:szCs w:val="24"/>
        </w:rPr>
        <w:t xml:space="preserve">] </w:t>
      </w:r>
      <w:r w:rsidR="0068621E">
        <w:rPr>
          <w:rFonts w:ascii="Times New Roman" w:hAnsi="Times New Roman" w:cs="Times New Roman"/>
          <w:sz w:val="24"/>
          <w:szCs w:val="24"/>
        </w:rPr>
        <w:t xml:space="preserve">Thirdly, counsel drew attention to the desirability of resolving the dispute on its merits for finality. As his fourth point, Mr. </w:t>
      </w:r>
      <w:r w:rsidR="0068621E" w:rsidRPr="002432DB">
        <w:rPr>
          <w:rFonts w:ascii="Times New Roman" w:hAnsi="Times New Roman" w:cs="Times New Roman"/>
          <w:i/>
          <w:iCs/>
          <w:sz w:val="24"/>
          <w:szCs w:val="24"/>
        </w:rPr>
        <w:t xml:space="preserve">Nyahuma </w:t>
      </w:r>
      <w:r w:rsidR="0068621E">
        <w:rPr>
          <w:rFonts w:ascii="Times New Roman" w:hAnsi="Times New Roman" w:cs="Times New Roman"/>
          <w:sz w:val="24"/>
          <w:szCs w:val="24"/>
        </w:rPr>
        <w:t>undertook to remedy the default by filing the heads of argument concerned in a matter of days. On that aspect, he also committed to availing himself to an early set down</w:t>
      </w:r>
      <w:r w:rsidR="000A3326">
        <w:rPr>
          <w:rFonts w:ascii="Times New Roman" w:hAnsi="Times New Roman" w:cs="Times New Roman"/>
          <w:sz w:val="24"/>
          <w:szCs w:val="24"/>
        </w:rPr>
        <w:t xml:space="preserve"> date for</w:t>
      </w:r>
      <w:r w:rsidR="0068621E">
        <w:rPr>
          <w:rFonts w:ascii="Times New Roman" w:hAnsi="Times New Roman" w:cs="Times New Roman"/>
          <w:sz w:val="24"/>
          <w:szCs w:val="24"/>
        </w:rPr>
        <w:t xml:space="preserve"> </w:t>
      </w:r>
      <w:r w:rsidR="00D4767B">
        <w:rPr>
          <w:rFonts w:ascii="Times New Roman" w:hAnsi="Times New Roman" w:cs="Times New Roman"/>
          <w:sz w:val="24"/>
          <w:szCs w:val="24"/>
        </w:rPr>
        <w:t xml:space="preserve">argument. Counsel’s residual submissions included a tender of costs to underscore his compunction. He also emphasised the respondents` readiness to address the breach in order to </w:t>
      </w:r>
      <w:r w:rsidR="00CB44D1">
        <w:rPr>
          <w:rFonts w:ascii="Times New Roman" w:hAnsi="Times New Roman" w:cs="Times New Roman"/>
          <w:sz w:val="24"/>
          <w:szCs w:val="24"/>
        </w:rPr>
        <w:t xml:space="preserve">expiate any </w:t>
      </w:r>
      <w:r w:rsidR="00D4767B">
        <w:rPr>
          <w:rFonts w:ascii="Times New Roman" w:hAnsi="Times New Roman" w:cs="Times New Roman"/>
          <w:sz w:val="24"/>
          <w:szCs w:val="24"/>
        </w:rPr>
        <w:t>prejudice on applicant.</w:t>
      </w:r>
    </w:p>
    <w:p w14:paraId="2C7F6FFD" w14:textId="5A3AEB7F" w:rsidR="0061291F" w:rsidRPr="00D85A4D" w:rsidRDefault="0068621E"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535B0">
        <w:rPr>
          <w:rFonts w:ascii="Times New Roman" w:hAnsi="Times New Roman" w:cs="Times New Roman"/>
          <w:sz w:val="24"/>
          <w:szCs w:val="24"/>
        </w:rPr>
        <w:t>1</w:t>
      </w:r>
      <w:r>
        <w:rPr>
          <w:rFonts w:ascii="Times New Roman" w:hAnsi="Times New Roman" w:cs="Times New Roman"/>
          <w:sz w:val="24"/>
          <w:szCs w:val="24"/>
        </w:rPr>
        <w:t xml:space="preserve">] Mr. </w:t>
      </w:r>
      <w:r w:rsidRPr="002432DB">
        <w:rPr>
          <w:rFonts w:ascii="Times New Roman" w:hAnsi="Times New Roman" w:cs="Times New Roman"/>
          <w:i/>
          <w:iCs/>
          <w:sz w:val="24"/>
          <w:szCs w:val="24"/>
        </w:rPr>
        <w:t>Patsvani</w:t>
      </w:r>
      <w:r>
        <w:rPr>
          <w:rFonts w:ascii="Times New Roman" w:hAnsi="Times New Roman" w:cs="Times New Roman"/>
          <w:sz w:val="24"/>
          <w:szCs w:val="24"/>
        </w:rPr>
        <w:t xml:space="preserve"> opposed the application rather robustly. His position was that in an application for condonation, the applicants had to earn the court`s reprieve. </w:t>
      </w:r>
      <w:r w:rsidR="003E7F36">
        <w:rPr>
          <w:rFonts w:ascii="Times New Roman" w:hAnsi="Times New Roman" w:cs="Times New Roman"/>
          <w:sz w:val="24"/>
          <w:szCs w:val="24"/>
        </w:rPr>
        <w:t xml:space="preserve">The requirements necessary to earn a party such a reprieve were well established. The applicant </w:t>
      </w:r>
      <w:r w:rsidR="000A3326">
        <w:rPr>
          <w:rFonts w:ascii="Times New Roman" w:hAnsi="Times New Roman" w:cs="Times New Roman"/>
          <w:sz w:val="24"/>
          <w:szCs w:val="24"/>
        </w:rPr>
        <w:t>seeking condonation had to tender</w:t>
      </w:r>
      <w:r w:rsidR="003E7F36">
        <w:rPr>
          <w:rFonts w:ascii="Times New Roman" w:hAnsi="Times New Roman" w:cs="Times New Roman"/>
          <w:sz w:val="24"/>
          <w:szCs w:val="24"/>
        </w:rPr>
        <w:t xml:space="preserve"> a reasonable explanation the default. In particular, a party </w:t>
      </w:r>
      <w:r w:rsidR="000A3326">
        <w:rPr>
          <w:rFonts w:ascii="Times New Roman" w:hAnsi="Times New Roman" w:cs="Times New Roman"/>
          <w:sz w:val="24"/>
          <w:szCs w:val="24"/>
        </w:rPr>
        <w:t xml:space="preserve">was obliged to </w:t>
      </w:r>
      <w:r w:rsidR="003E7F36">
        <w:rPr>
          <w:rFonts w:ascii="Times New Roman" w:hAnsi="Times New Roman" w:cs="Times New Roman"/>
          <w:sz w:val="24"/>
          <w:szCs w:val="24"/>
        </w:rPr>
        <w:t xml:space="preserve">demonstrate that it </w:t>
      </w:r>
      <w:r w:rsidR="000A3326">
        <w:rPr>
          <w:rFonts w:ascii="Times New Roman" w:hAnsi="Times New Roman" w:cs="Times New Roman"/>
          <w:sz w:val="24"/>
          <w:szCs w:val="24"/>
        </w:rPr>
        <w:t xml:space="preserve">had not been </w:t>
      </w:r>
      <w:r w:rsidR="003535B0">
        <w:rPr>
          <w:rFonts w:ascii="Times New Roman" w:hAnsi="Times New Roman" w:cs="Times New Roman"/>
          <w:sz w:val="24"/>
          <w:szCs w:val="24"/>
        </w:rPr>
        <w:t>derelict, and</w:t>
      </w:r>
      <w:r w:rsidR="003E7F36">
        <w:rPr>
          <w:rFonts w:ascii="Times New Roman" w:hAnsi="Times New Roman" w:cs="Times New Roman"/>
          <w:sz w:val="24"/>
          <w:szCs w:val="24"/>
        </w:rPr>
        <w:t xml:space="preserve"> that </w:t>
      </w:r>
      <w:r w:rsidR="000A3326">
        <w:rPr>
          <w:rFonts w:ascii="Times New Roman" w:hAnsi="Times New Roman" w:cs="Times New Roman"/>
          <w:sz w:val="24"/>
          <w:szCs w:val="24"/>
        </w:rPr>
        <w:t xml:space="preserve">its </w:t>
      </w:r>
      <w:r w:rsidR="003E7F36">
        <w:rPr>
          <w:rFonts w:ascii="Times New Roman" w:hAnsi="Times New Roman" w:cs="Times New Roman"/>
          <w:sz w:val="24"/>
          <w:szCs w:val="24"/>
        </w:rPr>
        <w:t xml:space="preserve">application </w:t>
      </w:r>
      <w:r w:rsidR="00356918">
        <w:rPr>
          <w:rFonts w:ascii="Times New Roman" w:hAnsi="Times New Roman" w:cs="Times New Roman"/>
          <w:sz w:val="24"/>
          <w:szCs w:val="24"/>
        </w:rPr>
        <w:t xml:space="preserve">was </w:t>
      </w:r>
      <w:r w:rsidR="00356918" w:rsidRPr="00356918">
        <w:rPr>
          <w:rFonts w:ascii="Times New Roman" w:hAnsi="Times New Roman" w:cs="Times New Roman"/>
          <w:i/>
          <w:iCs/>
          <w:sz w:val="24"/>
          <w:szCs w:val="24"/>
        </w:rPr>
        <w:t>bona</w:t>
      </w:r>
      <w:r w:rsidR="003E7F36" w:rsidRPr="00356918">
        <w:rPr>
          <w:rFonts w:ascii="Times New Roman" w:hAnsi="Times New Roman" w:cs="Times New Roman"/>
          <w:i/>
          <w:iCs/>
          <w:sz w:val="24"/>
          <w:szCs w:val="24"/>
        </w:rPr>
        <w:t xml:space="preserve"> </w:t>
      </w:r>
      <w:r w:rsidR="003E7F36" w:rsidRPr="002432DB">
        <w:rPr>
          <w:rFonts w:ascii="Times New Roman" w:hAnsi="Times New Roman" w:cs="Times New Roman"/>
          <w:i/>
          <w:iCs/>
          <w:sz w:val="24"/>
          <w:szCs w:val="24"/>
        </w:rPr>
        <w:t>fides</w:t>
      </w:r>
      <w:r w:rsidR="002432DB">
        <w:rPr>
          <w:rFonts w:ascii="Times New Roman" w:hAnsi="Times New Roman" w:cs="Times New Roman"/>
          <w:i/>
          <w:iCs/>
          <w:sz w:val="24"/>
          <w:szCs w:val="24"/>
        </w:rPr>
        <w:t>.</w:t>
      </w:r>
      <w:r w:rsidR="002432DB">
        <w:rPr>
          <w:rFonts w:ascii="Times New Roman" w:hAnsi="Times New Roman" w:cs="Times New Roman"/>
          <w:sz w:val="24"/>
          <w:szCs w:val="24"/>
        </w:rPr>
        <w:t xml:space="preserve"> In support of his submissions, counsel for applicant cited </w:t>
      </w:r>
      <w:r w:rsidR="002432DB" w:rsidRPr="002432DB">
        <w:rPr>
          <w:rFonts w:ascii="Times New Roman" w:hAnsi="Times New Roman" w:cs="Times New Roman"/>
          <w:i/>
          <w:iCs/>
          <w:sz w:val="24"/>
          <w:szCs w:val="24"/>
        </w:rPr>
        <w:t>Mtetwa &amp; Anor v Benbert Investments (Private) Limited</w:t>
      </w:r>
      <w:r w:rsidR="002432DB">
        <w:rPr>
          <w:rFonts w:ascii="Times New Roman" w:hAnsi="Times New Roman" w:cs="Times New Roman"/>
          <w:sz w:val="24"/>
          <w:szCs w:val="24"/>
        </w:rPr>
        <w:t xml:space="preserve"> HB 134-19. </w:t>
      </w:r>
    </w:p>
    <w:p w14:paraId="34EFC990" w14:textId="4FD42B80" w:rsidR="00F5499B" w:rsidRPr="00D85A4D" w:rsidRDefault="002432DB"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3535B0">
        <w:rPr>
          <w:rFonts w:ascii="Times New Roman" w:hAnsi="Times New Roman" w:cs="Times New Roman"/>
          <w:sz w:val="24"/>
          <w:szCs w:val="24"/>
        </w:rPr>
        <w:t>2</w:t>
      </w:r>
      <w:r>
        <w:rPr>
          <w:rFonts w:ascii="Times New Roman" w:hAnsi="Times New Roman" w:cs="Times New Roman"/>
          <w:sz w:val="24"/>
          <w:szCs w:val="24"/>
        </w:rPr>
        <w:t xml:space="preserve">] Additionally, Mr. </w:t>
      </w:r>
      <w:r w:rsidRPr="000A3326">
        <w:rPr>
          <w:rFonts w:ascii="Times New Roman" w:hAnsi="Times New Roman" w:cs="Times New Roman"/>
          <w:i/>
          <w:iCs/>
          <w:sz w:val="24"/>
          <w:szCs w:val="24"/>
        </w:rPr>
        <w:t xml:space="preserve">Patsvani </w:t>
      </w:r>
      <w:r>
        <w:rPr>
          <w:rFonts w:ascii="Times New Roman" w:hAnsi="Times New Roman" w:cs="Times New Roman"/>
          <w:sz w:val="24"/>
          <w:szCs w:val="24"/>
        </w:rPr>
        <w:t xml:space="preserve">indicated that the respondents had both ample time and opportunity to avert or mitigate the breach. He submitted that the IECMS system accorded parties a spectrum of advantages in as far as management of litigation was concerned. The system triggered periodic notices to alert parties of papers filed or steps that need to be taken. </w:t>
      </w:r>
    </w:p>
    <w:p w14:paraId="69672F11" w14:textId="1D474605" w:rsidR="00F5499B" w:rsidRDefault="00F25B7B"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535B0">
        <w:rPr>
          <w:rFonts w:ascii="Times New Roman" w:hAnsi="Times New Roman" w:cs="Times New Roman"/>
          <w:sz w:val="24"/>
          <w:szCs w:val="24"/>
        </w:rPr>
        <w:t>3</w:t>
      </w:r>
      <w:r>
        <w:rPr>
          <w:rFonts w:ascii="Times New Roman" w:hAnsi="Times New Roman" w:cs="Times New Roman"/>
          <w:sz w:val="24"/>
          <w:szCs w:val="24"/>
        </w:rPr>
        <w:t xml:space="preserve">] According to Mr. </w:t>
      </w:r>
      <w:r w:rsidRPr="00F25B7B">
        <w:rPr>
          <w:rFonts w:ascii="Times New Roman" w:hAnsi="Times New Roman" w:cs="Times New Roman"/>
          <w:i/>
          <w:iCs/>
          <w:sz w:val="24"/>
          <w:szCs w:val="24"/>
        </w:rPr>
        <w:t>Patsvani</w:t>
      </w:r>
      <w:r>
        <w:rPr>
          <w:rFonts w:ascii="Times New Roman" w:hAnsi="Times New Roman" w:cs="Times New Roman"/>
          <w:sz w:val="24"/>
          <w:szCs w:val="24"/>
        </w:rPr>
        <w:t xml:space="preserve">, the timeline of events exposed respondents` derelict. On 4 March 2024, the Registrar invited applicant to file its heads of argument. Applicant duly complied by 25 March 2024. A month later on 25 April 2024, the Registrar issued a notice of set </w:t>
      </w:r>
      <w:r w:rsidR="00D4767B">
        <w:rPr>
          <w:rFonts w:ascii="Times New Roman" w:hAnsi="Times New Roman" w:cs="Times New Roman"/>
          <w:sz w:val="24"/>
          <w:szCs w:val="24"/>
        </w:rPr>
        <w:t>down. This</w:t>
      </w:r>
      <w:r>
        <w:rPr>
          <w:rFonts w:ascii="Times New Roman" w:hAnsi="Times New Roman" w:cs="Times New Roman"/>
          <w:sz w:val="24"/>
          <w:szCs w:val="24"/>
        </w:rPr>
        <w:t xml:space="preserve"> was followed up by a notice of hearing of 15 May for 23 May 2024.</w:t>
      </w:r>
    </w:p>
    <w:p w14:paraId="01678BB0" w14:textId="0925199A" w:rsidR="00D4767B" w:rsidRDefault="00D4767B"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REASONS FOR </w:t>
      </w:r>
      <w:r w:rsidR="001B50E6">
        <w:rPr>
          <w:rFonts w:ascii="Times New Roman" w:hAnsi="Times New Roman" w:cs="Times New Roman"/>
          <w:sz w:val="24"/>
          <w:szCs w:val="24"/>
        </w:rPr>
        <w:t xml:space="preserve">THE COURT`S </w:t>
      </w:r>
      <w:r>
        <w:rPr>
          <w:rFonts w:ascii="Times New Roman" w:hAnsi="Times New Roman" w:cs="Times New Roman"/>
          <w:sz w:val="24"/>
          <w:szCs w:val="24"/>
        </w:rPr>
        <w:t>RULING</w:t>
      </w:r>
    </w:p>
    <w:p w14:paraId="0EC6C6DC" w14:textId="77777777" w:rsidR="00D4767B" w:rsidRDefault="00D4767B" w:rsidP="00D85A4D">
      <w:pPr>
        <w:spacing w:line="360" w:lineRule="auto"/>
        <w:jc w:val="both"/>
        <w:rPr>
          <w:rFonts w:ascii="Times New Roman" w:hAnsi="Times New Roman" w:cs="Times New Roman"/>
          <w:sz w:val="24"/>
          <w:szCs w:val="24"/>
        </w:rPr>
      </w:pPr>
    </w:p>
    <w:p w14:paraId="55FE739B" w14:textId="77777777" w:rsidR="00D4767B" w:rsidRDefault="00D4767B" w:rsidP="00D85A4D">
      <w:pPr>
        <w:spacing w:line="360" w:lineRule="auto"/>
        <w:jc w:val="both"/>
        <w:rPr>
          <w:rFonts w:ascii="Times New Roman" w:hAnsi="Times New Roman" w:cs="Times New Roman"/>
          <w:sz w:val="24"/>
          <w:szCs w:val="24"/>
        </w:rPr>
      </w:pPr>
    </w:p>
    <w:p w14:paraId="000B8483" w14:textId="482318B4" w:rsidR="00D4767B" w:rsidRDefault="002F38F8"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3535B0">
        <w:rPr>
          <w:rFonts w:ascii="Times New Roman" w:hAnsi="Times New Roman" w:cs="Times New Roman"/>
          <w:sz w:val="24"/>
          <w:szCs w:val="24"/>
        </w:rPr>
        <w:t>4</w:t>
      </w:r>
      <w:r>
        <w:rPr>
          <w:rFonts w:ascii="Times New Roman" w:hAnsi="Times New Roman" w:cs="Times New Roman"/>
          <w:sz w:val="24"/>
          <w:szCs w:val="24"/>
        </w:rPr>
        <w:t xml:space="preserve">] I recognised Mr. </w:t>
      </w:r>
      <w:r w:rsidRPr="000A3326">
        <w:rPr>
          <w:rFonts w:ascii="Times New Roman" w:hAnsi="Times New Roman" w:cs="Times New Roman"/>
          <w:i/>
          <w:iCs/>
          <w:sz w:val="24"/>
          <w:szCs w:val="24"/>
        </w:rPr>
        <w:t>Nyahuma`</w:t>
      </w:r>
      <w:r>
        <w:rPr>
          <w:rFonts w:ascii="Times New Roman" w:hAnsi="Times New Roman" w:cs="Times New Roman"/>
          <w:sz w:val="24"/>
          <w:szCs w:val="24"/>
        </w:rPr>
        <w:t xml:space="preserve"> s candour in assuming full responsibility for the breach. Unfortunately, as noted above, </w:t>
      </w:r>
      <w:r w:rsidR="000A3326">
        <w:rPr>
          <w:rFonts w:ascii="Times New Roman" w:hAnsi="Times New Roman" w:cs="Times New Roman"/>
          <w:sz w:val="24"/>
          <w:szCs w:val="24"/>
        </w:rPr>
        <w:t xml:space="preserve">it was not </w:t>
      </w:r>
      <w:r>
        <w:rPr>
          <w:rFonts w:ascii="Times New Roman" w:hAnsi="Times New Roman" w:cs="Times New Roman"/>
          <w:sz w:val="24"/>
          <w:szCs w:val="24"/>
        </w:rPr>
        <w:t xml:space="preserve">followed up by further disclosure regarding indicative reasons why counsel omitted to file heads. </w:t>
      </w:r>
    </w:p>
    <w:p w14:paraId="4BEAFC11" w14:textId="58BA4A5C" w:rsidR="00CB44D1" w:rsidRDefault="002F38F8"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3535B0">
        <w:rPr>
          <w:rFonts w:ascii="Times New Roman" w:hAnsi="Times New Roman" w:cs="Times New Roman"/>
          <w:sz w:val="24"/>
          <w:szCs w:val="24"/>
        </w:rPr>
        <w:t>5</w:t>
      </w:r>
      <w:r>
        <w:rPr>
          <w:rFonts w:ascii="Times New Roman" w:hAnsi="Times New Roman" w:cs="Times New Roman"/>
          <w:sz w:val="24"/>
          <w:szCs w:val="24"/>
        </w:rPr>
        <w:t xml:space="preserve">] The need to adhere to the rules of court is a matter regularly emphasised to the courts. I will advert to this aspect before closing. And in this instance, the respondents deigned to file heads of argument. In </w:t>
      </w:r>
      <w:r w:rsidRPr="000A3326">
        <w:rPr>
          <w:rFonts w:ascii="Times New Roman" w:hAnsi="Times New Roman" w:cs="Times New Roman"/>
          <w:i/>
          <w:iCs/>
          <w:sz w:val="24"/>
          <w:szCs w:val="24"/>
        </w:rPr>
        <w:t>Nan Brooker v Mudhanda &amp; Anor</w:t>
      </w:r>
      <w:r>
        <w:rPr>
          <w:rFonts w:ascii="Times New Roman" w:hAnsi="Times New Roman" w:cs="Times New Roman"/>
          <w:sz w:val="24"/>
          <w:szCs w:val="24"/>
        </w:rPr>
        <w:t xml:space="preserve"> SC 5-</w:t>
      </w:r>
      <w:r w:rsidR="00CB44D1">
        <w:rPr>
          <w:rFonts w:ascii="Times New Roman" w:hAnsi="Times New Roman" w:cs="Times New Roman"/>
          <w:sz w:val="24"/>
          <w:szCs w:val="24"/>
        </w:rPr>
        <w:t>18, the</w:t>
      </w:r>
      <w:r>
        <w:rPr>
          <w:rFonts w:ascii="Times New Roman" w:hAnsi="Times New Roman" w:cs="Times New Roman"/>
          <w:sz w:val="24"/>
          <w:szCs w:val="24"/>
        </w:rPr>
        <w:t xml:space="preserve"> Supreme Court reminded that heads of argument </w:t>
      </w:r>
      <w:r w:rsidR="000A3326">
        <w:rPr>
          <w:rFonts w:ascii="Times New Roman" w:hAnsi="Times New Roman" w:cs="Times New Roman"/>
          <w:sz w:val="24"/>
          <w:szCs w:val="24"/>
        </w:rPr>
        <w:t xml:space="preserve">serve a </w:t>
      </w:r>
      <w:r w:rsidR="00502CC1">
        <w:rPr>
          <w:rFonts w:ascii="Times New Roman" w:hAnsi="Times New Roman" w:cs="Times New Roman"/>
          <w:sz w:val="24"/>
          <w:szCs w:val="24"/>
        </w:rPr>
        <w:t>purpose; -</w:t>
      </w:r>
      <w:r w:rsidR="000A3326">
        <w:rPr>
          <w:rFonts w:ascii="Times New Roman" w:hAnsi="Times New Roman" w:cs="Times New Roman"/>
          <w:sz w:val="24"/>
          <w:szCs w:val="24"/>
        </w:rPr>
        <w:t xml:space="preserve">namely to </w:t>
      </w:r>
      <w:r w:rsidR="00CB44D1">
        <w:rPr>
          <w:rFonts w:ascii="Times New Roman" w:hAnsi="Times New Roman" w:cs="Times New Roman"/>
          <w:sz w:val="24"/>
          <w:szCs w:val="24"/>
        </w:rPr>
        <w:t>expound the law as applicable to facts</w:t>
      </w:r>
      <w:r w:rsidR="000A3326">
        <w:rPr>
          <w:rFonts w:ascii="Times New Roman" w:hAnsi="Times New Roman" w:cs="Times New Roman"/>
          <w:sz w:val="24"/>
          <w:szCs w:val="24"/>
        </w:rPr>
        <w:t xml:space="preserve"> before a court</w:t>
      </w:r>
      <w:r w:rsidR="00CB44D1">
        <w:rPr>
          <w:rFonts w:ascii="Times New Roman" w:hAnsi="Times New Roman" w:cs="Times New Roman"/>
          <w:sz w:val="24"/>
          <w:szCs w:val="24"/>
        </w:rPr>
        <w:t xml:space="preserve">. </w:t>
      </w:r>
    </w:p>
    <w:p w14:paraId="5ACDF896" w14:textId="527A1A63" w:rsidR="002F38F8" w:rsidRDefault="00CB44D1"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3535B0">
        <w:rPr>
          <w:rFonts w:ascii="Times New Roman" w:hAnsi="Times New Roman" w:cs="Times New Roman"/>
          <w:sz w:val="24"/>
          <w:szCs w:val="24"/>
        </w:rPr>
        <w:t>6</w:t>
      </w:r>
      <w:r>
        <w:rPr>
          <w:rFonts w:ascii="Times New Roman" w:hAnsi="Times New Roman" w:cs="Times New Roman"/>
          <w:sz w:val="24"/>
          <w:szCs w:val="24"/>
        </w:rPr>
        <w:t xml:space="preserve">] </w:t>
      </w:r>
      <w:r w:rsidR="00502CC1">
        <w:rPr>
          <w:rFonts w:ascii="Times New Roman" w:hAnsi="Times New Roman" w:cs="Times New Roman"/>
          <w:sz w:val="24"/>
          <w:szCs w:val="24"/>
        </w:rPr>
        <w:t>Exposition of the law serves a deeper function</w:t>
      </w:r>
      <w:r>
        <w:rPr>
          <w:rFonts w:ascii="Times New Roman" w:hAnsi="Times New Roman" w:cs="Times New Roman"/>
          <w:sz w:val="24"/>
          <w:szCs w:val="24"/>
        </w:rPr>
        <w:t xml:space="preserve">. </w:t>
      </w:r>
      <w:r w:rsidR="00502CC1">
        <w:rPr>
          <w:rFonts w:ascii="Times New Roman" w:hAnsi="Times New Roman" w:cs="Times New Roman"/>
          <w:sz w:val="24"/>
          <w:szCs w:val="24"/>
        </w:rPr>
        <w:t>Clarification of the law and legal principles in turn,</w:t>
      </w:r>
      <w:r>
        <w:rPr>
          <w:rFonts w:ascii="Times New Roman" w:hAnsi="Times New Roman" w:cs="Times New Roman"/>
          <w:sz w:val="24"/>
          <w:szCs w:val="24"/>
        </w:rPr>
        <w:t xml:space="preserve"> assist the dispute resolution process by exposing the merits and demerits of each respective side`s case. Such an exposure not only helps the court </w:t>
      </w:r>
      <w:r w:rsidR="00502CC1">
        <w:rPr>
          <w:rFonts w:ascii="Times New Roman" w:hAnsi="Times New Roman" w:cs="Times New Roman"/>
          <w:sz w:val="24"/>
          <w:szCs w:val="24"/>
        </w:rPr>
        <w:t>in adjudication, but</w:t>
      </w:r>
      <w:r>
        <w:rPr>
          <w:rFonts w:ascii="Times New Roman" w:hAnsi="Times New Roman" w:cs="Times New Roman"/>
          <w:sz w:val="24"/>
          <w:szCs w:val="24"/>
        </w:rPr>
        <w:t xml:space="preserve"> the litigants themselves</w:t>
      </w:r>
      <w:r w:rsidR="002F38F8">
        <w:rPr>
          <w:rFonts w:ascii="Times New Roman" w:hAnsi="Times New Roman" w:cs="Times New Roman"/>
          <w:sz w:val="24"/>
          <w:szCs w:val="24"/>
        </w:rPr>
        <w:t xml:space="preserve"> </w:t>
      </w:r>
      <w:r>
        <w:rPr>
          <w:rFonts w:ascii="Times New Roman" w:hAnsi="Times New Roman" w:cs="Times New Roman"/>
          <w:sz w:val="24"/>
          <w:szCs w:val="24"/>
        </w:rPr>
        <w:t>who may be inspired to settle, withdraw or take some other step to escalate dispute to closure.</w:t>
      </w:r>
    </w:p>
    <w:p w14:paraId="351D0A69" w14:textId="60470AD9" w:rsidR="00CB44D1" w:rsidRDefault="00CB44D1"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3535B0">
        <w:rPr>
          <w:rFonts w:ascii="Times New Roman" w:hAnsi="Times New Roman" w:cs="Times New Roman"/>
          <w:sz w:val="24"/>
          <w:szCs w:val="24"/>
        </w:rPr>
        <w:t>7</w:t>
      </w:r>
      <w:r>
        <w:rPr>
          <w:rFonts w:ascii="Times New Roman" w:hAnsi="Times New Roman" w:cs="Times New Roman"/>
          <w:sz w:val="24"/>
          <w:szCs w:val="24"/>
        </w:rPr>
        <w:t>] Whilst it is always desirable to resolve a dispute on the merits, the court found it difficult to disabuse the mind that the derelict herein had been serious. This given the absence of a fuller explanation in addition to the adequate “early warning triggers” generated by the IECMS system. I d</w:t>
      </w:r>
      <w:r w:rsidR="00502CC1">
        <w:rPr>
          <w:rFonts w:ascii="Times New Roman" w:hAnsi="Times New Roman" w:cs="Times New Roman"/>
          <w:sz w:val="24"/>
          <w:szCs w:val="24"/>
        </w:rPr>
        <w:t xml:space="preserve">id </w:t>
      </w:r>
      <w:r w:rsidR="007B1AD2">
        <w:rPr>
          <w:rFonts w:ascii="Times New Roman" w:hAnsi="Times New Roman" w:cs="Times New Roman"/>
          <w:sz w:val="24"/>
          <w:szCs w:val="24"/>
        </w:rPr>
        <w:t>express some</w:t>
      </w:r>
      <w:r>
        <w:rPr>
          <w:rFonts w:ascii="Times New Roman" w:hAnsi="Times New Roman" w:cs="Times New Roman"/>
          <w:sz w:val="24"/>
          <w:szCs w:val="24"/>
        </w:rPr>
        <w:t xml:space="preserve"> solace in that even though the matter </w:t>
      </w:r>
      <w:r w:rsidR="00502CC1">
        <w:rPr>
          <w:rFonts w:ascii="Times New Roman" w:hAnsi="Times New Roman" w:cs="Times New Roman"/>
          <w:sz w:val="24"/>
          <w:szCs w:val="24"/>
        </w:rPr>
        <w:t xml:space="preserve">was to </w:t>
      </w:r>
      <w:r>
        <w:rPr>
          <w:rFonts w:ascii="Times New Roman" w:hAnsi="Times New Roman" w:cs="Times New Roman"/>
          <w:sz w:val="24"/>
          <w:szCs w:val="24"/>
        </w:rPr>
        <w:t xml:space="preserve">proceed unopposed, the applicant </w:t>
      </w:r>
      <w:r w:rsidR="007B1AD2">
        <w:rPr>
          <w:rFonts w:ascii="Times New Roman" w:hAnsi="Times New Roman" w:cs="Times New Roman"/>
          <w:sz w:val="24"/>
          <w:szCs w:val="24"/>
        </w:rPr>
        <w:t>would still</w:t>
      </w:r>
      <w:r>
        <w:rPr>
          <w:rFonts w:ascii="Times New Roman" w:hAnsi="Times New Roman" w:cs="Times New Roman"/>
          <w:sz w:val="24"/>
          <w:szCs w:val="24"/>
        </w:rPr>
        <w:t xml:space="preserve"> need to motivate the basis of the order sought.</w:t>
      </w:r>
    </w:p>
    <w:p w14:paraId="04D4B6B6" w14:textId="37E3CAF7" w:rsidR="005C71D4" w:rsidRDefault="00CB44D1"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3535B0">
        <w:rPr>
          <w:rFonts w:ascii="Times New Roman" w:hAnsi="Times New Roman" w:cs="Times New Roman"/>
          <w:sz w:val="24"/>
          <w:szCs w:val="24"/>
        </w:rPr>
        <w:t>8</w:t>
      </w:r>
      <w:r>
        <w:rPr>
          <w:rFonts w:ascii="Times New Roman" w:hAnsi="Times New Roman" w:cs="Times New Roman"/>
          <w:sz w:val="24"/>
          <w:szCs w:val="24"/>
        </w:rPr>
        <w:t xml:space="preserve">] I further took into account the fact that the breach herein was traceable directly to respondents` legal practitioner. </w:t>
      </w:r>
      <w:r w:rsidR="00C518CC">
        <w:rPr>
          <w:rFonts w:ascii="Times New Roman" w:hAnsi="Times New Roman" w:cs="Times New Roman"/>
          <w:sz w:val="24"/>
          <w:szCs w:val="24"/>
        </w:rPr>
        <w:t xml:space="preserve">I received no submissions from either side on why the breach ought not be visited on the respondents themselves. That aside, I found nothing to suggest a departure from the standard approach that a litigant must carry the cross of its legal practitioners` aberrations. The authorities dealing with this point were discussed in </w:t>
      </w:r>
      <w:r w:rsidR="00C518CC" w:rsidRPr="00C518CC">
        <w:rPr>
          <w:rFonts w:ascii="Times New Roman" w:hAnsi="Times New Roman" w:cs="Times New Roman"/>
          <w:i/>
          <w:iCs/>
          <w:sz w:val="24"/>
          <w:szCs w:val="24"/>
        </w:rPr>
        <w:t>Nyarai Mudungwe &amp; Anor v Arosume v Rhodia Photo &amp; 2 Ors</w:t>
      </w:r>
      <w:r w:rsidR="00C518CC">
        <w:rPr>
          <w:rFonts w:ascii="Times New Roman" w:hAnsi="Times New Roman" w:cs="Times New Roman"/>
          <w:sz w:val="24"/>
          <w:szCs w:val="24"/>
        </w:rPr>
        <w:t xml:space="preserve"> HH 646-23.</w:t>
      </w:r>
    </w:p>
    <w:p w14:paraId="07CC0AB6" w14:textId="273793A5" w:rsidR="005C71D4" w:rsidRDefault="005C71D4"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3535B0">
        <w:rPr>
          <w:rFonts w:ascii="Times New Roman" w:hAnsi="Times New Roman" w:cs="Times New Roman"/>
          <w:sz w:val="24"/>
          <w:szCs w:val="24"/>
        </w:rPr>
        <w:t>9</w:t>
      </w:r>
      <w:r>
        <w:rPr>
          <w:rFonts w:ascii="Times New Roman" w:hAnsi="Times New Roman" w:cs="Times New Roman"/>
          <w:sz w:val="24"/>
          <w:szCs w:val="24"/>
        </w:rPr>
        <w:t xml:space="preserve">] I return in closing, to the requirements which a party seeking condonation ought to satisfy. Whilst the courts demand fastidious adherence to rules of court, they recognise that in appropriate circumstances, parties may be pardoned for breach. But if one may be chiastic, </w:t>
      </w:r>
      <w:r w:rsidR="00502CC1">
        <w:rPr>
          <w:rFonts w:ascii="Times New Roman" w:hAnsi="Times New Roman" w:cs="Times New Roman"/>
          <w:sz w:val="24"/>
          <w:szCs w:val="24"/>
        </w:rPr>
        <w:t xml:space="preserve">a breach of the rules of court, can only be remedied by adherence to the rules of court dealing with a breach to the rules of court. In other </w:t>
      </w:r>
      <w:r w:rsidR="003535B0">
        <w:rPr>
          <w:rFonts w:ascii="Times New Roman" w:hAnsi="Times New Roman" w:cs="Times New Roman"/>
          <w:sz w:val="24"/>
          <w:szCs w:val="24"/>
        </w:rPr>
        <w:t>words, the</w:t>
      </w:r>
      <w:r>
        <w:rPr>
          <w:rFonts w:ascii="Times New Roman" w:hAnsi="Times New Roman" w:cs="Times New Roman"/>
          <w:sz w:val="24"/>
          <w:szCs w:val="24"/>
        </w:rPr>
        <w:t xml:space="preserve"> underlying rules of court have created within them, further rules that guide parties on how to address breach to the underlying rules.  </w:t>
      </w:r>
      <w:r>
        <w:rPr>
          <w:rFonts w:ascii="Times New Roman" w:hAnsi="Times New Roman" w:cs="Times New Roman"/>
          <w:sz w:val="24"/>
          <w:szCs w:val="24"/>
        </w:rPr>
        <w:lastRenderedPageBreak/>
        <w:t xml:space="preserve">Again I referred the parties herein to the authorities traversed in </w:t>
      </w:r>
      <w:r w:rsidRPr="005C71D4">
        <w:rPr>
          <w:rFonts w:ascii="Times New Roman" w:hAnsi="Times New Roman" w:cs="Times New Roman"/>
          <w:i/>
          <w:iCs/>
          <w:sz w:val="24"/>
          <w:szCs w:val="24"/>
        </w:rPr>
        <w:t>Rinos Terera v Zimbabwe Housing Corporation</w:t>
      </w:r>
      <w:r>
        <w:rPr>
          <w:rFonts w:ascii="Times New Roman" w:hAnsi="Times New Roman" w:cs="Times New Roman"/>
          <w:i/>
          <w:iCs/>
          <w:sz w:val="24"/>
          <w:szCs w:val="24"/>
        </w:rPr>
        <w:t xml:space="preserve"> (Pvt) </w:t>
      </w:r>
      <w:r w:rsidR="00502CC1">
        <w:rPr>
          <w:rFonts w:ascii="Times New Roman" w:hAnsi="Times New Roman" w:cs="Times New Roman"/>
          <w:i/>
          <w:iCs/>
          <w:sz w:val="24"/>
          <w:szCs w:val="24"/>
        </w:rPr>
        <w:t xml:space="preserve">Ltd </w:t>
      </w:r>
      <w:r w:rsidR="00502CC1" w:rsidRPr="005C71D4">
        <w:rPr>
          <w:rFonts w:ascii="Times New Roman" w:hAnsi="Times New Roman" w:cs="Times New Roman"/>
          <w:i/>
          <w:iCs/>
          <w:sz w:val="24"/>
          <w:szCs w:val="24"/>
        </w:rPr>
        <w:t>&amp;</w:t>
      </w:r>
      <w:r w:rsidRPr="005C71D4">
        <w:rPr>
          <w:rFonts w:ascii="Times New Roman" w:hAnsi="Times New Roman" w:cs="Times New Roman"/>
          <w:i/>
          <w:iCs/>
          <w:sz w:val="24"/>
          <w:szCs w:val="24"/>
        </w:rPr>
        <w:t xml:space="preserve"> Anor</w:t>
      </w:r>
      <w:r>
        <w:rPr>
          <w:rFonts w:ascii="Times New Roman" w:hAnsi="Times New Roman" w:cs="Times New Roman"/>
          <w:sz w:val="24"/>
          <w:szCs w:val="24"/>
        </w:rPr>
        <w:t xml:space="preserve"> HH 445-22.</w:t>
      </w:r>
    </w:p>
    <w:p w14:paraId="232FE1C6" w14:textId="401F243D" w:rsidR="003535B0" w:rsidRDefault="005C71D4"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35B0">
        <w:rPr>
          <w:rFonts w:ascii="Times New Roman" w:hAnsi="Times New Roman" w:cs="Times New Roman"/>
          <w:sz w:val="24"/>
          <w:szCs w:val="24"/>
        </w:rPr>
        <w:t>20</w:t>
      </w:r>
      <w:r>
        <w:rPr>
          <w:rFonts w:ascii="Times New Roman" w:hAnsi="Times New Roman" w:cs="Times New Roman"/>
          <w:sz w:val="24"/>
          <w:szCs w:val="24"/>
        </w:rPr>
        <w:t xml:space="preserve">] Finally, in refusing the </w:t>
      </w:r>
      <w:r w:rsidR="00950DBA">
        <w:rPr>
          <w:rFonts w:ascii="Times New Roman" w:hAnsi="Times New Roman" w:cs="Times New Roman"/>
          <w:sz w:val="24"/>
          <w:szCs w:val="24"/>
        </w:rPr>
        <w:t>application, I</w:t>
      </w:r>
      <w:r>
        <w:rPr>
          <w:rFonts w:ascii="Times New Roman" w:hAnsi="Times New Roman" w:cs="Times New Roman"/>
          <w:sz w:val="24"/>
          <w:szCs w:val="24"/>
        </w:rPr>
        <w:t xml:space="preserve"> was alive to the considerations that exercised the court`s mind in </w:t>
      </w:r>
      <w:r w:rsidR="00950DBA" w:rsidRPr="003535B0">
        <w:rPr>
          <w:rFonts w:ascii="Times New Roman" w:hAnsi="Times New Roman" w:cs="Times New Roman"/>
          <w:i/>
          <w:iCs/>
          <w:sz w:val="24"/>
          <w:szCs w:val="24"/>
        </w:rPr>
        <w:t>Chimpondah &amp; Anor v Muvami</w:t>
      </w:r>
      <w:r w:rsidR="00950DBA">
        <w:rPr>
          <w:rFonts w:ascii="Times New Roman" w:hAnsi="Times New Roman" w:cs="Times New Roman"/>
          <w:sz w:val="24"/>
          <w:szCs w:val="24"/>
        </w:rPr>
        <w:t xml:space="preserve"> HH 81-07. </w:t>
      </w:r>
      <w:r w:rsidR="001B50E6">
        <w:rPr>
          <w:rFonts w:ascii="Times New Roman" w:hAnsi="Times New Roman" w:cs="Times New Roman"/>
          <w:sz w:val="24"/>
          <w:szCs w:val="24"/>
        </w:rPr>
        <w:t>Therein, the court recognised that in dealing with applications for condonation, the</w:t>
      </w:r>
      <w:r w:rsidR="00950DBA">
        <w:rPr>
          <w:rFonts w:ascii="Times New Roman" w:hAnsi="Times New Roman" w:cs="Times New Roman"/>
          <w:sz w:val="24"/>
          <w:szCs w:val="24"/>
        </w:rPr>
        <w:t xml:space="preserve"> need to do real justice “as between parties” </w:t>
      </w:r>
      <w:r w:rsidR="001B50E6">
        <w:rPr>
          <w:rFonts w:ascii="Times New Roman" w:hAnsi="Times New Roman" w:cs="Times New Roman"/>
          <w:sz w:val="24"/>
          <w:szCs w:val="24"/>
        </w:rPr>
        <w:t>remained a critical objective.</w:t>
      </w:r>
      <w:r w:rsidR="00950DBA">
        <w:rPr>
          <w:rFonts w:ascii="Times New Roman" w:hAnsi="Times New Roman" w:cs="Times New Roman"/>
          <w:sz w:val="24"/>
          <w:szCs w:val="24"/>
        </w:rPr>
        <w:t xml:space="preserve"> Nonetheless, I noted that the delay was inexcusable given the circumstances of the matter. Particularly the adequate warmings and opportunity to remedy that characterised the matter. </w:t>
      </w:r>
    </w:p>
    <w:p w14:paraId="05BD9E98" w14:textId="15C1B514" w:rsidR="005C71D4" w:rsidRDefault="003535B0"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356918">
        <w:rPr>
          <w:rFonts w:ascii="Times New Roman" w:hAnsi="Times New Roman" w:cs="Times New Roman"/>
          <w:sz w:val="24"/>
          <w:szCs w:val="24"/>
        </w:rPr>
        <w:t xml:space="preserve">On prospects of success, </w:t>
      </w:r>
      <w:r>
        <w:rPr>
          <w:rFonts w:ascii="Times New Roman" w:hAnsi="Times New Roman" w:cs="Times New Roman"/>
          <w:sz w:val="24"/>
          <w:szCs w:val="24"/>
        </w:rPr>
        <w:t xml:space="preserve">I have also taken into account that herein, applicant seeks to enforce the terms of a deed of settlement. </w:t>
      </w:r>
      <w:r w:rsidR="00F26281">
        <w:rPr>
          <w:rFonts w:ascii="Times New Roman" w:hAnsi="Times New Roman" w:cs="Times New Roman"/>
          <w:sz w:val="24"/>
          <w:szCs w:val="24"/>
        </w:rPr>
        <w:t>Therein, the respondents had acknowledged indebtedness to applicant for payments due over tobacco seed supplied. Mr</w:t>
      </w:r>
      <w:r>
        <w:rPr>
          <w:rFonts w:ascii="Times New Roman" w:hAnsi="Times New Roman" w:cs="Times New Roman"/>
          <w:sz w:val="24"/>
          <w:szCs w:val="24"/>
        </w:rPr>
        <w:t xml:space="preserve"> </w:t>
      </w:r>
      <w:r w:rsidRPr="00356918">
        <w:rPr>
          <w:rFonts w:ascii="Times New Roman" w:hAnsi="Times New Roman" w:cs="Times New Roman"/>
          <w:i/>
          <w:iCs/>
          <w:sz w:val="24"/>
          <w:szCs w:val="24"/>
        </w:rPr>
        <w:t>Nyahuma</w:t>
      </w:r>
      <w:r>
        <w:rPr>
          <w:rFonts w:ascii="Times New Roman" w:hAnsi="Times New Roman" w:cs="Times New Roman"/>
          <w:sz w:val="24"/>
          <w:szCs w:val="24"/>
        </w:rPr>
        <w:t xml:space="preserve"> himself did not advert to the respondents` prospects of success in the main matter.</w:t>
      </w:r>
    </w:p>
    <w:p w14:paraId="3AEA1BE1" w14:textId="14115A40" w:rsidR="00826562" w:rsidRDefault="00950DBA"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535B0">
        <w:rPr>
          <w:rFonts w:ascii="Times New Roman" w:hAnsi="Times New Roman" w:cs="Times New Roman"/>
          <w:sz w:val="24"/>
          <w:szCs w:val="24"/>
        </w:rPr>
        <w:t>2</w:t>
      </w:r>
      <w:r>
        <w:rPr>
          <w:rFonts w:ascii="Times New Roman" w:hAnsi="Times New Roman" w:cs="Times New Roman"/>
          <w:sz w:val="24"/>
          <w:szCs w:val="24"/>
        </w:rPr>
        <w:t xml:space="preserve">] The matter herein is a commercial dispute. The need to dispose of such disputes expeditiously is not only </w:t>
      </w:r>
      <w:r w:rsidR="008904D1">
        <w:rPr>
          <w:rFonts w:ascii="Times New Roman" w:hAnsi="Times New Roman" w:cs="Times New Roman"/>
          <w:sz w:val="24"/>
          <w:szCs w:val="24"/>
        </w:rPr>
        <w:t>a commercial imperative, but a</w:t>
      </w:r>
      <w:r>
        <w:rPr>
          <w:rFonts w:ascii="Times New Roman" w:hAnsi="Times New Roman" w:cs="Times New Roman"/>
          <w:sz w:val="24"/>
          <w:szCs w:val="24"/>
        </w:rPr>
        <w:t xml:space="preserve"> directive </w:t>
      </w:r>
      <w:r w:rsidR="008904D1">
        <w:rPr>
          <w:rFonts w:ascii="Times New Roman" w:hAnsi="Times New Roman" w:cs="Times New Roman"/>
          <w:sz w:val="24"/>
          <w:szCs w:val="24"/>
        </w:rPr>
        <w:t>r</w:t>
      </w:r>
      <w:r>
        <w:rPr>
          <w:rFonts w:ascii="Times New Roman" w:hAnsi="Times New Roman" w:cs="Times New Roman"/>
          <w:sz w:val="24"/>
          <w:szCs w:val="24"/>
        </w:rPr>
        <w:t xml:space="preserve">eposed in the </w:t>
      </w:r>
      <w:r w:rsidR="0079671B">
        <w:rPr>
          <w:rFonts w:ascii="Times New Roman" w:hAnsi="Times New Roman" w:cs="Times New Roman"/>
          <w:sz w:val="24"/>
          <w:szCs w:val="24"/>
        </w:rPr>
        <w:t>rules</w:t>
      </w:r>
      <w:r w:rsidR="0079671B">
        <w:rPr>
          <w:rStyle w:val="FootnoteReference"/>
          <w:rFonts w:ascii="Times New Roman" w:hAnsi="Times New Roman" w:cs="Times New Roman"/>
          <w:sz w:val="24"/>
          <w:szCs w:val="24"/>
        </w:rPr>
        <w:footnoteReference w:id="2"/>
      </w:r>
      <w:r w:rsidR="0079671B">
        <w:rPr>
          <w:rFonts w:ascii="Times New Roman" w:hAnsi="Times New Roman" w:cs="Times New Roman"/>
          <w:sz w:val="24"/>
          <w:szCs w:val="24"/>
        </w:rPr>
        <w:t xml:space="preserve"> and purpose of the court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79671B">
        <w:rPr>
          <w:rFonts w:ascii="Times New Roman" w:hAnsi="Times New Roman" w:cs="Times New Roman"/>
          <w:sz w:val="24"/>
          <w:szCs w:val="24"/>
        </w:rPr>
        <w:t>.The corollary is that delays would inconvenience the applicant and impair the objects of justice as set out in the rules.</w:t>
      </w:r>
    </w:p>
    <w:p w14:paraId="54B31574" w14:textId="3C83AEC5" w:rsidR="00826562" w:rsidRDefault="00826562"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52ECE7CA" w14:textId="3205CE88" w:rsidR="00826562" w:rsidRDefault="003535B0" w:rsidP="00D85A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[ 23] </w:t>
      </w:r>
      <w:r w:rsidR="00826562">
        <w:rPr>
          <w:rFonts w:ascii="Times New Roman" w:hAnsi="Times New Roman" w:cs="Times New Roman"/>
          <w:sz w:val="24"/>
          <w:szCs w:val="24"/>
        </w:rPr>
        <w:t>It is for the aforegoing reasons that the application for upliftment of the bar by first and second respondent was refused with costs and matter ordered to proceed as unopposed.</w:t>
      </w:r>
    </w:p>
    <w:p w14:paraId="6C3C23DF" w14:textId="77777777" w:rsidR="00826562" w:rsidRDefault="00826562" w:rsidP="00D85A4D">
      <w:pPr>
        <w:spacing w:line="360" w:lineRule="auto"/>
        <w:jc w:val="both"/>
        <w:rPr>
          <w:rFonts w:ascii="Times New Roman" w:hAnsi="Times New Roman" w:cs="Times New Roman"/>
          <w:sz w:val="24"/>
          <w:szCs w:val="24"/>
        </w:rPr>
      </w:pPr>
    </w:p>
    <w:p w14:paraId="133AF19E" w14:textId="77777777" w:rsidR="00826562" w:rsidRPr="00826562" w:rsidRDefault="00826562" w:rsidP="00826562">
      <w:pPr>
        <w:pStyle w:val="NoSpacing"/>
        <w:rPr>
          <w:rFonts w:ascii="Times New Roman" w:hAnsi="Times New Roman" w:cs="Times New Roman"/>
          <w:sz w:val="24"/>
          <w:szCs w:val="24"/>
        </w:rPr>
      </w:pPr>
      <w:r w:rsidRPr="00826562">
        <w:rPr>
          <w:rFonts w:ascii="Times New Roman" w:hAnsi="Times New Roman" w:cs="Times New Roman"/>
          <w:i/>
          <w:iCs/>
          <w:sz w:val="24"/>
          <w:szCs w:val="24"/>
        </w:rPr>
        <w:t>Chihambakwe, Mtizwa &amp; Partners</w:t>
      </w:r>
      <w:r w:rsidRPr="00826562">
        <w:rPr>
          <w:rFonts w:ascii="Times New Roman" w:hAnsi="Times New Roman" w:cs="Times New Roman"/>
          <w:sz w:val="24"/>
          <w:szCs w:val="24"/>
        </w:rPr>
        <w:t xml:space="preserve"> - applicant`s legal practitioners</w:t>
      </w:r>
    </w:p>
    <w:p w14:paraId="5930B459" w14:textId="7A7DF7F1" w:rsidR="00826562" w:rsidRDefault="00826562" w:rsidP="00826562">
      <w:pPr>
        <w:pStyle w:val="NoSpacing"/>
        <w:rPr>
          <w:rFonts w:ascii="Times New Roman" w:hAnsi="Times New Roman" w:cs="Times New Roman"/>
          <w:sz w:val="24"/>
          <w:szCs w:val="24"/>
        </w:rPr>
      </w:pPr>
      <w:r w:rsidRPr="00826562">
        <w:rPr>
          <w:rFonts w:ascii="Times New Roman" w:hAnsi="Times New Roman" w:cs="Times New Roman"/>
          <w:i/>
          <w:iCs/>
          <w:sz w:val="24"/>
          <w:szCs w:val="24"/>
        </w:rPr>
        <w:t>Nyahuma`s Law</w:t>
      </w:r>
      <w:r w:rsidRPr="00826562">
        <w:rPr>
          <w:rFonts w:ascii="Times New Roman" w:hAnsi="Times New Roman" w:cs="Times New Roman"/>
          <w:sz w:val="24"/>
          <w:szCs w:val="24"/>
        </w:rPr>
        <w:t xml:space="preserve">-first and second respondent`s legal practitioners. </w:t>
      </w:r>
    </w:p>
    <w:p w14:paraId="085B3F12" w14:textId="77777777" w:rsidR="00826562" w:rsidRDefault="00826562" w:rsidP="00826562">
      <w:pPr>
        <w:pStyle w:val="NoSpacing"/>
        <w:rPr>
          <w:rFonts w:ascii="Times New Roman" w:hAnsi="Times New Roman" w:cs="Times New Roman"/>
          <w:sz w:val="24"/>
          <w:szCs w:val="24"/>
        </w:rPr>
      </w:pPr>
    </w:p>
    <w:p w14:paraId="28CB3ACA" w14:textId="77777777" w:rsidR="00826562" w:rsidRDefault="00826562" w:rsidP="00826562">
      <w:pPr>
        <w:pStyle w:val="NoSpacing"/>
        <w:rPr>
          <w:rFonts w:ascii="Times New Roman" w:hAnsi="Times New Roman" w:cs="Times New Roman"/>
          <w:sz w:val="24"/>
          <w:szCs w:val="24"/>
        </w:rPr>
      </w:pPr>
    </w:p>
    <w:p w14:paraId="33807A23" w14:textId="77777777" w:rsidR="00826562" w:rsidRDefault="00826562" w:rsidP="00826562">
      <w:pPr>
        <w:pStyle w:val="NoSpacing"/>
        <w:rPr>
          <w:rFonts w:ascii="Times New Roman" w:hAnsi="Times New Roman" w:cs="Times New Roman"/>
          <w:sz w:val="24"/>
          <w:szCs w:val="24"/>
        </w:rPr>
      </w:pPr>
    </w:p>
    <w:p w14:paraId="6D429D45" w14:textId="77777777" w:rsidR="00826562" w:rsidRDefault="00826562" w:rsidP="00826562">
      <w:pPr>
        <w:pStyle w:val="NoSpacing"/>
        <w:rPr>
          <w:rFonts w:ascii="Times New Roman" w:hAnsi="Times New Roman" w:cs="Times New Roman"/>
          <w:sz w:val="24"/>
          <w:szCs w:val="24"/>
        </w:rPr>
      </w:pPr>
    </w:p>
    <w:p w14:paraId="7F53DB31" w14:textId="56226D3D" w:rsidR="00826562" w:rsidRPr="00826562" w:rsidRDefault="00826562" w:rsidP="00826562">
      <w:pPr>
        <w:pStyle w:val="NoSpacing"/>
        <w:rPr>
          <w:rFonts w:ascii="Times New Roman" w:hAnsi="Times New Roman" w:cs="Times New Roman"/>
          <w:b/>
          <w:bCs/>
          <w:sz w:val="18"/>
          <w:szCs w:val="18"/>
        </w:rPr>
      </w:pPr>
      <w:r>
        <w:rPr>
          <w:rFonts w:ascii="Times New Roman" w:hAnsi="Times New Roman" w:cs="Times New Roman"/>
          <w:sz w:val="24"/>
          <w:szCs w:val="24"/>
        </w:rPr>
        <w:t xml:space="preserve">                                                                                                         </w:t>
      </w:r>
      <w:r w:rsidRPr="00826562">
        <w:rPr>
          <w:rFonts w:ascii="Times New Roman" w:hAnsi="Times New Roman" w:cs="Times New Roman"/>
          <w:b/>
          <w:bCs/>
          <w:sz w:val="18"/>
          <w:szCs w:val="18"/>
        </w:rPr>
        <w:t>[CHILIMBE J__7/6/24]</w:t>
      </w:r>
    </w:p>
    <w:sectPr w:rsidR="00826562" w:rsidRPr="008265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A9B54" w14:textId="77777777" w:rsidR="00AA4685" w:rsidRDefault="00AA4685" w:rsidP="00F5499B">
      <w:pPr>
        <w:spacing w:after="0" w:line="240" w:lineRule="auto"/>
      </w:pPr>
      <w:r>
        <w:separator/>
      </w:r>
    </w:p>
  </w:endnote>
  <w:endnote w:type="continuationSeparator" w:id="0">
    <w:p w14:paraId="654961E7" w14:textId="77777777" w:rsidR="00AA4685" w:rsidRDefault="00AA4685" w:rsidP="00F5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495E5" w14:textId="77777777" w:rsidR="00AA4685" w:rsidRDefault="00AA4685" w:rsidP="00F5499B">
      <w:pPr>
        <w:spacing w:after="0" w:line="240" w:lineRule="auto"/>
      </w:pPr>
      <w:r>
        <w:separator/>
      </w:r>
    </w:p>
  </w:footnote>
  <w:footnote w:type="continuationSeparator" w:id="0">
    <w:p w14:paraId="2394071F" w14:textId="77777777" w:rsidR="00AA4685" w:rsidRDefault="00AA4685" w:rsidP="00F5499B">
      <w:pPr>
        <w:spacing w:after="0" w:line="240" w:lineRule="auto"/>
      </w:pPr>
      <w:r>
        <w:continuationSeparator/>
      </w:r>
    </w:p>
  </w:footnote>
  <w:footnote w:id="1">
    <w:p w14:paraId="1144927C" w14:textId="0BE73712" w:rsidR="0061291F" w:rsidRDefault="0061291F">
      <w:pPr>
        <w:pStyle w:val="FootnoteText"/>
      </w:pPr>
      <w:r>
        <w:rPr>
          <w:rStyle w:val="FootnoteReference"/>
        </w:rPr>
        <w:footnoteRef/>
      </w:r>
      <w:r>
        <w:t xml:space="preserve"> </w:t>
      </w:r>
      <w:r w:rsidR="007B5D67">
        <w:t>Now part IX rules 64-66 of the High Court Rules 2021 SI 202/21</w:t>
      </w:r>
    </w:p>
  </w:footnote>
  <w:footnote w:id="2">
    <w:p w14:paraId="4F6D451C" w14:textId="77777777" w:rsidR="0079671B" w:rsidRPr="008904D1" w:rsidRDefault="0079671B" w:rsidP="0079671B">
      <w:pPr>
        <w:pStyle w:val="FootnoteText"/>
        <w:rPr>
          <w:sz w:val="18"/>
          <w:szCs w:val="18"/>
        </w:rPr>
      </w:pPr>
      <w:r>
        <w:rPr>
          <w:rStyle w:val="FootnoteReference"/>
        </w:rPr>
        <w:footnoteRef/>
      </w:r>
      <w:r>
        <w:t xml:space="preserve"> </w:t>
      </w:r>
      <w:r w:rsidRPr="008904D1">
        <w:rPr>
          <w:sz w:val="18"/>
          <w:szCs w:val="18"/>
        </w:rPr>
        <w:t xml:space="preserve">See rule 4 of the Commercial Court Rules as read with the Second Schedule </w:t>
      </w:r>
    </w:p>
  </w:footnote>
  <w:footnote w:id="3">
    <w:p w14:paraId="4E00FE60" w14:textId="7D3A86B7" w:rsidR="00950DBA" w:rsidRPr="00826562" w:rsidRDefault="00950DBA" w:rsidP="00950DBA">
      <w:pPr>
        <w:pStyle w:val="FootnoteText"/>
        <w:jc w:val="both"/>
        <w:rPr>
          <w:rFonts w:cstheme="minorHAnsi"/>
          <w:sz w:val="18"/>
          <w:szCs w:val="18"/>
        </w:rPr>
      </w:pPr>
      <w:r w:rsidRPr="008904D1">
        <w:rPr>
          <w:rStyle w:val="FootnoteReference"/>
          <w:sz w:val="18"/>
          <w:szCs w:val="18"/>
        </w:rPr>
        <w:footnoteRef/>
      </w:r>
      <w:r w:rsidRPr="008904D1">
        <w:rPr>
          <w:sz w:val="18"/>
          <w:szCs w:val="18"/>
        </w:rPr>
        <w:t xml:space="preserve"> </w:t>
      </w:r>
      <w:r w:rsidRPr="008904D1">
        <w:rPr>
          <w:rFonts w:cstheme="minorHAnsi"/>
          <w:sz w:val="18"/>
          <w:szCs w:val="18"/>
        </w:rPr>
        <w:t xml:space="preserve">In General Notice </w:t>
      </w:r>
      <w:r w:rsidR="00826562" w:rsidRPr="008904D1">
        <w:rPr>
          <w:rFonts w:cstheme="minorHAnsi"/>
          <w:sz w:val="18"/>
          <w:szCs w:val="18"/>
        </w:rPr>
        <w:t xml:space="preserve">640-17 </w:t>
      </w:r>
      <w:r w:rsidRPr="008904D1">
        <w:rPr>
          <w:rFonts w:cstheme="minorHAnsi"/>
          <w:sz w:val="18"/>
          <w:szCs w:val="18"/>
        </w:rPr>
        <w:t xml:space="preserve">published in the Gazette on 27 October </w:t>
      </w:r>
      <w:r w:rsidR="00826562" w:rsidRPr="008904D1">
        <w:rPr>
          <w:rFonts w:cstheme="minorHAnsi"/>
          <w:sz w:val="18"/>
          <w:szCs w:val="18"/>
        </w:rPr>
        <w:t xml:space="preserve"> the Chief Justice of the Republic Honourable Mr Justice L.Malaba  declared as follows ;-</w:t>
      </w:r>
      <w:r w:rsidRPr="008904D1">
        <w:rPr>
          <w:rFonts w:cstheme="minorHAnsi"/>
          <w:sz w:val="18"/>
          <w:szCs w:val="18"/>
        </w:rPr>
        <w:t>“NOTICE is hereby given in terms of section 46A of the High Court Act [Chapter 7:06], that after consultation with the Judge President and in the interest of expediting justice delivery and promoting the ease of access to justice, a specialised</w:t>
      </w:r>
      <w:r w:rsidRPr="00826562">
        <w:rPr>
          <w:rFonts w:cstheme="minorHAnsi"/>
          <w:sz w:val="18"/>
          <w:szCs w:val="18"/>
        </w:rPr>
        <w:t xml:space="preserve"> division of the High Court to be known as the Commercial Division of the High Court is hereby created to adjudicate commercial law disputes and hear all appeals, reviews, applications and petitions which lie to the High Court relating to commercial disputes</w:t>
      </w:r>
      <w:r w:rsidR="00826562" w:rsidRPr="00826562">
        <w:rPr>
          <w:rFonts w:cstheme="minorHAnsi"/>
          <w:sz w:val="18"/>
          <w:szCs w:val="18"/>
        </w:rPr>
        <w:t>”</w:t>
      </w:r>
      <w:r w:rsidRPr="00826562">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43175751"/>
      <w:docPartObj>
        <w:docPartGallery w:val="Page Numbers (Top of Page)"/>
        <w:docPartUnique/>
      </w:docPartObj>
    </w:sdtPr>
    <w:sdtEndPr>
      <w:rPr>
        <w:noProof/>
      </w:rPr>
    </w:sdtEndPr>
    <w:sdtContent>
      <w:p w14:paraId="74C93761" w14:textId="1C51236E" w:rsidR="00F5499B" w:rsidRPr="001B50E6" w:rsidRDefault="00F5499B" w:rsidP="003726D2">
        <w:pPr>
          <w:pStyle w:val="Header"/>
          <w:jc w:val="right"/>
          <w:rPr>
            <w:b/>
            <w:bCs/>
            <w:noProof/>
            <w:sz w:val="18"/>
            <w:szCs w:val="18"/>
          </w:rPr>
        </w:pPr>
        <w:r w:rsidRPr="001B50E6">
          <w:rPr>
            <w:b/>
            <w:bCs/>
            <w:sz w:val="18"/>
            <w:szCs w:val="18"/>
          </w:rPr>
          <w:fldChar w:fldCharType="begin"/>
        </w:r>
        <w:r w:rsidRPr="001B50E6">
          <w:rPr>
            <w:b/>
            <w:bCs/>
            <w:sz w:val="18"/>
            <w:szCs w:val="18"/>
          </w:rPr>
          <w:instrText xml:space="preserve"> PAGE   \* MERGEFORMAT </w:instrText>
        </w:r>
        <w:r w:rsidRPr="001B50E6">
          <w:rPr>
            <w:b/>
            <w:bCs/>
            <w:sz w:val="18"/>
            <w:szCs w:val="18"/>
          </w:rPr>
          <w:fldChar w:fldCharType="separate"/>
        </w:r>
        <w:r w:rsidR="003726D2">
          <w:rPr>
            <w:b/>
            <w:bCs/>
            <w:noProof/>
            <w:sz w:val="18"/>
            <w:szCs w:val="18"/>
          </w:rPr>
          <w:t>1</w:t>
        </w:r>
        <w:r w:rsidRPr="001B50E6">
          <w:rPr>
            <w:b/>
            <w:bCs/>
            <w:noProof/>
            <w:sz w:val="18"/>
            <w:szCs w:val="18"/>
          </w:rPr>
          <w:fldChar w:fldCharType="end"/>
        </w:r>
      </w:p>
      <w:p w14:paraId="368999ED" w14:textId="0D53D13F" w:rsidR="00D85A4D" w:rsidRPr="001B50E6" w:rsidRDefault="00D85A4D" w:rsidP="003726D2">
        <w:pPr>
          <w:pStyle w:val="Header"/>
          <w:jc w:val="right"/>
          <w:rPr>
            <w:b/>
            <w:bCs/>
            <w:noProof/>
            <w:sz w:val="18"/>
            <w:szCs w:val="18"/>
          </w:rPr>
        </w:pPr>
        <w:r w:rsidRPr="001B50E6">
          <w:rPr>
            <w:b/>
            <w:bCs/>
            <w:noProof/>
            <w:sz w:val="18"/>
            <w:szCs w:val="18"/>
          </w:rPr>
          <w:t>HH</w:t>
        </w:r>
        <w:r w:rsidR="002432DB" w:rsidRPr="001B50E6">
          <w:rPr>
            <w:b/>
            <w:bCs/>
            <w:noProof/>
            <w:sz w:val="18"/>
            <w:szCs w:val="18"/>
          </w:rPr>
          <w:t xml:space="preserve"> </w:t>
        </w:r>
        <w:r w:rsidR="00F26281">
          <w:rPr>
            <w:b/>
            <w:bCs/>
            <w:noProof/>
            <w:sz w:val="18"/>
            <w:szCs w:val="18"/>
          </w:rPr>
          <w:t>2</w:t>
        </w:r>
        <w:r w:rsidR="002432DB" w:rsidRPr="001B50E6">
          <w:rPr>
            <w:b/>
            <w:bCs/>
            <w:noProof/>
            <w:sz w:val="18"/>
            <w:szCs w:val="18"/>
          </w:rPr>
          <w:t>38-24</w:t>
        </w:r>
      </w:p>
      <w:p w14:paraId="475E97C6" w14:textId="2F0A3B16" w:rsidR="00F5499B" w:rsidRPr="001B50E6" w:rsidRDefault="00F5499B" w:rsidP="003726D2">
        <w:pPr>
          <w:pStyle w:val="Header"/>
          <w:jc w:val="right"/>
          <w:rPr>
            <w:b/>
            <w:bCs/>
            <w:sz w:val="18"/>
            <w:szCs w:val="18"/>
          </w:rPr>
        </w:pPr>
        <w:r w:rsidRPr="001B50E6">
          <w:rPr>
            <w:b/>
            <w:bCs/>
            <w:noProof/>
            <w:sz w:val="18"/>
            <w:szCs w:val="18"/>
          </w:rPr>
          <w:t>HCHC 52/24</w:t>
        </w:r>
      </w:p>
    </w:sdtContent>
  </w:sdt>
  <w:p w14:paraId="143FFA55" w14:textId="77777777" w:rsidR="00F5499B" w:rsidRDefault="00F5499B" w:rsidP="003726D2">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846"/>
    <w:multiLevelType w:val="hybridMultilevel"/>
    <w:tmpl w:val="30B0499C"/>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DF6D51"/>
    <w:multiLevelType w:val="hybridMultilevel"/>
    <w:tmpl w:val="09F8C97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89C3F74"/>
    <w:multiLevelType w:val="hybridMultilevel"/>
    <w:tmpl w:val="053AEA0C"/>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5F771F4"/>
    <w:multiLevelType w:val="hybridMultilevel"/>
    <w:tmpl w:val="EBEA20CE"/>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1D54078"/>
    <w:multiLevelType w:val="hybridMultilevel"/>
    <w:tmpl w:val="EF344956"/>
    <w:lvl w:ilvl="0" w:tplc="30090011">
      <w:start w:val="1"/>
      <w:numFmt w:val="decimal"/>
      <w:lvlText w:val="%1)"/>
      <w:lvlJc w:val="left"/>
      <w:pPr>
        <w:ind w:left="2211" w:hanging="360"/>
      </w:pPr>
    </w:lvl>
    <w:lvl w:ilvl="1" w:tplc="30090019" w:tentative="1">
      <w:start w:val="1"/>
      <w:numFmt w:val="lowerLetter"/>
      <w:lvlText w:val="%2."/>
      <w:lvlJc w:val="left"/>
      <w:pPr>
        <w:ind w:left="2931" w:hanging="360"/>
      </w:pPr>
    </w:lvl>
    <w:lvl w:ilvl="2" w:tplc="3009001B" w:tentative="1">
      <w:start w:val="1"/>
      <w:numFmt w:val="lowerRoman"/>
      <w:lvlText w:val="%3."/>
      <w:lvlJc w:val="right"/>
      <w:pPr>
        <w:ind w:left="3651" w:hanging="180"/>
      </w:pPr>
    </w:lvl>
    <w:lvl w:ilvl="3" w:tplc="3009000F" w:tentative="1">
      <w:start w:val="1"/>
      <w:numFmt w:val="decimal"/>
      <w:lvlText w:val="%4."/>
      <w:lvlJc w:val="left"/>
      <w:pPr>
        <w:ind w:left="4371" w:hanging="360"/>
      </w:pPr>
    </w:lvl>
    <w:lvl w:ilvl="4" w:tplc="30090019" w:tentative="1">
      <w:start w:val="1"/>
      <w:numFmt w:val="lowerLetter"/>
      <w:lvlText w:val="%5."/>
      <w:lvlJc w:val="left"/>
      <w:pPr>
        <w:ind w:left="5091" w:hanging="360"/>
      </w:pPr>
    </w:lvl>
    <w:lvl w:ilvl="5" w:tplc="3009001B" w:tentative="1">
      <w:start w:val="1"/>
      <w:numFmt w:val="lowerRoman"/>
      <w:lvlText w:val="%6."/>
      <w:lvlJc w:val="right"/>
      <w:pPr>
        <w:ind w:left="5811" w:hanging="180"/>
      </w:pPr>
    </w:lvl>
    <w:lvl w:ilvl="6" w:tplc="3009000F" w:tentative="1">
      <w:start w:val="1"/>
      <w:numFmt w:val="decimal"/>
      <w:lvlText w:val="%7."/>
      <w:lvlJc w:val="left"/>
      <w:pPr>
        <w:ind w:left="6531" w:hanging="360"/>
      </w:pPr>
    </w:lvl>
    <w:lvl w:ilvl="7" w:tplc="30090019" w:tentative="1">
      <w:start w:val="1"/>
      <w:numFmt w:val="lowerLetter"/>
      <w:lvlText w:val="%8."/>
      <w:lvlJc w:val="left"/>
      <w:pPr>
        <w:ind w:left="7251" w:hanging="360"/>
      </w:pPr>
    </w:lvl>
    <w:lvl w:ilvl="8" w:tplc="3009001B" w:tentative="1">
      <w:start w:val="1"/>
      <w:numFmt w:val="lowerRoman"/>
      <w:lvlText w:val="%9."/>
      <w:lvlJc w:val="right"/>
      <w:pPr>
        <w:ind w:left="7971" w:hanging="180"/>
      </w:pPr>
    </w:lvl>
  </w:abstractNum>
  <w:abstractNum w:abstractNumId="5" w15:restartNumberingAfterBreak="0">
    <w:nsid w:val="77A843D0"/>
    <w:multiLevelType w:val="hybridMultilevel"/>
    <w:tmpl w:val="8F4E266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9B"/>
    <w:rsid w:val="000A3326"/>
    <w:rsid w:val="001047AB"/>
    <w:rsid w:val="001B50E6"/>
    <w:rsid w:val="001F735F"/>
    <w:rsid w:val="002432DB"/>
    <w:rsid w:val="002B10D3"/>
    <w:rsid w:val="002F38F8"/>
    <w:rsid w:val="003535B0"/>
    <w:rsid w:val="00356918"/>
    <w:rsid w:val="003726D2"/>
    <w:rsid w:val="003A6E49"/>
    <w:rsid w:val="003D158E"/>
    <w:rsid w:val="003E7F36"/>
    <w:rsid w:val="004D4138"/>
    <w:rsid w:val="00502CC1"/>
    <w:rsid w:val="005219FD"/>
    <w:rsid w:val="005C71D4"/>
    <w:rsid w:val="0061291F"/>
    <w:rsid w:val="00616370"/>
    <w:rsid w:val="0068621E"/>
    <w:rsid w:val="006E46D1"/>
    <w:rsid w:val="006E5E44"/>
    <w:rsid w:val="00743640"/>
    <w:rsid w:val="0079671B"/>
    <w:rsid w:val="007B1AD2"/>
    <w:rsid w:val="007B5D67"/>
    <w:rsid w:val="00826562"/>
    <w:rsid w:val="0085596D"/>
    <w:rsid w:val="00861E73"/>
    <w:rsid w:val="008904D1"/>
    <w:rsid w:val="008C4601"/>
    <w:rsid w:val="00950DBA"/>
    <w:rsid w:val="009B0A3D"/>
    <w:rsid w:val="009D77D0"/>
    <w:rsid w:val="00AA4685"/>
    <w:rsid w:val="00B12BEB"/>
    <w:rsid w:val="00C518CC"/>
    <w:rsid w:val="00CB44D1"/>
    <w:rsid w:val="00D306CC"/>
    <w:rsid w:val="00D4767B"/>
    <w:rsid w:val="00D85A4D"/>
    <w:rsid w:val="00E07F0B"/>
    <w:rsid w:val="00F25B7B"/>
    <w:rsid w:val="00F26281"/>
    <w:rsid w:val="00F549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B0F0"/>
  <w15:chartTrackingRefBased/>
  <w15:docId w15:val="{14C65B04-146A-45D3-9436-90442599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99B"/>
  </w:style>
  <w:style w:type="paragraph" w:styleId="Footer">
    <w:name w:val="footer"/>
    <w:basedOn w:val="Normal"/>
    <w:link w:val="FooterChar"/>
    <w:uiPriority w:val="99"/>
    <w:unhideWhenUsed/>
    <w:rsid w:val="00F54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99B"/>
  </w:style>
  <w:style w:type="paragraph" w:styleId="FootnoteText">
    <w:name w:val="footnote text"/>
    <w:basedOn w:val="Normal"/>
    <w:link w:val="FootnoteTextChar"/>
    <w:uiPriority w:val="99"/>
    <w:semiHidden/>
    <w:unhideWhenUsed/>
    <w:rsid w:val="00612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91F"/>
    <w:rPr>
      <w:sz w:val="20"/>
      <w:szCs w:val="20"/>
    </w:rPr>
  </w:style>
  <w:style w:type="character" w:styleId="FootnoteReference">
    <w:name w:val="footnote reference"/>
    <w:basedOn w:val="DefaultParagraphFont"/>
    <w:uiPriority w:val="99"/>
    <w:semiHidden/>
    <w:unhideWhenUsed/>
    <w:rsid w:val="0061291F"/>
    <w:rPr>
      <w:vertAlign w:val="superscript"/>
    </w:rPr>
  </w:style>
  <w:style w:type="paragraph" w:styleId="NoSpacing">
    <w:name w:val="No Spacing"/>
    <w:uiPriority w:val="1"/>
    <w:qFormat/>
    <w:rsid w:val="007B5D67"/>
    <w:pPr>
      <w:spacing w:after="0" w:line="240" w:lineRule="auto"/>
    </w:pPr>
  </w:style>
  <w:style w:type="paragraph" w:styleId="ListParagraph">
    <w:name w:val="List Paragraph"/>
    <w:basedOn w:val="Normal"/>
    <w:uiPriority w:val="34"/>
    <w:qFormat/>
    <w:rsid w:val="002B1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2024-06-07T20:29:00Z</cp:lastPrinted>
  <dcterms:created xsi:type="dcterms:W3CDTF">2024-06-11T08:13:00Z</dcterms:created>
  <dcterms:modified xsi:type="dcterms:W3CDTF">2024-06-11T08:13:00Z</dcterms:modified>
</cp:coreProperties>
</file>