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93A" w:rsidRDefault="00EB593A" w:rsidP="00EB593A">
      <w:pPr>
        <w:spacing w:line="360" w:lineRule="auto"/>
        <w:jc w:val="both"/>
        <w:rPr>
          <w:b/>
        </w:rPr>
      </w:pPr>
      <w:r w:rsidRPr="00047C13">
        <w:rPr>
          <w:b/>
        </w:rPr>
        <w:t>IN T</w:t>
      </w:r>
      <w:r>
        <w:rPr>
          <w:b/>
        </w:rPr>
        <w:t xml:space="preserve">HE </w:t>
      </w:r>
      <w:r w:rsidR="001B44C8">
        <w:rPr>
          <w:b/>
        </w:rPr>
        <w:t xml:space="preserve">LABOUR COURT OF ZIMBABWE      </w:t>
      </w:r>
      <w:r>
        <w:rPr>
          <w:b/>
        </w:rPr>
        <w:t>JUDGMENT NO. LC/H/</w:t>
      </w:r>
      <w:r w:rsidR="001B44C8">
        <w:rPr>
          <w:b/>
        </w:rPr>
        <w:t>207</w:t>
      </w:r>
      <w:r>
        <w:rPr>
          <w:b/>
        </w:rPr>
        <w:t>/2014</w:t>
      </w:r>
    </w:p>
    <w:p w:rsidR="00EB593A" w:rsidRDefault="00EB593A" w:rsidP="00EB593A">
      <w:pPr>
        <w:spacing w:line="360" w:lineRule="auto"/>
        <w:jc w:val="both"/>
        <w:rPr>
          <w:b/>
        </w:rPr>
      </w:pPr>
      <w:r w:rsidRPr="00047C13">
        <w:rPr>
          <w:b/>
        </w:rPr>
        <w:t xml:space="preserve">HARARE, </w:t>
      </w:r>
      <w:r>
        <w:rPr>
          <w:b/>
        </w:rPr>
        <w:t>15 JANUARY 2014</w:t>
      </w:r>
      <w:r w:rsidRPr="00047C13">
        <w:rPr>
          <w:b/>
        </w:rPr>
        <w:t xml:space="preserve">    </w:t>
      </w:r>
      <w:r w:rsidRPr="00047C13">
        <w:rPr>
          <w:b/>
        </w:rPr>
        <w:tab/>
      </w:r>
      <w:r w:rsidRPr="00047C13">
        <w:rPr>
          <w:b/>
        </w:rPr>
        <w:tab/>
      </w:r>
      <w:r>
        <w:rPr>
          <w:b/>
        </w:rPr>
        <w:t xml:space="preserve">    </w:t>
      </w:r>
      <w:r w:rsidRPr="00047C13">
        <w:rPr>
          <w:b/>
        </w:rPr>
        <w:t xml:space="preserve"> </w:t>
      </w:r>
      <w:r>
        <w:rPr>
          <w:b/>
        </w:rPr>
        <w:tab/>
        <w:t xml:space="preserve">     </w:t>
      </w:r>
      <w:r w:rsidRPr="00047C13">
        <w:rPr>
          <w:b/>
        </w:rPr>
        <w:t>CASE NO. LC/H/</w:t>
      </w:r>
      <w:r>
        <w:rPr>
          <w:b/>
        </w:rPr>
        <w:t>152/12</w:t>
      </w:r>
    </w:p>
    <w:p w:rsidR="00D43A75" w:rsidRDefault="00D43A75" w:rsidP="00EB593A">
      <w:pPr>
        <w:spacing w:line="360" w:lineRule="auto"/>
        <w:jc w:val="both"/>
        <w:rPr>
          <w:b/>
        </w:rPr>
      </w:pPr>
      <w:r>
        <w:rPr>
          <w:b/>
        </w:rPr>
        <w:t>&amp; 11</w:t>
      </w:r>
      <w:r>
        <w:rPr>
          <w:b/>
          <w:vertAlign w:val="superscript"/>
        </w:rPr>
        <w:t xml:space="preserve">TH </w:t>
      </w:r>
      <w:r>
        <w:rPr>
          <w:b/>
        </w:rPr>
        <w:t>APRIL 2014</w:t>
      </w:r>
    </w:p>
    <w:p w:rsidR="00EB593A" w:rsidRPr="00047C13" w:rsidRDefault="00EB593A" w:rsidP="00EB593A">
      <w:pPr>
        <w:spacing w:line="360" w:lineRule="auto"/>
        <w:jc w:val="both"/>
      </w:pPr>
      <w:r w:rsidRPr="00047C13">
        <w:t>In the matter between</w:t>
      </w:r>
      <w:r>
        <w:t>:-</w:t>
      </w:r>
    </w:p>
    <w:p w:rsidR="00EB593A" w:rsidRPr="00047C13" w:rsidRDefault="00EB593A" w:rsidP="00EB593A">
      <w:pPr>
        <w:spacing w:line="360" w:lineRule="auto"/>
        <w:jc w:val="both"/>
      </w:pPr>
    </w:p>
    <w:p w:rsidR="00EB593A" w:rsidRPr="00047C13" w:rsidRDefault="00EB593A" w:rsidP="00EB593A">
      <w:pPr>
        <w:spacing w:line="360" w:lineRule="auto"/>
        <w:jc w:val="both"/>
        <w:rPr>
          <w:b/>
        </w:rPr>
      </w:pPr>
      <w:r>
        <w:rPr>
          <w:b/>
        </w:rPr>
        <w:t>TOBACCO PROCESSORS ZIMBABWE (PVT) LTD</w:t>
      </w:r>
      <w:r>
        <w:rPr>
          <w:b/>
        </w:rPr>
        <w:tab/>
      </w:r>
      <w:r>
        <w:rPr>
          <w:b/>
        </w:rPr>
        <w:tab/>
      </w:r>
      <w:r>
        <w:rPr>
          <w:b/>
        </w:rPr>
        <w:tab/>
        <w:t>Appellant</w:t>
      </w:r>
    </w:p>
    <w:p w:rsidR="00EB593A" w:rsidRPr="00047C13" w:rsidRDefault="00EB593A" w:rsidP="00EB593A">
      <w:pPr>
        <w:tabs>
          <w:tab w:val="left" w:pos="1995"/>
        </w:tabs>
        <w:spacing w:line="360" w:lineRule="auto"/>
        <w:jc w:val="both"/>
      </w:pPr>
      <w:r w:rsidRPr="00047C13">
        <w:t>And</w:t>
      </w:r>
      <w:r w:rsidRPr="00047C13">
        <w:tab/>
      </w:r>
    </w:p>
    <w:p w:rsidR="00EB593A" w:rsidRDefault="00EB593A" w:rsidP="00EB593A">
      <w:pPr>
        <w:spacing w:line="360" w:lineRule="auto"/>
        <w:jc w:val="both"/>
        <w:rPr>
          <w:b/>
        </w:rPr>
      </w:pPr>
      <w:r>
        <w:rPr>
          <w:b/>
        </w:rPr>
        <w:t>RONALD MUKUNA</w:t>
      </w:r>
      <w:r>
        <w:rPr>
          <w:b/>
        </w:rPr>
        <w:tab/>
      </w:r>
      <w:r>
        <w:rPr>
          <w:b/>
        </w:rPr>
        <w:tab/>
      </w:r>
      <w:r>
        <w:rPr>
          <w:b/>
        </w:rPr>
        <w:tab/>
      </w:r>
      <w:r>
        <w:rPr>
          <w:b/>
        </w:rPr>
        <w:tab/>
      </w:r>
      <w:r>
        <w:rPr>
          <w:b/>
        </w:rPr>
        <w:tab/>
      </w:r>
      <w:r>
        <w:rPr>
          <w:b/>
        </w:rPr>
        <w:tab/>
      </w:r>
      <w:r>
        <w:rPr>
          <w:b/>
        </w:rPr>
        <w:tab/>
        <w:t>Respondent</w:t>
      </w:r>
    </w:p>
    <w:p w:rsidR="00EB593A" w:rsidRPr="00047C13" w:rsidRDefault="00EB593A" w:rsidP="00EB593A">
      <w:pPr>
        <w:spacing w:line="360" w:lineRule="auto"/>
        <w:jc w:val="both"/>
        <w:rPr>
          <w:b/>
        </w:rPr>
      </w:pPr>
    </w:p>
    <w:p w:rsidR="00EB593A" w:rsidRPr="00047C13" w:rsidRDefault="00EB593A" w:rsidP="00EB593A">
      <w:pPr>
        <w:spacing w:line="360" w:lineRule="auto"/>
        <w:jc w:val="both"/>
      </w:pPr>
      <w:r>
        <w:t xml:space="preserve">Before </w:t>
      </w:r>
      <w:r w:rsidRPr="00047C13">
        <w:t>Honourable</w:t>
      </w:r>
      <w:r>
        <w:t xml:space="preserve"> R. Manyangadze, J</w:t>
      </w:r>
    </w:p>
    <w:p w:rsidR="00EB593A" w:rsidRPr="00047C13" w:rsidRDefault="00EB593A" w:rsidP="00EB593A">
      <w:pPr>
        <w:spacing w:line="360" w:lineRule="auto"/>
        <w:jc w:val="both"/>
      </w:pPr>
      <w:r w:rsidRPr="00047C13">
        <w:tab/>
      </w:r>
      <w:r w:rsidRPr="00047C13">
        <w:tab/>
      </w:r>
      <w:r w:rsidRPr="00047C13">
        <w:tab/>
      </w:r>
    </w:p>
    <w:p w:rsidR="00EB593A" w:rsidRDefault="00EB593A" w:rsidP="00EB593A">
      <w:pPr>
        <w:spacing w:line="360" w:lineRule="auto"/>
        <w:jc w:val="both"/>
        <w:rPr>
          <w:b/>
        </w:rPr>
      </w:pPr>
      <w:r>
        <w:rPr>
          <w:b/>
        </w:rPr>
        <w:t>For Appellant</w:t>
      </w:r>
      <w:r w:rsidRPr="00047C13">
        <w:rPr>
          <w:b/>
        </w:rPr>
        <w:t xml:space="preserve"> </w:t>
      </w:r>
      <w:r w:rsidRPr="00047C13">
        <w:rPr>
          <w:b/>
        </w:rPr>
        <w:tab/>
      </w:r>
      <w:r>
        <w:rPr>
          <w:b/>
        </w:rPr>
        <w:tab/>
      </w:r>
      <w:r w:rsidRPr="00047C13">
        <w:rPr>
          <w:b/>
        </w:rPr>
        <w:t>-</w:t>
      </w:r>
      <w:r w:rsidRPr="00047C13">
        <w:rPr>
          <w:b/>
        </w:rPr>
        <w:tab/>
      </w:r>
      <w:r>
        <w:rPr>
          <w:b/>
        </w:rPr>
        <w:t>Advocate T. Mpofu (Legal Practitioner)</w:t>
      </w:r>
    </w:p>
    <w:p w:rsidR="00EB593A" w:rsidRDefault="00EB593A" w:rsidP="00EB593A">
      <w:pPr>
        <w:spacing w:line="360" w:lineRule="auto"/>
        <w:jc w:val="both"/>
        <w:rPr>
          <w:b/>
        </w:rPr>
      </w:pPr>
      <w:r>
        <w:rPr>
          <w:b/>
        </w:rPr>
        <w:t>For Respondent</w:t>
      </w:r>
      <w:r>
        <w:rPr>
          <w:b/>
        </w:rPr>
        <w:tab/>
      </w:r>
      <w:r>
        <w:rPr>
          <w:b/>
        </w:rPr>
        <w:tab/>
        <w:t>-</w:t>
      </w:r>
      <w:r>
        <w:rPr>
          <w:b/>
        </w:rPr>
        <w:tab/>
        <w:t>Mr. B. Furidzo (Legal Practitioner)</w:t>
      </w:r>
    </w:p>
    <w:p w:rsidR="00EB593A" w:rsidRPr="00047C13" w:rsidRDefault="00EB593A" w:rsidP="00EB593A">
      <w:pPr>
        <w:spacing w:line="360" w:lineRule="auto"/>
        <w:jc w:val="both"/>
        <w:rPr>
          <w:b/>
        </w:rPr>
      </w:pPr>
    </w:p>
    <w:p w:rsidR="00EB593A" w:rsidRDefault="00EB593A" w:rsidP="00EB593A">
      <w:pPr>
        <w:spacing w:line="360" w:lineRule="auto"/>
        <w:jc w:val="both"/>
        <w:rPr>
          <w:b/>
        </w:rPr>
      </w:pPr>
      <w:r>
        <w:rPr>
          <w:b/>
        </w:rPr>
        <w:t>MANYANGADZE, J:</w:t>
      </w:r>
    </w:p>
    <w:p w:rsidR="005E11A0" w:rsidRDefault="005E11A0" w:rsidP="00EB593A">
      <w:pPr>
        <w:jc w:val="both"/>
      </w:pPr>
    </w:p>
    <w:p w:rsidR="00EB593A" w:rsidRDefault="00EB593A" w:rsidP="00EB593A">
      <w:pPr>
        <w:spacing w:line="360" w:lineRule="auto"/>
        <w:jc w:val="both"/>
      </w:pPr>
      <w:r>
        <w:tab/>
        <w:t>This is an appeal against the decision of the National Employment Council (NEC) Grievance &amp; Disciplinary Committee (GDC) which confirmed Respondent’s conviction for misconduct, and imposed a penalty of a final warning.</w:t>
      </w:r>
    </w:p>
    <w:p w:rsidR="00EB593A" w:rsidRDefault="00EB593A" w:rsidP="005B48A2">
      <w:pPr>
        <w:jc w:val="both"/>
      </w:pPr>
    </w:p>
    <w:p w:rsidR="00EB593A" w:rsidRDefault="00EB593A" w:rsidP="00EB593A">
      <w:pPr>
        <w:spacing w:line="360" w:lineRule="auto"/>
        <w:jc w:val="both"/>
      </w:pPr>
      <w:r>
        <w:tab/>
        <w:t xml:space="preserve">The Appellant is appealing against the GDC’s </w:t>
      </w:r>
      <w:r w:rsidR="00F91D4C">
        <w:t>penalty, which substituted</w:t>
      </w:r>
      <w:r>
        <w:t>, the Disciplinary Committee’s sentence of dismissal.</w:t>
      </w:r>
    </w:p>
    <w:p w:rsidR="00EB593A" w:rsidRDefault="00EB593A" w:rsidP="005B48A2">
      <w:pPr>
        <w:jc w:val="both"/>
      </w:pPr>
    </w:p>
    <w:p w:rsidR="00580568" w:rsidRDefault="00EB593A" w:rsidP="00EB593A">
      <w:pPr>
        <w:spacing w:line="360" w:lineRule="auto"/>
        <w:jc w:val="both"/>
      </w:pPr>
      <w:r>
        <w:tab/>
        <w:t xml:space="preserve">The Respondent, on the other hand, </w:t>
      </w:r>
      <w:r w:rsidR="00F91D4C">
        <w:t>lodged</w:t>
      </w:r>
      <w:r>
        <w:t xml:space="preserve"> a</w:t>
      </w:r>
      <w:r w:rsidR="00F91D4C">
        <w:t xml:space="preserve"> </w:t>
      </w:r>
      <w:r>
        <w:t xml:space="preserve">cross appeal against the GDC’s </w:t>
      </w:r>
      <w:r w:rsidR="00580568">
        <w:t>confirmation of the Disciplinary Committee’s verdict of guilty.  The situation therefore is one in which the Appellant is appealing against what it considers a lenient penalty, while the Respondent is appealing against what he considers a wrong conviction.</w:t>
      </w:r>
    </w:p>
    <w:p w:rsidR="00580568" w:rsidRDefault="00580568" w:rsidP="005B48A2">
      <w:pPr>
        <w:jc w:val="both"/>
      </w:pPr>
    </w:p>
    <w:p w:rsidR="00580568" w:rsidRDefault="00580568" w:rsidP="00EB593A">
      <w:pPr>
        <w:spacing w:line="360" w:lineRule="auto"/>
        <w:jc w:val="both"/>
      </w:pPr>
      <w:r>
        <w:t xml:space="preserve">The background to the matter is as follows: </w:t>
      </w:r>
    </w:p>
    <w:p w:rsidR="00580568" w:rsidRDefault="00580568" w:rsidP="005B48A2">
      <w:pPr>
        <w:jc w:val="both"/>
      </w:pPr>
    </w:p>
    <w:p w:rsidR="00BB71D6" w:rsidRDefault="00580568" w:rsidP="00EB593A">
      <w:pPr>
        <w:spacing w:line="360" w:lineRule="auto"/>
        <w:jc w:val="both"/>
      </w:pPr>
      <w:r>
        <w:tab/>
        <w:t xml:space="preserve">The Respondent was employed by the Appellant Company as a Maintenance Fitter, in the Engineering Department, and worked at the Boilers.  Respondent was </w:t>
      </w:r>
      <w:r>
        <w:lastRenderedPageBreak/>
        <w:t xml:space="preserve">charged with misconduct </w:t>
      </w:r>
      <w:r w:rsidR="00BB71D6">
        <w:t>in terms of the NEC Tobacco Industry Code of Conduct, Statutory Instrument 322 of 1996.</w:t>
      </w:r>
    </w:p>
    <w:p w:rsidR="009D13C6" w:rsidRDefault="00BB71D6" w:rsidP="00EB593A">
      <w:pPr>
        <w:spacing w:line="360" w:lineRule="auto"/>
        <w:jc w:val="both"/>
      </w:pPr>
      <w:r>
        <w:t>The section</w:t>
      </w:r>
      <w:r w:rsidR="00F91D4C">
        <w:t xml:space="preserve"> he allegedly</w:t>
      </w:r>
      <w:r>
        <w:t xml:space="preserve"> contravened lists the acts of misconduct as dishonesty, theft, fraud and related matters.  The misconduct with which Respondent was charged </w:t>
      </w:r>
      <w:r w:rsidR="009D13C6">
        <w:t>is that of theft.  Particulars of the misconduct are that on 23</w:t>
      </w:r>
      <w:r w:rsidR="00666CBC">
        <w:t xml:space="preserve"> October 201</w:t>
      </w:r>
      <w:r w:rsidR="00F91D4C">
        <w:t>1</w:t>
      </w:r>
      <w:r w:rsidR="009D13C6">
        <w:t>, he attempted to leave company premises with company property.  The property consist</w:t>
      </w:r>
      <w:r w:rsidR="00F91D4C">
        <w:t>ed of bolts and nuts, tins of pa</w:t>
      </w:r>
      <w:r w:rsidR="009D13C6">
        <w:t>int and welding rods.  The property was recovered after a security search in his car and on his person.</w:t>
      </w:r>
    </w:p>
    <w:p w:rsidR="009D13C6" w:rsidRDefault="009D13C6" w:rsidP="005B48A2">
      <w:pPr>
        <w:jc w:val="both"/>
      </w:pPr>
    </w:p>
    <w:p w:rsidR="009D13C6" w:rsidRDefault="00F91D4C" w:rsidP="00EB593A">
      <w:pPr>
        <w:spacing w:line="360" w:lineRule="auto"/>
        <w:jc w:val="both"/>
      </w:pPr>
      <w:r>
        <w:tab/>
        <w:t>On 25 November 20</w:t>
      </w:r>
      <w:r w:rsidR="009D13C6">
        <w:t>11, the Disciplinary Committee found him guilty of the alleged misconduct, and on 28 November 2011, imposed a penalty of dismissal.</w:t>
      </w:r>
    </w:p>
    <w:p w:rsidR="009D13C6" w:rsidRDefault="009D13C6" w:rsidP="005B48A2">
      <w:pPr>
        <w:jc w:val="both"/>
      </w:pPr>
    </w:p>
    <w:p w:rsidR="009D13C6" w:rsidRDefault="009D13C6" w:rsidP="00EB593A">
      <w:pPr>
        <w:spacing w:line="360" w:lineRule="auto"/>
        <w:jc w:val="both"/>
      </w:pPr>
      <w:r>
        <w:tab/>
        <w:t>The dismissal was upheld by the Works Council.</w:t>
      </w:r>
    </w:p>
    <w:p w:rsidR="009D13C6" w:rsidRDefault="009D13C6" w:rsidP="005B48A2">
      <w:pPr>
        <w:jc w:val="both"/>
      </w:pPr>
    </w:p>
    <w:p w:rsidR="009D13C6" w:rsidRDefault="009D13C6" w:rsidP="00EB593A">
      <w:pPr>
        <w:spacing w:line="360" w:lineRule="auto"/>
        <w:jc w:val="both"/>
      </w:pPr>
      <w:r>
        <w:tab/>
        <w:t>Respondent appealed to the GDC.  On 28 February 2012, the GDC confirmed the verdict of guilty, but set aside the sentence of dismissal, and substituted it with a final written warning.</w:t>
      </w:r>
    </w:p>
    <w:p w:rsidR="009D13C6" w:rsidRDefault="009D13C6" w:rsidP="005B48A2">
      <w:pPr>
        <w:jc w:val="both"/>
      </w:pPr>
    </w:p>
    <w:p w:rsidR="009D13C6" w:rsidRDefault="009D13C6" w:rsidP="00EB593A">
      <w:pPr>
        <w:spacing w:line="360" w:lineRule="auto"/>
        <w:jc w:val="both"/>
      </w:pPr>
      <w:r>
        <w:tab/>
        <w:t>It is this decision that has given rise to the Appellant’s appeal and Respondent’s cross-appeal.  One is against sentence, and the other is against conviction.</w:t>
      </w:r>
    </w:p>
    <w:p w:rsidR="009D13C6" w:rsidRDefault="009D13C6" w:rsidP="005B48A2">
      <w:pPr>
        <w:jc w:val="both"/>
      </w:pPr>
    </w:p>
    <w:p w:rsidR="001D7140" w:rsidRDefault="009D13C6" w:rsidP="00EB593A">
      <w:pPr>
        <w:spacing w:line="360" w:lineRule="auto"/>
        <w:jc w:val="both"/>
      </w:pPr>
      <w:r>
        <w:tab/>
        <w:t xml:space="preserve">Before going into the merits or otherwise of the appeals, I must deal with a point </w:t>
      </w:r>
      <w:r w:rsidRPr="009D13C6">
        <w:rPr>
          <w:i/>
        </w:rPr>
        <w:t>in limine</w:t>
      </w:r>
      <w:r>
        <w:t xml:space="preserve"> raised by the Respondent.  The issue raised by the Respondent is that the </w:t>
      </w:r>
      <w:r w:rsidR="001D7140">
        <w:t>Appellant should not be heard, as it is approaching the court with dirty hands.  Appellant has not yet complied with the GDC decision ordering it to rein</w:t>
      </w:r>
      <w:r w:rsidR="00F91D4C">
        <w:t>state the Respondent, and is thu</w:t>
      </w:r>
      <w:r w:rsidR="001D7140">
        <w:t>s coming to court with dirty hands.</w:t>
      </w:r>
    </w:p>
    <w:p w:rsidR="001D7140" w:rsidRDefault="001D7140" w:rsidP="005B48A2">
      <w:pPr>
        <w:jc w:val="both"/>
      </w:pPr>
    </w:p>
    <w:p w:rsidR="001D7140" w:rsidRDefault="001D7140" w:rsidP="00EB593A">
      <w:pPr>
        <w:spacing w:line="360" w:lineRule="auto"/>
        <w:jc w:val="both"/>
      </w:pPr>
      <w:r>
        <w:tab/>
        <w:t xml:space="preserve">In rebutting the point raised by Respondent, Appellant argued three points.  These were that: </w:t>
      </w:r>
    </w:p>
    <w:p w:rsidR="001D7140" w:rsidRDefault="001D7140" w:rsidP="001D7140">
      <w:pPr>
        <w:pStyle w:val="ListParagraph"/>
        <w:numPr>
          <w:ilvl w:val="0"/>
          <w:numId w:val="1"/>
        </w:numPr>
        <w:spacing w:line="360" w:lineRule="auto"/>
        <w:jc w:val="both"/>
      </w:pPr>
      <w:r>
        <w:t>The GDC awarded reinstatement without an alternative of damages, rendering its order defective. Appellant could</w:t>
      </w:r>
      <w:r w:rsidR="00F91D4C">
        <w:t xml:space="preserve"> therefore not comply with a def</w:t>
      </w:r>
      <w:r>
        <w:t>ective order.</w:t>
      </w:r>
    </w:p>
    <w:p w:rsidR="00EB593A" w:rsidRDefault="001D7140" w:rsidP="001D7140">
      <w:pPr>
        <w:pStyle w:val="ListParagraph"/>
        <w:numPr>
          <w:ilvl w:val="0"/>
          <w:numId w:val="1"/>
        </w:numPr>
        <w:spacing w:line="360" w:lineRule="auto"/>
        <w:jc w:val="both"/>
      </w:pPr>
      <w:r>
        <w:lastRenderedPageBreak/>
        <w:t>Respondent could not seek to enforce a judgment that it was appealing against.</w:t>
      </w:r>
      <w:r w:rsidR="009D13C6">
        <w:t xml:space="preserve">  </w:t>
      </w:r>
    </w:p>
    <w:p w:rsidR="001D7140" w:rsidRDefault="001D7140" w:rsidP="001D7140">
      <w:pPr>
        <w:pStyle w:val="ListParagraph"/>
        <w:numPr>
          <w:ilvl w:val="0"/>
          <w:numId w:val="1"/>
        </w:numPr>
        <w:spacing w:line="360" w:lineRule="auto"/>
        <w:jc w:val="both"/>
      </w:pPr>
      <w:r>
        <w:t xml:space="preserve">Doctrine of </w:t>
      </w:r>
      <w:r w:rsidR="00F91D4C">
        <w:t>peremption</w:t>
      </w:r>
      <w:r>
        <w:t xml:space="preserve">, in terms of which Appellant cannot be expected to comply with an </w:t>
      </w:r>
      <w:r w:rsidR="00143930">
        <w:t>order</w:t>
      </w:r>
      <w:r>
        <w:t xml:space="preserve"> that it is appealing against.  The argument here is that if Appellant complies, the appeal is deemed to have lapsed</w:t>
      </w:r>
      <w:r w:rsidR="00143930">
        <w:t>.</w:t>
      </w:r>
    </w:p>
    <w:p w:rsidR="001D7140" w:rsidRDefault="001D7140" w:rsidP="001D7140">
      <w:pPr>
        <w:spacing w:line="360" w:lineRule="auto"/>
        <w:jc w:val="both"/>
      </w:pPr>
      <w:r>
        <w:t xml:space="preserve">The rationale for the first point is that an employer should not be </w:t>
      </w:r>
      <w:r w:rsidR="00D83960">
        <w:t xml:space="preserve">forced to keep an employee he no longer wishes to employ.  Appellant referred the court to the case of </w:t>
      </w:r>
      <w:r w:rsidR="00D83960" w:rsidRPr="00D83960">
        <w:rPr>
          <w:i/>
        </w:rPr>
        <w:t>Sandvik (Pvt) Ltd</w:t>
      </w:r>
      <w:r w:rsidR="00D83960">
        <w:t xml:space="preserve"> v </w:t>
      </w:r>
      <w:r w:rsidR="00D83960" w:rsidRPr="00D83960">
        <w:rPr>
          <w:i/>
        </w:rPr>
        <w:t>Lowsign Nyarumb</w:t>
      </w:r>
      <w:r w:rsidR="00F91D4C">
        <w:rPr>
          <w:i/>
        </w:rPr>
        <w:t>u</w:t>
      </w:r>
      <w:r w:rsidR="00666CBC">
        <w:rPr>
          <w:i/>
        </w:rPr>
        <w:t xml:space="preserve"> </w:t>
      </w:r>
      <w:r w:rsidR="00D83960">
        <w:t xml:space="preserve">LC/H/83/11. In that case, President Matanda-Moyo (as she then was) stated that an employer </w:t>
      </w:r>
      <w:r w:rsidR="00F91D4C">
        <w:t>c</w:t>
      </w:r>
      <w:r w:rsidR="00D83960">
        <w:t xml:space="preserve">ould not comply with an order for reinstatement which has no alternative </w:t>
      </w:r>
      <w:r w:rsidR="00034CAE">
        <w:t xml:space="preserve">for damages.  It denied the employer the option of </w:t>
      </w:r>
      <w:r w:rsidR="00F91D4C">
        <w:t>paying damages thus compel</w:t>
      </w:r>
      <w:r w:rsidR="00034CAE">
        <w:t>ling him to employ an unwanted employee.</w:t>
      </w:r>
    </w:p>
    <w:p w:rsidR="00034CAE" w:rsidRDefault="00034CAE" w:rsidP="005B48A2">
      <w:pPr>
        <w:jc w:val="both"/>
      </w:pPr>
    </w:p>
    <w:p w:rsidR="00F91D4C" w:rsidRDefault="00034CAE" w:rsidP="001D7140">
      <w:pPr>
        <w:spacing w:line="360" w:lineRule="auto"/>
        <w:jc w:val="both"/>
      </w:pPr>
      <w:r>
        <w:tab/>
        <w:t xml:space="preserve">Appellant finds itself in the same predicament, having to reinstate Respondent, </w:t>
      </w:r>
      <w:r w:rsidR="00F91D4C">
        <w:t>without</w:t>
      </w:r>
      <w:r>
        <w:t xml:space="preserve"> an option of paying him damages so as to lawfully sever the relationship.  It can </w:t>
      </w:r>
      <w:r w:rsidR="00F91D4C">
        <w:t>however</w:t>
      </w:r>
      <w:r>
        <w:t xml:space="preserve">, also be </w:t>
      </w:r>
      <w:r w:rsidR="00996765">
        <w:t>argued, that reinstatement, though undes</w:t>
      </w:r>
      <w:r w:rsidR="00F91D4C">
        <w:t>irable,</w:t>
      </w:r>
      <w:r w:rsidR="00996765">
        <w:t xml:space="preserve">  </w:t>
      </w:r>
      <w:r w:rsidR="00F91D4C">
        <w:t>is an order which</w:t>
      </w:r>
      <w:r w:rsidR="00996765">
        <w:t xml:space="preserve"> Appellant is required to comply with until an appeal decides otherwise.  </w:t>
      </w:r>
    </w:p>
    <w:p w:rsidR="00F91D4C" w:rsidRDefault="00F91D4C" w:rsidP="00F91D4C">
      <w:pPr>
        <w:jc w:val="both"/>
      </w:pPr>
    </w:p>
    <w:p w:rsidR="00034CAE" w:rsidRDefault="00996765" w:rsidP="001D7140">
      <w:pPr>
        <w:spacing w:line="360" w:lineRule="auto"/>
        <w:jc w:val="both"/>
      </w:pPr>
      <w:r>
        <w:tab/>
        <w:t>The point I find most pursua</w:t>
      </w:r>
      <w:r w:rsidR="00F91D4C">
        <w:t>sive</w:t>
      </w:r>
      <w:r>
        <w:t xml:space="preserve"> is the second one.  The Respondent has appealed against the GDC decision.  At the same time, he seeks </w:t>
      </w:r>
      <w:r w:rsidR="002A648B">
        <w:t xml:space="preserve">its enforcement against the Appellant.  In this regard, reference was made to the judgment of this Court, in the case of </w:t>
      </w:r>
      <w:r w:rsidR="002A648B" w:rsidRPr="002A648B">
        <w:rPr>
          <w:i/>
        </w:rPr>
        <w:t>Agnella Mavhunga</w:t>
      </w:r>
      <w:r w:rsidR="002A648B">
        <w:t xml:space="preserve"> v </w:t>
      </w:r>
      <w:r w:rsidR="002A648B" w:rsidRPr="002A648B">
        <w:rPr>
          <w:i/>
        </w:rPr>
        <w:t>ZB Bank</w:t>
      </w:r>
      <w:r w:rsidR="002A648B">
        <w:t xml:space="preserve"> LC/H/762/12.</w:t>
      </w:r>
      <w:r w:rsidR="00034CAE">
        <w:t xml:space="preserve"> </w:t>
      </w:r>
    </w:p>
    <w:p w:rsidR="002A648B" w:rsidRDefault="002A648B" w:rsidP="001D7140">
      <w:pPr>
        <w:spacing w:line="360" w:lineRule="auto"/>
        <w:jc w:val="both"/>
      </w:pPr>
      <w:r>
        <w:t xml:space="preserve">The comments by Muzofa J are quite persuasive.  She stated, at page 2 of the cyclostyled judgment: </w:t>
      </w:r>
    </w:p>
    <w:p w:rsidR="002A648B" w:rsidRDefault="002A648B" w:rsidP="001D7140">
      <w:pPr>
        <w:spacing w:line="360" w:lineRule="auto"/>
        <w:jc w:val="both"/>
      </w:pPr>
    </w:p>
    <w:p w:rsidR="003C5500" w:rsidRDefault="002A648B" w:rsidP="005B48A2">
      <w:pPr>
        <w:spacing w:line="276" w:lineRule="auto"/>
        <w:ind w:left="720"/>
        <w:jc w:val="both"/>
      </w:pPr>
      <w:r>
        <w:t>“</w:t>
      </w:r>
      <w:r w:rsidRPr="005B48A2">
        <w:rPr>
          <w:sz w:val="22"/>
          <w:szCs w:val="22"/>
        </w:rPr>
        <w:t>The appellant in this case cannot seek to deny the Respondent the right to be heard on the basis that it did</w:t>
      </w:r>
      <w:r w:rsidR="00F91D4C">
        <w:rPr>
          <w:sz w:val="22"/>
          <w:szCs w:val="22"/>
        </w:rPr>
        <w:t xml:space="preserve"> not</w:t>
      </w:r>
      <w:r w:rsidRPr="005B48A2">
        <w:rPr>
          <w:sz w:val="22"/>
          <w:szCs w:val="22"/>
        </w:rPr>
        <w:t xml:space="preserve"> </w:t>
      </w:r>
      <w:r w:rsidR="003C5500" w:rsidRPr="005B48A2">
        <w:rPr>
          <w:sz w:val="22"/>
          <w:szCs w:val="22"/>
        </w:rPr>
        <w:t>comply with the National Employment Council Appeals Board ruling yet she has noted an appeal against</w:t>
      </w:r>
      <w:r w:rsidR="00F91D4C">
        <w:t xml:space="preserve"> it.</w:t>
      </w:r>
      <w:r w:rsidR="003C5500">
        <w:t>”</w:t>
      </w:r>
    </w:p>
    <w:p w:rsidR="003C5500" w:rsidRDefault="003C5500" w:rsidP="005B48A2">
      <w:pPr>
        <w:jc w:val="both"/>
      </w:pPr>
    </w:p>
    <w:p w:rsidR="00F1439C" w:rsidRDefault="003C5500" w:rsidP="001D7140">
      <w:pPr>
        <w:spacing w:line="360" w:lineRule="auto"/>
        <w:jc w:val="both"/>
      </w:pPr>
      <w:r>
        <w:tab/>
        <w:t xml:space="preserve">The reasoning in that case applies with </w:t>
      </w:r>
      <w:r w:rsidR="00F91D4C">
        <w:t>equal</w:t>
      </w:r>
      <w:r>
        <w:t xml:space="preserve"> force in </w:t>
      </w:r>
      <w:r w:rsidR="00F91D4C" w:rsidRPr="00F91D4C">
        <w:rPr>
          <w:i/>
        </w:rPr>
        <w:t>casu</w:t>
      </w:r>
      <w:r>
        <w:t xml:space="preserve">.  Respondent cannot </w:t>
      </w:r>
      <w:r w:rsidR="00F1439C">
        <w:t xml:space="preserve">seek to have Appellant held in contempt of a decision he is also appealing against.  In my view, the interests of justice are best served by having execution pursued after the appeal is </w:t>
      </w:r>
      <w:r w:rsidR="005B48A2">
        <w:t>disposed</w:t>
      </w:r>
      <w:r w:rsidR="00F1439C">
        <w:t xml:space="preserve"> of.</w:t>
      </w:r>
    </w:p>
    <w:p w:rsidR="00F1439C" w:rsidRDefault="00F1439C" w:rsidP="005B48A2">
      <w:pPr>
        <w:jc w:val="both"/>
      </w:pPr>
    </w:p>
    <w:p w:rsidR="002A648B" w:rsidRDefault="00F1439C" w:rsidP="001D7140">
      <w:pPr>
        <w:spacing w:line="360" w:lineRule="auto"/>
        <w:jc w:val="both"/>
      </w:pPr>
      <w:r>
        <w:tab/>
        <w:t>The third and final point</w:t>
      </w:r>
      <w:r w:rsidR="00F91D4C">
        <w:t>,</w:t>
      </w:r>
      <w:r>
        <w:t xml:space="preserve"> that is</w:t>
      </w:r>
      <w:r w:rsidR="00F91D4C">
        <w:t>,</w:t>
      </w:r>
      <w:r>
        <w:t xml:space="preserve"> the doctrine of </w:t>
      </w:r>
      <w:r w:rsidR="00666CBC">
        <w:t>p</w:t>
      </w:r>
      <w:r w:rsidR="00F91D4C">
        <w:t>e</w:t>
      </w:r>
      <w:r w:rsidR="00666CBC">
        <w:t>r</w:t>
      </w:r>
      <w:r w:rsidR="00F91D4C">
        <w:t>emption,</w:t>
      </w:r>
      <w:r>
        <w:t xml:space="preserve"> lacks merit.  It seeks to enforce a common law principle in labour matters.  Appellant argues that it </w:t>
      </w:r>
      <w:r w:rsidR="00F91D4C">
        <w:t>cannot</w:t>
      </w:r>
      <w:r>
        <w:t xml:space="preserve"> be expected to comply </w:t>
      </w:r>
      <w:r w:rsidR="009B7771">
        <w:t xml:space="preserve">with an order that it is appealing against, in terms of that doctrine. The Labour Act is very clear on this issue.  It has </w:t>
      </w:r>
      <w:r w:rsidR="00F91D4C">
        <w:t>reversed</w:t>
      </w:r>
      <w:r w:rsidR="009B7771">
        <w:t xml:space="preserve"> the common law position. Section 92E (2) requires compliance pending appeal, unless interim relief is granted in terms of subsection (3).</w:t>
      </w:r>
    </w:p>
    <w:p w:rsidR="00E81068" w:rsidRDefault="00E81068" w:rsidP="00E81068">
      <w:pPr>
        <w:jc w:val="both"/>
      </w:pPr>
    </w:p>
    <w:p w:rsidR="009B7771" w:rsidRDefault="00E81068" w:rsidP="00E81068">
      <w:pPr>
        <w:spacing w:line="360" w:lineRule="auto"/>
        <w:jc w:val="both"/>
      </w:pPr>
      <w:r>
        <w:tab/>
        <w:t xml:space="preserve">As I have already indicated, of the arguments raised by Appellant, it is the second one that I found </w:t>
      </w:r>
      <w:r w:rsidR="00143930">
        <w:t>be most persuasive</w:t>
      </w:r>
      <w:r>
        <w:t xml:space="preserve">.  Respondent is appealing against the GDC’s determination.  He cannot reasonably allege contempt on the part of the Appellant, thus seeking to enforce a judgment he is </w:t>
      </w:r>
      <w:r w:rsidR="00666CBC">
        <w:t xml:space="preserve">also </w:t>
      </w:r>
      <w:r>
        <w:t xml:space="preserve">appealing against.  For this reason, I am unable to uphold Respondent’s point </w:t>
      </w:r>
      <w:r w:rsidRPr="00E81068">
        <w:rPr>
          <w:i/>
        </w:rPr>
        <w:t>in limine</w:t>
      </w:r>
      <w:r>
        <w:t>.</w:t>
      </w:r>
    </w:p>
    <w:p w:rsidR="00E81068" w:rsidRDefault="00E81068" w:rsidP="00E81068">
      <w:pPr>
        <w:jc w:val="both"/>
      </w:pPr>
    </w:p>
    <w:p w:rsidR="009B7771" w:rsidRDefault="009B7771" w:rsidP="00E81068">
      <w:pPr>
        <w:spacing w:line="360" w:lineRule="auto"/>
        <w:jc w:val="both"/>
      </w:pPr>
      <w:r>
        <w:t>I now turn to the merits of the matter.</w:t>
      </w:r>
    </w:p>
    <w:p w:rsidR="009B7771" w:rsidRDefault="009B7771" w:rsidP="005B48A2">
      <w:pPr>
        <w:jc w:val="both"/>
      </w:pPr>
    </w:p>
    <w:p w:rsidR="009B7771" w:rsidRDefault="009B7771" w:rsidP="001D7140">
      <w:pPr>
        <w:spacing w:line="360" w:lineRule="auto"/>
        <w:jc w:val="both"/>
      </w:pPr>
      <w:r>
        <w:tab/>
        <w:t xml:space="preserve">For convenience, I will start with Respondent’s cross-appeal.  This is for the simple reason that it is dealing with the question of conviction.  If the appeal is upheld, and the conviction is quashed, then the question of sentence </w:t>
      </w:r>
      <w:r w:rsidR="005B48A2">
        <w:t>falls</w:t>
      </w:r>
      <w:r>
        <w:t xml:space="preserve"> away.  Sentence is, logically, dis</w:t>
      </w:r>
      <w:r w:rsidR="00E81068">
        <w:t>cussed</w:t>
      </w:r>
      <w:r>
        <w:t xml:space="preserve"> after conviction is upheld.</w:t>
      </w:r>
    </w:p>
    <w:p w:rsidR="009B7771" w:rsidRDefault="009B7771" w:rsidP="005B48A2">
      <w:pPr>
        <w:jc w:val="both"/>
      </w:pPr>
    </w:p>
    <w:p w:rsidR="009B7771" w:rsidRDefault="009B7771" w:rsidP="001D7140">
      <w:pPr>
        <w:spacing w:line="360" w:lineRule="auto"/>
        <w:jc w:val="both"/>
      </w:pPr>
      <w:r>
        <w:tab/>
        <w:t xml:space="preserve">The facts giving rise to the misconduct charge have already been outlined.  The </w:t>
      </w:r>
      <w:r w:rsidR="003D4547">
        <w:t>whole incident occurred when Respondent was exiting company premises.  He had in</w:t>
      </w:r>
      <w:r w:rsidR="00E81068">
        <w:t xml:space="preserve"> his possession property that is</w:t>
      </w:r>
      <w:r w:rsidR="003D4547">
        <w:t xml:space="preserve"> the subject matter of the misconduct charge.</w:t>
      </w:r>
    </w:p>
    <w:p w:rsidR="003D4547" w:rsidRDefault="003D4547" w:rsidP="005B48A2">
      <w:pPr>
        <w:jc w:val="both"/>
      </w:pPr>
    </w:p>
    <w:p w:rsidR="003D4547" w:rsidRDefault="003D4547" w:rsidP="001D7140">
      <w:pPr>
        <w:spacing w:line="360" w:lineRule="auto"/>
        <w:jc w:val="both"/>
      </w:pPr>
      <w:r>
        <w:tab/>
        <w:t xml:space="preserve">Significantly, it was conceded during the </w:t>
      </w:r>
      <w:r w:rsidR="005B48A2">
        <w:t>hearing that</w:t>
      </w:r>
      <w:r>
        <w:t xml:space="preserve"> given the circumstances in which he was found with the property, the initial onus fell on the Respondent to prove the materials belonged to him.  Once he discharged that onus, it would swing to the employer.</w:t>
      </w:r>
    </w:p>
    <w:p w:rsidR="003D4547" w:rsidRDefault="003D4547" w:rsidP="005B48A2">
      <w:pPr>
        <w:jc w:val="both"/>
      </w:pPr>
    </w:p>
    <w:p w:rsidR="001766FB" w:rsidRDefault="003D4547" w:rsidP="001D7140">
      <w:pPr>
        <w:spacing w:line="360" w:lineRule="auto"/>
        <w:jc w:val="both"/>
      </w:pPr>
      <w:r>
        <w:tab/>
        <w:t xml:space="preserve">As Respondent was found in possession of the property in question, and not caught red-handed stealing it, his </w:t>
      </w:r>
      <w:r w:rsidR="00E81068">
        <w:t>liability</w:t>
      </w:r>
      <w:r>
        <w:t xml:space="preserve"> will largely be on the basis of inferential reasoning.  In the law of evidence, it is trite that when faced with </w:t>
      </w:r>
      <w:r w:rsidR="001766FB">
        <w:t xml:space="preserve">circumstantial </w:t>
      </w:r>
      <w:r w:rsidR="001766FB">
        <w:lastRenderedPageBreak/>
        <w:t>evidence, the inference sought to be drawn must be the only one that can reasonably be drawn from the circumstances.</w:t>
      </w:r>
    </w:p>
    <w:p w:rsidR="001766FB" w:rsidRDefault="001766FB" w:rsidP="005B48A2">
      <w:pPr>
        <w:jc w:val="both"/>
      </w:pPr>
    </w:p>
    <w:p w:rsidR="001766FB" w:rsidRDefault="001766FB" w:rsidP="001D7140">
      <w:pPr>
        <w:spacing w:line="360" w:lineRule="auto"/>
        <w:jc w:val="both"/>
      </w:pPr>
      <w:r>
        <w:tab/>
        <w:t xml:space="preserve">The evidence on record, which the GDC was faced with, shows that the property was </w:t>
      </w:r>
      <w:r w:rsidR="00E81068">
        <w:t>conce</w:t>
      </w:r>
      <w:r w:rsidR="00666CBC">
        <w:t>al</w:t>
      </w:r>
      <w:r w:rsidR="00E81068">
        <w:t>ed</w:t>
      </w:r>
      <w:r>
        <w:t xml:space="preserve"> in Respondent’s car.  It was recovered from underneath the seats of the car.  The security guard had to lift the seat to recover the three tins of paint, among other property mentioned in the papers on record.</w:t>
      </w:r>
    </w:p>
    <w:p w:rsidR="001766FB" w:rsidRDefault="001766FB" w:rsidP="005B48A2">
      <w:pPr>
        <w:jc w:val="both"/>
      </w:pPr>
    </w:p>
    <w:p w:rsidR="003E715F" w:rsidRDefault="001766FB" w:rsidP="001D7140">
      <w:pPr>
        <w:spacing w:line="360" w:lineRule="auto"/>
        <w:jc w:val="both"/>
      </w:pPr>
      <w:r>
        <w:tab/>
        <w:t>Further to that</w:t>
      </w:r>
      <w:r w:rsidR="00974BEC">
        <w:t>,</w:t>
      </w:r>
      <w:r>
        <w:t xml:space="preserve"> </w:t>
      </w:r>
      <w:r w:rsidR="00E81068">
        <w:t>Respondent was unco-operative.</w:t>
      </w:r>
      <w:r w:rsidR="003E715F">
        <w:t xml:space="preserve"> </w:t>
      </w:r>
      <w:r w:rsidR="00974BEC">
        <w:t>He wrestled</w:t>
      </w:r>
      <w:r w:rsidR="003E715F">
        <w:t xml:space="preserve"> with the security guard over the phone</w:t>
      </w:r>
      <w:r w:rsidR="00143930">
        <w:t>,</w:t>
      </w:r>
      <w:r w:rsidR="003E715F">
        <w:t xml:space="preserve"> in an endeavour to prevent</w:t>
      </w:r>
      <w:r w:rsidR="00974BEC">
        <w:t xml:space="preserve"> the</w:t>
      </w:r>
      <w:r w:rsidR="003E715F">
        <w:t xml:space="preserve"> latter from making an important security call in connection with the recovered property.  There was no documenta</w:t>
      </w:r>
      <w:r w:rsidR="00974BEC">
        <w:t>tion</w:t>
      </w:r>
      <w:r w:rsidR="003E715F">
        <w:t xml:space="preserve"> authorizing him to take any of the property out of the company.  He had not declared any property of his when entering the company premises earlier on in the day.</w:t>
      </w:r>
    </w:p>
    <w:p w:rsidR="003E715F" w:rsidRDefault="003E715F" w:rsidP="005B48A2">
      <w:pPr>
        <w:jc w:val="both"/>
      </w:pPr>
    </w:p>
    <w:p w:rsidR="00FF6167" w:rsidRDefault="003E715F" w:rsidP="001D7140">
      <w:pPr>
        <w:spacing w:line="360" w:lineRule="auto"/>
        <w:jc w:val="both"/>
      </w:pPr>
      <w:r>
        <w:tab/>
        <w:t xml:space="preserve">In my view, the employer established a sufficient factual basis from which guilt could be reasonably inferred.  Faced with this set of </w:t>
      </w:r>
      <w:r w:rsidR="00FF6167">
        <w:t>facts</w:t>
      </w:r>
      <w:r>
        <w:t>, the GDC had difficulty in absolving Respondent from liability for the alleged misconduct.  It was constrained</w:t>
      </w:r>
      <w:r w:rsidR="00FF6167">
        <w:t xml:space="preserve">, </w:t>
      </w:r>
      <w:r w:rsidR="00974BEC">
        <w:t xml:space="preserve">by the facts </w:t>
      </w:r>
      <w:r w:rsidR="00FF6167">
        <w:t>before it</w:t>
      </w:r>
      <w:r w:rsidR="00974BEC">
        <w:t>, to return a verdict of guilty.</w:t>
      </w:r>
      <w:r w:rsidR="00FF6167">
        <w:t xml:space="preserve"> </w:t>
      </w:r>
      <w:r w:rsidR="00974BEC">
        <w:t>This explains</w:t>
      </w:r>
      <w:r w:rsidR="00FF6167">
        <w:t xml:space="preserve"> its </w:t>
      </w:r>
      <w:r w:rsidR="00974BEC">
        <w:t>finding</w:t>
      </w:r>
      <w:r w:rsidR="00FF6167">
        <w:t xml:space="preserve"> that the grounds of appeal submitted by Appellant could not be sustained, and further that “the intention to steal may have been there on the part of the Appellant”. It </w:t>
      </w:r>
      <w:r w:rsidR="004D0217">
        <w:t>however went</w:t>
      </w:r>
      <w:r w:rsidR="00FF6167">
        <w:t xml:space="preserve"> on to temper with the penalty.</w:t>
      </w:r>
    </w:p>
    <w:p w:rsidR="00FF6167" w:rsidRDefault="00FF6167" w:rsidP="005B48A2">
      <w:pPr>
        <w:jc w:val="both"/>
      </w:pPr>
    </w:p>
    <w:p w:rsidR="00FF6167" w:rsidRDefault="00FF6167" w:rsidP="001D7140">
      <w:pPr>
        <w:spacing w:line="360" w:lineRule="auto"/>
        <w:jc w:val="both"/>
      </w:pPr>
      <w:r>
        <w:tab/>
        <w:t>There is, in my view, no basis on which to interfere with the verdict of guilty.  The Court was referred to numerous cases in which was upheld the principle that an appellate Court should not lightly interfere with the findings of a trial court.  Among the case</w:t>
      </w:r>
      <w:r w:rsidR="00974BEC">
        <w:t>s</w:t>
      </w:r>
      <w:r>
        <w:t xml:space="preserve"> is that of </w:t>
      </w:r>
      <w:r w:rsidRPr="005B48A2">
        <w:rPr>
          <w:i/>
        </w:rPr>
        <w:t>Cargo Carriers (Pvt) Ltd</w:t>
      </w:r>
      <w:r>
        <w:t xml:space="preserve"> v </w:t>
      </w:r>
      <w:r w:rsidRPr="005B48A2">
        <w:rPr>
          <w:i/>
        </w:rPr>
        <w:t xml:space="preserve">Zambezi &amp; Ors </w:t>
      </w:r>
      <w:r>
        <w:t xml:space="preserve">1996 (1) </w:t>
      </w:r>
      <w:r w:rsidR="005B48A2">
        <w:t>ZLR</w:t>
      </w:r>
      <w:r>
        <w:t xml:space="preserve"> 613 </w:t>
      </w:r>
      <w:r w:rsidR="00974BEC">
        <w:t>where</w:t>
      </w:r>
      <w:r>
        <w:t xml:space="preserve"> GUBBAY CJ stated: </w:t>
      </w:r>
    </w:p>
    <w:p w:rsidR="00FF6167" w:rsidRDefault="00FF6167" w:rsidP="005B48A2">
      <w:pPr>
        <w:jc w:val="both"/>
      </w:pPr>
    </w:p>
    <w:p w:rsidR="00FF6167" w:rsidRDefault="00FF6167" w:rsidP="005B48A2">
      <w:pPr>
        <w:spacing w:line="276" w:lineRule="auto"/>
        <w:ind w:left="720"/>
        <w:jc w:val="both"/>
      </w:pPr>
      <w:r>
        <w:t>“</w:t>
      </w:r>
      <w:r w:rsidRPr="005B48A2">
        <w:rPr>
          <w:sz w:val="22"/>
          <w:szCs w:val="22"/>
        </w:rPr>
        <w:t xml:space="preserve">In considering the cogency of the submissions, what should not be overlooked is that </w:t>
      </w:r>
      <w:r w:rsidRPr="005B48A2">
        <w:rPr>
          <w:sz w:val="22"/>
          <w:szCs w:val="22"/>
        </w:rPr>
        <w:tab/>
        <w:t xml:space="preserve">BARTLETT J exercised </w:t>
      </w:r>
      <w:r w:rsidR="005B48A2" w:rsidRPr="005B48A2">
        <w:rPr>
          <w:sz w:val="22"/>
          <w:szCs w:val="22"/>
        </w:rPr>
        <w:t>discretion</w:t>
      </w:r>
      <w:r w:rsidRPr="005B48A2">
        <w:rPr>
          <w:sz w:val="22"/>
          <w:szCs w:val="22"/>
        </w:rPr>
        <w:t xml:space="preserve"> to hear the matter.  That he did so i</w:t>
      </w:r>
      <w:r w:rsidR="009D2EFB" w:rsidRPr="005B48A2">
        <w:rPr>
          <w:sz w:val="22"/>
          <w:szCs w:val="22"/>
        </w:rPr>
        <w:t xml:space="preserve">s a significant </w:t>
      </w:r>
      <w:r w:rsidR="00974BEC">
        <w:rPr>
          <w:sz w:val="22"/>
          <w:szCs w:val="22"/>
        </w:rPr>
        <w:t>factor</w:t>
      </w:r>
      <w:r w:rsidR="009D2EFB" w:rsidRPr="005B48A2">
        <w:rPr>
          <w:sz w:val="22"/>
          <w:szCs w:val="22"/>
        </w:rPr>
        <w:t xml:space="preserve"> at this</w:t>
      </w:r>
      <w:r w:rsidR="00974BEC">
        <w:rPr>
          <w:sz w:val="22"/>
          <w:szCs w:val="22"/>
        </w:rPr>
        <w:t xml:space="preserve"> stage</w:t>
      </w:r>
      <w:r w:rsidRPr="005B48A2">
        <w:rPr>
          <w:sz w:val="22"/>
          <w:szCs w:val="22"/>
        </w:rPr>
        <w:t xml:space="preserve"> of the proceedings.  Unless it can be found that no reasonable judge would have acted other than to decline jurisdiction-</w:t>
      </w:r>
      <w:r w:rsidR="009D2EFB" w:rsidRPr="005B48A2">
        <w:rPr>
          <w:sz w:val="22"/>
          <w:szCs w:val="22"/>
        </w:rPr>
        <w:t>certainly a</w:t>
      </w:r>
      <w:r w:rsidR="00974BEC">
        <w:rPr>
          <w:sz w:val="22"/>
          <w:szCs w:val="22"/>
        </w:rPr>
        <w:t xml:space="preserve"> length to which I am not prepared to go-</w:t>
      </w:r>
      <w:r w:rsidR="009D2EFB" w:rsidRPr="005B48A2">
        <w:rPr>
          <w:sz w:val="22"/>
          <w:szCs w:val="22"/>
        </w:rPr>
        <w:t>the decision made is plainly beyond interference by this Court</w:t>
      </w:r>
      <w:r w:rsidR="009D2EFB">
        <w:t>.”</w:t>
      </w:r>
    </w:p>
    <w:p w:rsidR="009D2EFB" w:rsidRDefault="009D2EFB" w:rsidP="005B48A2">
      <w:pPr>
        <w:jc w:val="both"/>
      </w:pPr>
    </w:p>
    <w:p w:rsidR="009D2EFB" w:rsidRDefault="009D2EFB" w:rsidP="005B48A2">
      <w:pPr>
        <w:spacing w:line="360" w:lineRule="auto"/>
        <w:ind w:firstLine="720"/>
        <w:jc w:val="both"/>
      </w:pPr>
      <w:r>
        <w:t>Applying the same approach, I am of t</w:t>
      </w:r>
      <w:r w:rsidR="00974BEC">
        <w:t xml:space="preserve">he considered view that the GDC’s </w:t>
      </w:r>
      <w:r>
        <w:t>decision, as far as the verdict is concerned, is beyond interference by this court.  The GDC correctly upheld the verdict of the trial tribunal.  The cross appeal, in the circumstance</w:t>
      </w:r>
      <w:r w:rsidR="00666CBC">
        <w:t>s</w:t>
      </w:r>
      <w:r>
        <w:t>, cannot succeed.</w:t>
      </w:r>
    </w:p>
    <w:p w:rsidR="009D2EFB" w:rsidRDefault="009D2EFB" w:rsidP="005B48A2">
      <w:pPr>
        <w:jc w:val="both"/>
      </w:pPr>
    </w:p>
    <w:p w:rsidR="009D2EFB" w:rsidRDefault="009D2EFB" w:rsidP="001D7140">
      <w:pPr>
        <w:spacing w:line="360" w:lineRule="auto"/>
        <w:jc w:val="both"/>
      </w:pPr>
      <w:r>
        <w:tab/>
        <w:t>Having disposed of the question of conviction, there now remain</w:t>
      </w:r>
      <w:r w:rsidR="00974BEC">
        <w:t>s</w:t>
      </w:r>
      <w:r>
        <w:t xml:space="preserve"> the question of sentence.  The issue is whether the GDC was correct in setting aside the penalty imposed by the Disciplinary Committee which heard the matter, and confirmed by the Works Council.</w:t>
      </w:r>
    </w:p>
    <w:p w:rsidR="009D2EFB" w:rsidRDefault="009D2EFB" w:rsidP="005B48A2">
      <w:pPr>
        <w:jc w:val="both"/>
      </w:pPr>
    </w:p>
    <w:p w:rsidR="009D2EFB" w:rsidRDefault="009D2EFB" w:rsidP="001D7140">
      <w:pPr>
        <w:spacing w:line="360" w:lineRule="auto"/>
        <w:jc w:val="both"/>
      </w:pPr>
      <w:r>
        <w:tab/>
        <w:t xml:space="preserve">The Respondent submitted in his Heads of Argument, that the penalty of dismissal is not </w:t>
      </w:r>
      <w:r w:rsidR="007814B3">
        <w:t>obligatory</w:t>
      </w:r>
      <w:r>
        <w:t xml:space="preserve"> and should be a penalty of last resort</w:t>
      </w:r>
      <w:r w:rsidR="007814B3">
        <w:t>.  Crucial mitigatory factors should</w:t>
      </w:r>
      <w:r w:rsidR="00974BEC">
        <w:t xml:space="preserve"> have</w:t>
      </w:r>
      <w:r w:rsidR="007814B3">
        <w:t xml:space="preserve"> be</w:t>
      </w:r>
      <w:r w:rsidR="00974BEC">
        <w:t>en</w:t>
      </w:r>
      <w:r w:rsidR="007814B3">
        <w:t xml:space="preserve"> taken into consideration such as Respondent’s length of service, disciplinary record, minimal value of the property and that there was no actual prejudice to the employer.</w:t>
      </w:r>
    </w:p>
    <w:p w:rsidR="007814B3" w:rsidRDefault="007814B3" w:rsidP="005B48A2">
      <w:pPr>
        <w:jc w:val="both"/>
      </w:pPr>
    </w:p>
    <w:p w:rsidR="007814B3" w:rsidRDefault="007814B3" w:rsidP="001D7140">
      <w:pPr>
        <w:spacing w:line="360" w:lineRule="auto"/>
        <w:jc w:val="both"/>
      </w:pPr>
      <w:r>
        <w:tab/>
        <w:t xml:space="preserve">The Appellant, on the other hand, submitted that the Disciplinary Committee committed no error in the exercise of its discretion and the GDC should not have </w:t>
      </w:r>
      <w:r w:rsidR="005B48A2">
        <w:t>varied</w:t>
      </w:r>
      <w:r>
        <w:t xml:space="preserve"> the penalty.</w:t>
      </w:r>
    </w:p>
    <w:p w:rsidR="007814B3" w:rsidRDefault="007814B3" w:rsidP="005B48A2">
      <w:pPr>
        <w:spacing w:line="276" w:lineRule="auto"/>
        <w:jc w:val="both"/>
      </w:pPr>
    </w:p>
    <w:p w:rsidR="007814B3" w:rsidRDefault="007814B3" w:rsidP="001D7140">
      <w:pPr>
        <w:spacing w:line="360" w:lineRule="auto"/>
        <w:jc w:val="both"/>
      </w:pPr>
      <w:r>
        <w:tab/>
        <w:t>The question of penalty, in misconduct case</w:t>
      </w:r>
      <w:r w:rsidR="00974BEC">
        <w:t>s</w:t>
      </w:r>
      <w:r>
        <w:t>, is principally the prerogative of the employer.  An appellate court or tribunal can only interfere with the employer’s sentencing discretion if the exercise thereof reflec</w:t>
      </w:r>
      <w:r w:rsidR="005B48A2">
        <w:t xml:space="preserve">ts gross unreasonableness.  It </w:t>
      </w:r>
      <w:r w:rsidR="00974BEC">
        <w:t>is</w:t>
      </w:r>
      <w:r>
        <w:t xml:space="preserve"> the employer who is, very often, in </w:t>
      </w:r>
      <w:r w:rsidR="00974BEC">
        <w:t>the</w:t>
      </w:r>
      <w:r>
        <w:t xml:space="preserve"> best position to determine the values and standards against which its employees should be measured.  This was </w:t>
      </w:r>
      <w:r w:rsidR="00143930">
        <w:t>highlighted</w:t>
      </w:r>
      <w:r>
        <w:t xml:space="preserve"> in </w:t>
      </w:r>
      <w:r w:rsidRPr="005B48A2">
        <w:rPr>
          <w:i/>
        </w:rPr>
        <w:t>Country Fair Foods (Pvt) Ltd</w:t>
      </w:r>
      <w:r>
        <w:t xml:space="preserve"> v </w:t>
      </w:r>
      <w:r w:rsidR="00666CBC">
        <w:t>C</w:t>
      </w:r>
      <w:r w:rsidRPr="005B48A2">
        <w:rPr>
          <w:i/>
        </w:rPr>
        <w:t>C</w:t>
      </w:r>
      <w:r w:rsidR="00974BEC">
        <w:rPr>
          <w:i/>
        </w:rPr>
        <w:t>MA</w:t>
      </w:r>
      <w:r w:rsidRPr="005B48A2">
        <w:rPr>
          <w:i/>
        </w:rPr>
        <w:t xml:space="preserve"> &amp; Others</w:t>
      </w:r>
      <w:r>
        <w:t xml:space="preserve"> (199</w:t>
      </w:r>
      <w:r w:rsidR="004C4DFE">
        <w:t>9) 20</w:t>
      </w:r>
      <w:r w:rsidR="00666CBC">
        <w:t xml:space="preserve"> </w:t>
      </w:r>
      <w:r w:rsidR="00974BEC">
        <w:t>ILJ</w:t>
      </w:r>
      <w:r w:rsidR="004C4DFE">
        <w:t xml:space="preserve"> 1701 (LAC) where the court stated:</w:t>
      </w:r>
    </w:p>
    <w:p w:rsidR="004C4DFE" w:rsidRDefault="004C4DFE" w:rsidP="004D0217">
      <w:pPr>
        <w:jc w:val="both"/>
      </w:pPr>
    </w:p>
    <w:p w:rsidR="004C4DFE" w:rsidRDefault="004C4DFE" w:rsidP="005B48A2">
      <w:pPr>
        <w:spacing w:line="360" w:lineRule="auto"/>
        <w:ind w:left="720"/>
        <w:jc w:val="both"/>
      </w:pPr>
      <w:r>
        <w:t>“</w:t>
      </w:r>
      <w:r w:rsidRPr="005B48A2">
        <w:rPr>
          <w:sz w:val="22"/>
          <w:szCs w:val="22"/>
        </w:rPr>
        <w:t>It lies in the first place within the province of the employer to set the standard of conduct to be observed by its employees and to determine the situation with which non- compliance will be visited, interference the</w:t>
      </w:r>
      <w:r w:rsidR="00974BEC">
        <w:rPr>
          <w:sz w:val="22"/>
          <w:szCs w:val="22"/>
        </w:rPr>
        <w:t>rewith is only …. i</w:t>
      </w:r>
      <w:r w:rsidRPr="005B48A2">
        <w:rPr>
          <w:sz w:val="22"/>
          <w:szCs w:val="22"/>
        </w:rPr>
        <w:t>n the case of unreasonableness and unfairness</w:t>
      </w:r>
      <w:r>
        <w:t>.”</w:t>
      </w:r>
    </w:p>
    <w:p w:rsidR="004C4DFE" w:rsidRDefault="004C4DFE" w:rsidP="005B48A2">
      <w:pPr>
        <w:jc w:val="both"/>
      </w:pPr>
    </w:p>
    <w:p w:rsidR="004C4DFE" w:rsidRDefault="004C4DFE" w:rsidP="001D7140">
      <w:pPr>
        <w:spacing w:line="360" w:lineRule="auto"/>
        <w:jc w:val="both"/>
      </w:pPr>
      <w:r>
        <w:lastRenderedPageBreak/>
        <w:t xml:space="preserve">The Zimbabwean Supreme Court has pronounced itself clearly on this </w:t>
      </w:r>
      <w:r w:rsidR="00143930">
        <w:t>issue</w:t>
      </w:r>
      <w:r>
        <w:t xml:space="preserve">. It has overturned </w:t>
      </w:r>
      <w:r w:rsidR="00974BEC">
        <w:t xml:space="preserve">a </w:t>
      </w:r>
      <w:r>
        <w:t>number of this Court’s decisions, where this Court had set aside an employer’s penalty, believing it to be too harsh in the given circumstances.</w:t>
      </w:r>
    </w:p>
    <w:p w:rsidR="004C4DFE" w:rsidRDefault="004C4DFE" w:rsidP="001D7140">
      <w:pPr>
        <w:spacing w:line="360" w:lineRule="auto"/>
        <w:jc w:val="both"/>
      </w:pPr>
      <w:r>
        <w:t xml:space="preserve">In </w:t>
      </w:r>
      <w:r w:rsidRPr="000B1DC1">
        <w:rPr>
          <w:i/>
        </w:rPr>
        <w:t>Innscor Africa (Pvt) Ltd</w:t>
      </w:r>
      <w:r>
        <w:t xml:space="preserve"> v </w:t>
      </w:r>
      <w:r w:rsidRPr="005B48A2">
        <w:rPr>
          <w:i/>
        </w:rPr>
        <w:t>Letron Chimoto</w:t>
      </w:r>
      <w:r>
        <w:t xml:space="preserve"> MALABA DCJ stated:</w:t>
      </w:r>
    </w:p>
    <w:p w:rsidR="004C4DFE" w:rsidRDefault="004C4DFE" w:rsidP="000B1DC1">
      <w:pPr>
        <w:jc w:val="both"/>
      </w:pPr>
    </w:p>
    <w:p w:rsidR="00065038" w:rsidRDefault="004C4DFE" w:rsidP="000B1DC1">
      <w:pPr>
        <w:spacing w:line="276" w:lineRule="auto"/>
        <w:ind w:left="720"/>
        <w:jc w:val="both"/>
      </w:pPr>
      <w:r>
        <w:t>“</w:t>
      </w:r>
      <w:r w:rsidRPr="000B1DC1">
        <w:rPr>
          <w:sz w:val="22"/>
          <w:szCs w:val="22"/>
        </w:rPr>
        <w:t xml:space="preserve">A </w:t>
      </w:r>
      <w:r w:rsidR="00065038" w:rsidRPr="000B1DC1">
        <w:rPr>
          <w:sz w:val="22"/>
          <w:szCs w:val="22"/>
        </w:rPr>
        <w:t>principle</w:t>
      </w:r>
      <w:r w:rsidRPr="000B1DC1">
        <w:rPr>
          <w:sz w:val="22"/>
          <w:szCs w:val="22"/>
        </w:rPr>
        <w:t xml:space="preserve"> has now been </w:t>
      </w:r>
      <w:r w:rsidR="00065038" w:rsidRPr="000B1DC1">
        <w:rPr>
          <w:sz w:val="22"/>
          <w:szCs w:val="22"/>
        </w:rPr>
        <w:t>firmly</w:t>
      </w:r>
      <w:r w:rsidRPr="000B1DC1">
        <w:rPr>
          <w:sz w:val="22"/>
          <w:szCs w:val="22"/>
        </w:rPr>
        <w:t xml:space="preserve"> established to the effect an appellate</w:t>
      </w:r>
      <w:r w:rsidR="00065038" w:rsidRPr="000B1DC1">
        <w:rPr>
          <w:sz w:val="22"/>
          <w:szCs w:val="22"/>
        </w:rPr>
        <w:t xml:space="preserve"> court should not interfere with an exercise of discretion by</w:t>
      </w:r>
      <w:r w:rsidR="00974BEC">
        <w:rPr>
          <w:sz w:val="22"/>
          <w:szCs w:val="22"/>
        </w:rPr>
        <w:t xml:space="preserve"> a</w:t>
      </w:r>
      <w:r w:rsidR="00065038" w:rsidRPr="000B1DC1">
        <w:rPr>
          <w:sz w:val="22"/>
          <w:szCs w:val="22"/>
        </w:rPr>
        <w:t xml:space="preserve"> lower court or tribunal unless there has been a clear misdirection on the part of the lower Court.  In this case the Labour Court did not even appreciate that it was dealing with a case of an exercise of discretion </w:t>
      </w:r>
      <w:r w:rsidR="00974BEC">
        <w:rPr>
          <w:sz w:val="22"/>
          <w:szCs w:val="22"/>
        </w:rPr>
        <w:t>by the arbitrator.  The Labour Court merely sub</w:t>
      </w:r>
      <w:r w:rsidR="00666CBC">
        <w:rPr>
          <w:sz w:val="22"/>
          <w:szCs w:val="22"/>
        </w:rPr>
        <w:t xml:space="preserve">stituted its own discretion for that of </w:t>
      </w:r>
      <w:r w:rsidR="004D0217">
        <w:rPr>
          <w:sz w:val="22"/>
          <w:szCs w:val="22"/>
        </w:rPr>
        <w:t>the arbitrator,</w:t>
      </w:r>
      <w:r w:rsidR="00065038" w:rsidRPr="000B1DC1">
        <w:rPr>
          <w:sz w:val="22"/>
          <w:szCs w:val="22"/>
        </w:rPr>
        <w:t xml:space="preserve"> without finding an</w:t>
      </w:r>
      <w:r w:rsidR="00666CBC">
        <w:rPr>
          <w:sz w:val="22"/>
          <w:szCs w:val="22"/>
        </w:rPr>
        <w:t>y</w:t>
      </w:r>
      <w:r w:rsidR="00065038" w:rsidRPr="000B1DC1">
        <w:rPr>
          <w:sz w:val="22"/>
          <w:szCs w:val="22"/>
        </w:rPr>
        <w:t xml:space="preserve"> recognizable misdirection on the part of the arbitrator</w:t>
      </w:r>
      <w:r w:rsidR="00065038">
        <w:t>,”</w:t>
      </w:r>
    </w:p>
    <w:p w:rsidR="00065038" w:rsidRDefault="00065038" w:rsidP="000B1DC1">
      <w:pPr>
        <w:jc w:val="both"/>
      </w:pPr>
    </w:p>
    <w:p w:rsidR="004C4DFE" w:rsidRDefault="00065038" w:rsidP="001D7140">
      <w:pPr>
        <w:spacing w:line="360" w:lineRule="auto"/>
        <w:jc w:val="both"/>
      </w:pPr>
      <w:r>
        <w:tab/>
        <w:t>The property in question was a pizza valued at $4,00.  There was no prejudice to the company.  In fact, there had been no theft of the pizza, but it was produced without the employee having received necessary authorizatio</w:t>
      </w:r>
      <w:r w:rsidR="00143930">
        <w:t>n for its production, according</w:t>
      </w:r>
      <w:r>
        <w:t xml:space="preserve"> to the company’s producti</w:t>
      </w:r>
      <w:r w:rsidR="004D0217">
        <w:t>on</w:t>
      </w:r>
      <w:r>
        <w:t xml:space="preserve"> pr</w:t>
      </w:r>
      <w:r w:rsidR="004D0217">
        <w:t>ocedures.  The conduct was viewed seriously by the employer</w:t>
      </w:r>
      <w:r>
        <w:t xml:space="preserve"> and warranted dismissal.  An appellate court had no justification in reversing that penalty.</w:t>
      </w:r>
    </w:p>
    <w:p w:rsidR="00065038" w:rsidRDefault="00065038" w:rsidP="000B1DC1">
      <w:pPr>
        <w:spacing w:line="276" w:lineRule="auto"/>
        <w:jc w:val="both"/>
      </w:pPr>
    </w:p>
    <w:p w:rsidR="00065038" w:rsidRDefault="00065038" w:rsidP="001D7140">
      <w:pPr>
        <w:spacing w:line="360" w:lineRule="auto"/>
        <w:jc w:val="both"/>
      </w:pPr>
      <w:r>
        <w:tab/>
        <w:t xml:space="preserve">In </w:t>
      </w:r>
      <w:r w:rsidRPr="000B1DC1">
        <w:rPr>
          <w:i/>
        </w:rPr>
        <w:t>casu</w:t>
      </w:r>
      <w:r>
        <w:t>, there was no justifi</w:t>
      </w:r>
      <w:r w:rsidR="000B1DC1">
        <w:t>cation for the GDC to substitute the Disciplinary Committee’s penalty of dismissal with one o</w:t>
      </w:r>
      <w:r w:rsidR="004D0217">
        <w:t>f a warning.  The employer viewed</w:t>
      </w:r>
      <w:r w:rsidR="000B1DC1">
        <w:t xml:space="preserve"> the misconduct seriously, which involved an element of dishonesty.  The sentence imposed cannot be s</w:t>
      </w:r>
      <w:r w:rsidR="004D0217">
        <w:t>aid</w:t>
      </w:r>
      <w:r w:rsidR="000B1DC1">
        <w:t xml:space="preserve"> to be arbitrary, malicious, capricious or grossly unreasonable, to w</w:t>
      </w:r>
      <w:r w:rsidR="004D0217">
        <w:t>arrant interference by the GDC.</w:t>
      </w:r>
    </w:p>
    <w:p w:rsidR="000B1DC1" w:rsidRDefault="000B1DC1" w:rsidP="000B1DC1">
      <w:pPr>
        <w:jc w:val="both"/>
      </w:pPr>
    </w:p>
    <w:p w:rsidR="000B1DC1" w:rsidRDefault="000B1DC1" w:rsidP="001D7140">
      <w:pPr>
        <w:spacing w:line="360" w:lineRule="auto"/>
        <w:jc w:val="both"/>
      </w:pPr>
      <w:r>
        <w:tab/>
        <w:t>In the circumstances the Court is satisfied that the appeal has merit and must be allowed.</w:t>
      </w:r>
    </w:p>
    <w:p w:rsidR="000B1DC1" w:rsidRDefault="000B1DC1" w:rsidP="000B1DC1">
      <w:pPr>
        <w:jc w:val="both"/>
      </w:pPr>
    </w:p>
    <w:p w:rsidR="000B1DC1" w:rsidRDefault="000B1DC1" w:rsidP="001D7140">
      <w:pPr>
        <w:spacing w:line="360" w:lineRule="auto"/>
        <w:jc w:val="both"/>
      </w:pPr>
      <w:r>
        <w:t>In the result, it is ordered as follows:</w:t>
      </w:r>
    </w:p>
    <w:p w:rsidR="000B1DC1" w:rsidRDefault="000B1DC1" w:rsidP="000B1DC1">
      <w:pPr>
        <w:jc w:val="both"/>
      </w:pPr>
    </w:p>
    <w:p w:rsidR="000B1DC1" w:rsidRDefault="000B1DC1" w:rsidP="000B1DC1">
      <w:pPr>
        <w:pStyle w:val="ListParagraph"/>
        <w:numPr>
          <w:ilvl w:val="0"/>
          <w:numId w:val="2"/>
        </w:numPr>
        <w:spacing w:line="360" w:lineRule="auto"/>
        <w:jc w:val="both"/>
      </w:pPr>
      <w:r>
        <w:t>The appeal be and is hereby allowed with costs.</w:t>
      </w:r>
    </w:p>
    <w:p w:rsidR="000B1DC1" w:rsidRDefault="000B1DC1" w:rsidP="000B1DC1">
      <w:pPr>
        <w:pStyle w:val="ListParagraph"/>
        <w:numPr>
          <w:ilvl w:val="0"/>
          <w:numId w:val="2"/>
        </w:numPr>
        <w:spacing w:line="360" w:lineRule="auto"/>
        <w:jc w:val="both"/>
      </w:pPr>
      <w:r>
        <w:t xml:space="preserve">The </w:t>
      </w:r>
      <w:r w:rsidR="004D0217">
        <w:t>penalty imposed by the</w:t>
      </w:r>
      <w:r>
        <w:t xml:space="preserve"> GDC be and is hereby set aside, and the decision of the Works Council</w:t>
      </w:r>
      <w:r w:rsidR="004D0217">
        <w:t xml:space="preserve"> upholding</w:t>
      </w:r>
      <w:r>
        <w:t xml:space="preserve"> Respondent’s dismissal be and is hereby confirmed</w:t>
      </w:r>
      <w:r w:rsidR="00666CBC">
        <w:t>.</w:t>
      </w:r>
    </w:p>
    <w:p w:rsidR="00143930" w:rsidRDefault="00143930" w:rsidP="000B1DC1">
      <w:pPr>
        <w:spacing w:line="360" w:lineRule="auto"/>
        <w:jc w:val="both"/>
      </w:pPr>
    </w:p>
    <w:p w:rsidR="001B44C8" w:rsidRDefault="001B44C8" w:rsidP="000B1DC1">
      <w:pPr>
        <w:spacing w:line="360" w:lineRule="auto"/>
        <w:jc w:val="both"/>
      </w:pPr>
    </w:p>
    <w:p w:rsidR="001B44C8" w:rsidRDefault="001B44C8" w:rsidP="000B1DC1">
      <w:pPr>
        <w:spacing w:line="360" w:lineRule="auto"/>
        <w:jc w:val="both"/>
      </w:pPr>
    </w:p>
    <w:p w:rsidR="000B1DC1" w:rsidRDefault="000B1DC1" w:rsidP="000B1DC1">
      <w:pPr>
        <w:spacing w:line="360" w:lineRule="auto"/>
        <w:jc w:val="both"/>
      </w:pPr>
      <w:r>
        <w:t>……………………………………………………………</w:t>
      </w:r>
    </w:p>
    <w:p w:rsidR="003D4547" w:rsidRDefault="000B1DC1" w:rsidP="001D7140">
      <w:pPr>
        <w:spacing w:line="360" w:lineRule="auto"/>
        <w:jc w:val="both"/>
      </w:pPr>
      <w:r w:rsidRPr="000B1DC1">
        <w:rPr>
          <w:b/>
        </w:rPr>
        <w:t>MANYANGADZE J</w:t>
      </w:r>
      <w:r w:rsidR="003D4547">
        <w:t xml:space="preserve"> </w:t>
      </w:r>
    </w:p>
    <w:sectPr w:rsidR="003D4547" w:rsidSect="0058056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BAC" w:rsidRDefault="009A5BAC" w:rsidP="00580568">
      <w:r>
        <w:separator/>
      </w:r>
    </w:p>
  </w:endnote>
  <w:endnote w:type="continuationSeparator" w:id="1">
    <w:p w:rsidR="009A5BAC" w:rsidRDefault="009A5BAC" w:rsidP="005805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3922"/>
      <w:docPartObj>
        <w:docPartGallery w:val="Page Numbers (Bottom of Page)"/>
        <w:docPartUnique/>
      </w:docPartObj>
    </w:sdtPr>
    <w:sdtContent>
      <w:p w:rsidR="004D0217" w:rsidRDefault="00F040E3">
        <w:pPr>
          <w:pStyle w:val="Footer"/>
          <w:jc w:val="center"/>
        </w:pPr>
        <w:fldSimple w:instr=" PAGE   \* MERGEFORMAT ">
          <w:r w:rsidR="00DB268F">
            <w:rPr>
              <w:noProof/>
            </w:rPr>
            <w:t>8</w:t>
          </w:r>
        </w:fldSimple>
      </w:p>
    </w:sdtContent>
  </w:sdt>
  <w:p w:rsidR="004D0217" w:rsidRDefault="004D0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BAC" w:rsidRDefault="009A5BAC" w:rsidP="00580568">
      <w:r>
        <w:separator/>
      </w:r>
    </w:p>
  </w:footnote>
  <w:footnote w:type="continuationSeparator" w:id="1">
    <w:p w:rsidR="009A5BAC" w:rsidRDefault="009A5BAC" w:rsidP="005805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217" w:rsidRPr="00580568" w:rsidRDefault="004D0217">
    <w:pPr>
      <w:pStyle w:val="Header"/>
      <w:rPr>
        <w:lang w:val="en-ZW"/>
      </w:rPr>
    </w:pPr>
    <w:r>
      <w:rPr>
        <w:lang w:val="en-ZW"/>
      </w:rPr>
      <w:tab/>
    </w:r>
    <w:r>
      <w:rPr>
        <w:lang w:val="en-ZW"/>
      </w:rPr>
      <w:tab/>
      <w:t>JUDGMENT NO. LC/H/</w:t>
    </w:r>
    <w:r w:rsidR="001B44C8">
      <w:rPr>
        <w:lang w:val="en-ZW"/>
      </w:rPr>
      <w:t>207</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85F0A"/>
    <w:multiLevelType w:val="hybridMultilevel"/>
    <w:tmpl w:val="173478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FA07FB7"/>
    <w:multiLevelType w:val="hybridMultilevel"/>
    <w:tmpl w:val="B95A3E8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B593A"/>
    <w:rsid w:val="00034CAE"/>
    <w:rsid w:val="00034F4C"/>
    <w:rsid w:val="00065038"/>
    <w:rsid w:val="000B1DC1"/>
    <w:rsid w:val="00143930"/>
    <w:rsid w:val="0017157D"/>
    <w:rsid w:val="001766FB"/>
    <w:rsid w:val="001B44C8"/>
    <w:rsid w:val="001D7140"/>
    <w:rsid w:val="0029134D"/>
    <w:rsid w:val="002A648B"/>
    <w:rsid w:val="002D479F"/>
    <w:rsid w:val="003C5500"/>
    <w:rsid w:val="003D4547"/>
    <w:rsid w:val="003E715F"/>
    <w:rsid w:val="00483160"/>
    <w:rsid w:val="004C4DFE"/>
    <w:rsid w:val="004D0217"/>
    <w:rsid w:val="00580568"/>
    <w:rsid w:val="005B48A2"/>
    <w:rsid w:val="005E11A0"/>
    <w:rsid w:val="006124FC"/>
    <w:rsid w:val="00666CBC"/>
    <w:rsid w:val="006D4694"/>
    <w:rsid w:val="007814B3"/>
    <w:rsid w:val="00831BD8"/>
    <w:rsid w:val="0094535A"/>
    <w:rsid w:val="00950CB0"/>
    <w:rsid w:val="00974BEC"/>
    <w:rsid w:val="00996765"/>
    <w:rsid w:val="009A5BAC"/>
    <w:rsid w:val="009B6EAB"/>
    <w:rsid w:val="009B7771"/>
    <w:rsid w:val="009D13C6"/>
    <w:rsid w:val="009D2EFB"/>
    <w:rsid w:val="009E04FB"/>
    <w:rsid w:val="00A3305F"/>
    <w:rsid w:val="00A77B2E"/>
    <w:rsid w:val="00AC7399"/>
    <w:rsid w:val="00B239DC"/>
    <w:rsid w:val="00B96A34"/>
    <w:rsid w:val="00BB71D6"/>
    <w:rsid w:val="00CD2E6F"/>
    <w:rsid w:val="00D43A75"/>
    <w:rsid w:val="00D83960"/>
    <w:rsid w:val="00DB268F"/>
    <w:rsid w:val="00DD6655"/>
    <w:rsid w:val="00E81068"/>
    <w:rsid w:val="00EB32CF"/>
    <w:rsid w:val="00EB593A"/>
    <w:rsid w:val="00F040E3"/>
    <w:rsid w:val="00F1439C"/>
    <w:rsid w:val="00F91D4C"/>
    <w:rsid w:val="00FF616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80568"/>
    <w:pPr>
      <w:tabs>
        <w:tab w:val="center" w:pos="4513"/>
        <w:tab w:val="right" w:pos="9026"/>
      </w:tabs>
    </w:pPr>
  </w:style>
  <w:style w:type="character" w:customStyle="1" w:styleId="HeaderChar">
    <w:name w:val="Header Char"/>
    <w:basedOn w:val="DefaultParagraphFont"/>
    <w:link w:val="Header"/>
    <w:uiPriority w:val="99"/>
    <w:semiHidden/>
    <w:rsid w:val="00580568"/>
    <w:rPr>
      <w:rFonts w:ascii="Tahoma" w:eastAsia="Times New Roman" w:hAnsi="Tahoma" w:cs="Times New Roman"/>
      <w:sz w:val="24"/>
      <w:szCs w:val="24"/>
      <w:lang w:val="en-US"/>
    </w:rPr>
  </w:style>
  <w:style w:type="paragraph" w:styleId="Footer">
    <w:name w:val="footer"/>
    <w:basedOn w:val="Normal"/>
    <w:link w:val="FooterChar"/>
    <w:uiPriority w:val="99"/>
    <w:unhideWhenUsed/>
    <w:rsid w:val="00580568"/>
    <w:pPr>
      <w:tabs>
        <w:tab w:val="center" w:pos="4513"/>
        <w:tab w:val="right" w:pos="9026"/>
      </w:tabs>
    </w:pPr>
  </w:style>
  <w:style w:type="character" w:customStyle="1" w:styleId="FooterChar">
    <w:name w:val="Footer Char"/>
    <w:basedOn w:val="DefaultParagraphFont"/>
    <w:link w:val="Footer"/>
    <w:uiPriority w:val="99"/>
    <w:rsid w:val="00580568"/>
    <w:rPr>
      <w:rFonts w:ascii="Tahoma" w:eastAsia="Times New Roman" w:hAnsi="Tahoma" w:cs="Times New Roman"/>
      <w:sz w:val="24"/>
      <w:szCs w:val="24"/>
      <w:lang w:val="en-US"/>
    </w:rPr>
  </w:style>
  <w:style w:type="paragraph" w:styleId="ListParagraph">
    <w:name w:val="List Paragraph"/>
    <w:basedOn w:val="Normal"/>
    <w:uiPriority w:val="34"/>
    <w:qFormat/>
    <w:rsid w:val="001D714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86999-AF9F-48C8-B4E0-B5F93508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2014-04-01T06:29:00Z</cp:lastPrinted>
  <dcterms:created xsi:type="dcterms:W3CDTF">2014-04-30T13:28:00Z</dcterms:created>
  <dcterms:modified xsi:type="dcterms:W3CDTF">2014-04-30T13:28:00Z</dcterms:modified>
</cp:coreProperties>
</file>