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7B" w:rsidRDefault="00BD237B" w:rsidP="00BD237B">
      <w:pPr>
        <w:spacing w:line="360" w:lineRule="auto"/>
        <w:jc w:val="both"/>
        <w:rPr>
          <w:b/>
          <w:sz w:val="22"/>
          <w:szCs w:val="22"/>
        </w:rPr>
      </w:pPr>
      <w:r>
        <w:rPr>
          <w:b/>
          <w:sz w:val="22"/>
          <w:szCs w:val="22"/>
        </w:rPr>
        <w:t>IN THE LABOUR COURT OF ZIMBABWE</w:t>
      </w:r>
      <w:r>
        <w:rPr>
          <w:b/>
          <w:sz w:val="22"/>
          <w:szCs w:val="22"/>
        </w:rPr>
        <w:tab/>
        <w:t xml:space="preserve">                 JUDGMENT NO. LC/H/</w:t>
      </w:r>
      <w:r w:rsidR="000F54CA">
        <w:rPr>
          <w:b/>
          <w:sz w:val="22"/>
          <w:szCs w:val="22"/>
        </w:rPr>
        <w:t>257</w:t>
      </w:r>
      <w:r>
        <w:rPr>
          <w:b/>
          <w:sz w:val="22"/>
          <w:szCs w:val="22"/>
        </w:rPr>
        <w:t>/2016</w:t>
      </w:r>
    </w:p>
    <w:p w:rsidR="00BD237B" w:rsidRDefault="00BD237B" w:rsidP="00BD237B">
      <w:pPr>
        <w:spacing w:line="360" w:lineRule="auto"/>
        <w:jc w:val="both"/>
        <w:rPr>
          <w:b/>
          <w:sz w:val="22"/>
          <w:szCs w:val="22"/>
        </w:rPr>
      </w:pPr>
      <w:r>
        <w:rPr>
          <w:b/>
          <w:sz w:val="22"/>
          <w:szCs w:val="22"/>
        </w:rPr>
        <w:t>HARARE, 11 MARCH 2016</w:t>
      </w:r>
      <w:r>
        <w:rPr>
          <w:b/>
          <w:sz w:val="22"/>
          <w:szCs w:val="22"/>
        </w:rPr>
        <w:tab/>
      </w:r>
      <w:r>
        <w:rPr>
          <w:b/>
          <w:sz w:val="22"/>
          <w:szCs w:val="22"/>
        </w:rPr>
        <w:tab/>
      </w:r>
      <w:r>
        <w:rPr>
          <w:b/>
          <w:sz w:val="22"/>
          <w:szCs w:val="22"/>
        </w:rPr>
        <w:tab/>
        <w:t xml:space="preserve">          </w:t>
      </w:r>
      <w:r>
        <w:rPr>
          <w:b/>
          <w:sz w:val="22"/>
          <w:szCs w:val="22"/>
        </w:rPr>
        <w:tab/>
        <w:t xml:space="preserve">       CASE NO. LC/H/1024/15</w:t>
      </w:r>
    </w:p>
    <w:p w:rsidR="00BD237B" w:rsidRDefault="00BD237B" w:rsidP="00BD237B">
      <w:pPr>
        <w:spacing w:line="360" w:lineRule="auto"/>
        <w:jc w:val="both"/>
        <w:rPr>
          <w:b/>
          <w:sz w:val="22"/>
          <w:szCs w:val="22"/>
        </w:rPr>
      </w:pPr>
      <w:r>
        <w:rPr>
          <w:b/>
          <w:sz w:val="22"/>
          <w:szCs w:val="22"/>
        </w:rPr>
        <w:t xml:space="preserve">AND </w:t>
      </w:r>
      <w:r w:rsidR="000F54CA">
        <w:rPr>
          <w:b/>
          <w:sz w:val="22"/>
          <w:szCs w:val="22"/>
        </w:rPr>
        <w:t xml:space="preserve">22 </w:t>
      </w:r>
      <w:r w:rsidR="00254751">
        <w:rPr>
          <w:b/>
          <w:sz w:val="22"/>
          <w:szCs w:val="22"/>
        </w:rPr>
        <w:t>APRIL 2016</w:t>
      </w:r>
    </w:p>
    <w:p w:rsidR="00BD237B" w:rsidRDefault="00BD237B" w:rsidP="00BD237B">
      <w:pPr>
        <w:spacing w:line="360" w:lineRule="auto"/>
        <w:jc w:val="both"/>
      </w:pPr>
      <w:r>
        <w:t>In the matter between:-</w:t>
      </w:r>
    </w:p>
    <w:p w:rsidR="00BD237B" w:rsidRDefault="00BD237B" w:rsidP="00BD237B">
      <w:pPr>
        <w:spacing w:line="360" w:lineRule="auto"/>
        <w:jc w:val="both"/>
      </w:pPr>
    </w:p>
    <w:p w:rsidR="00BD237B" w:rsidRDefault="00BD237B" w:rsidP="00BD237B">
      <w:pPr>
        <w:spacing w:line="360" w:lineRule="auto"/>
        <w:jc w:val="both"/>
        <w:rPr>
          <w:b/>
        </w:rPr>
      </w:pPr>
      <w:r>
        <w:rPr>
          <w:b/>
        </w:rPr>
        <w:t>TINASHE WELLINGTON MUMB</w:t>
      </w:r>
      <w:r w:rsidR="00942B1E">
        <w:rPr>
          <w:b/>
        </w:rPr>
        <w:t>ENGEGWI</w:t>
      </w:r>
      <w:r w:rsidR="00942B1E">
        <w:rPr>
          <w:b/>
        </w:rPr>
        <w:tab/>
      </w:r>
      <w:r w:rsidR="00942B1E">
        <w:rPr>
          <w:b/>
        </w:rPr>
        <w:tab/>
      </w:r>
      <w:r w:rsidR="00942B1E">
        <w:rPr>
          <w:b/>
        </w:rPr>
        <w:tab/>
      </w:r>
      <w:r w:rsidR="00942B1E">
        <w:rPr>
          <w:b/>
        </w:rPr>
        <w:tab/>
      </w:r>
      <w:r>
        <w:rPr>
          <w:b/>
        </w:rPr>
        <w:t xml:space="preserve">Appellant </w:t>
      </w:r>
    </w:p>
    <w:p w:rsidR="00BD237B" w:rsidRDefault="00BD237B" w:rsidP="00BD237B">
      <w:pPr>
        <w:spacing w:line="360" w:lineRule="auto"/>
        <w:jc w:val="both"/>
        <w:rPr>
          <w:sz w:val="22"/>
          <w:szCs w:val="22"/>
        </w:rPr>
      </w:pPr>
      <w:r>
        <w:rPr>
          <w:sz w:val="22"/>
          <w:szCs w:val="22"/>
        </w:rPr>
        <w:t>And</w:t>
      </w:r>
    </w:p>
    <w:p w:rsidR="00BD237B" w:rsidRDefault="00942B1E" w:rsidP="00BD237B">
      <w:pPr>
        <w:spacing w:line="360" w:lineRule="auto"/>
        <w:jc w:val="both"/>
        <w:rPr>
          <w:b/>
        </w:rPr>
      </w:pPr>
      <w:r>
        <w:rPr>
          <w:b/>
        </w:rPr>
        <w:t>FIDELITY PRINTERS &amp; REFINERS (PVT) LTD</w:t>
      </w:r>
      <w:r w:rsidR="00BD237B">
        <w:rPr>
          <w:b/>
        </w:rPr>
        <w:tab/>
      </w:r>
      <w:r w:rsidR="00BD237B">
        <w:rPr>
          <w:b/>
        </w:rPr>
        <w:tab/>
      </w:r>
      <w:r>
        <w:rPr>
          <w:b/>
        </w:rPr>
        <w:tab/>
      </w:r>
      <w:r w:rsidR="00BD237B">
        <w:rPr>
          <w:b/>
        </w:rPr>
        <w:t>Respondent</w:t>
      </w:r>
    </w:p>
    <w:p w:rsidR="00BD237B" w:rsidRDefault="00BD237B" w:rsidP="00BD237B">
      <w:pPr>
        <w:spacing w:line="360" w:lineRule="auto"/>
        <w:jc w:val="both"/>
        <w:rPr>
          <w:b/>
        </w:rPr>
      </w:pPr>
    </w:p>
    <w:p w:rsidR="00BD237B" w:rsidRDefault="00BD237B" w:rsidP="00BD237B">
      <w:pPr>
        <w:spacing w:line="360" w:lineRule="auto"/>
        <w:jc w:val="both"/>
      </w:pPr>
      <w:r>
        <w:t xml:space="preserve">Before The </w:t>
      </w:r>
      <w:proofErr w:type="spellStart"/>
      <w:r>
        <w:t>Honou</w:t>
      </w:r>
      <w:r w:rsidR="00E4585D">
        <w:t>rable</w:t>
      </w:r>
      <w:bookmarkStart w:id="0" w:name="_GoBack"/>
      <w:bookmarkEnd w:id="0"/>
      <w:proofErr w:type="spellEnd"/>
      <w:r w:rsidR="00074EA4">
        <w:t xml:space="preserve"> F.C. Maxwell, </w:t>
      </w:r>
      <w:r>
        <w:t>J</w:t>
      </w:r>
    </w:p>
    <w:p w:rsidR="00BD237B" w:rsidRDefault="00BD237B" w:rsidP="00BD237B">
      <w:pPr>
        <w:spacing w:line="360" w:lineRule="auto"/>
        <w:jc w:val="both"/>
      </w:pPr>
    </w:p>
    <w:p w:rsidR="00BD237B" w:rsidRDefault="00BD237B" w:rsidP="00BD237B">
      <w:pPr>
        <w:spacing w:line="360" w:lineRule="auto"/>
        <w:jc w:val="both"/>
        <w:rPr>
          <w:b/>
        </w:rPr>
      </w:pPr>
      <w:r>
        <w:rPr>
          <w:b/>
        </w:rPr>
        <w:t>For Appellant</w:t>
      </w:r>
      <w:r>
        <w:rPr>
          <w:b/>
        </w:rPr>
        <w:tab/>
      </w:r>
      <w:r>
        <w:rPr>
          <w:b/>
        </w:rPr>
        <w:tab/>
        <w:t xml:space="preserve">Mr </w:t>
      </w:r>
      <w:r w:rsidR="00607FBB">
        <w:rPr>
          <w:b/>
        </w:rPr>
        <w:t>S Hashiti</w:t>
      </w:r>
      <w:r>
        <w:rPr>
          <w:b/>
        </w:rPr>
        <w:t xml:space="preserve"> (Legal Practitioner)</w:t>
      </w:r>
      <w:r>
        <w:rPr>
          <w:b/>
        </w:rPr>
        <w:tab/>
      </w:r>
      <w:r>
        <w:rPr>
          <w:b/>
        </w:rPr>
        <w:tab/>
      </w:r>
      <w:r>
        <w:rPr>
          <w:b/>
        </w:rPr>
        <w:tab/>
      </w:r>
    </w:p>
    <w:p w:rsidR="00BD237B" w:rsidRDefault="00BD237B" w:rsidP="00BD237B">
      <w:pPr>
        <w:spacing w:line="360" w:lineRule="auto"/>
        <w:jc w:val="both"/>
        <w:rPr>
          <w:b/>
        </w:rPr>
      </w:pPr>
      <w:r>
        <w:rPr>
          <w:b/>
        </w:rPr>
        <w:t>For Respondent</w:t>
      </w:r>
      <w:r>
        <w:rPr>
          <w:b/>
        </w:rPr>
        <w:tab/>
      </w:r>
      <w:r>
        <w:rPr>
          <w:b/>
        </w:rPr>
        <w:tab/>
        <w:t xml:space="preserve">Mr </w:t>
      </w:r>
      <w:r w:rsidR="00607FBB">
        <w:rPr>
          <w:b/>
        </w:rPr>
        <w:t>T Mpofu</w:t>
      </w:r>
      <w:r>
        <w:rPr>
          <w:b/>
        </w:rPr>
        <w:t xml:space="preserve"> (Legal Practitioner)</w:t>
      </w:r>
    </w:p>
    <w:p w:rsidR="00BD237B" w:rsidRDefault="00BD237B" w:rsidP="00BD237B">
      <w:pPr>
        <w:spacing w:line="360" w:lineRule="auto"/>
        <w:jc w:val="both"/>
        <w:rPr>
          <w:b/>
          <w:sz w:val="28"/>
          <w:szCs w:val="28"/>
        </w:rPr>
      </w:pPr>
    </w:p>
    <w:p w:rsidR="00BD237B" w:rsidRDefault="00BD237B" w:rsidP="00BD237B">
      <w:pPr>
        <w:spacing w:line="360" w:lineRule="auto"/>
        <w:jc w:val="both"/>
        <w:rPr>
          <w:b/>
        </w:rPr>
      </w:pPr>
      <w:r>
        <w:rPr>
          <w:b/>
        </w:rPr>
        <w:t>MAXWELL, J:</w:t>
      </w:r>
    </w:p>
    <w:p w:rsidR="002334C7" w:rsidRDefault="002334C7" w:rsidP="006F0CBD">
      <w:pPr>
        <w:spacing w:line="360" w:lineRule="auto"/>
      </w:pPr>
    </w:p>
    <w:p w:rsidR="00EF27B3" w:rsidRDefault="00EF27B3" w:rsidP="005E2E20">
      <w:pPr>
        <w:spacing w:line="360" w:lineRule="auto"/>
        <w:jc w:val="both"/>
      </w:pPr>
      <w:r>
        <w:tab/>
        <w:t xml:space="preserve">At the </w:t>
      </w:r>
      <w:r w:rsidR="000E6160">
        <w:t xml:space="preserve">hearing of this matter respondent </w:t>
      </w:r>
      <w:r w:rsidR="005E2E20">
        <w:t xml:space="preserve">raised two points </w:t>
      </w:r>
      <w:r w:rsidR="005E2E20" w:rsidRPr="006F0CBD">
        <w:rPr>
          <w:i/>
        </w:rPr>
        <w:t>in limine</w:t>
      </w:r>
      <w:r w:rsidR="005E2E20">
        <w:t xml:space="preserve"> which a</w:t>
      </w:r>
      <w:r w:rsidR="00EC28F8">
        <w:t>re the subject of this judgment.</w:t>
      </w:r>
    </w:p>
    <w:p w:rsidR="00EC28F8" w:rsidRDefault="00EC28F8" w:rsidP="006F0CBD">
      <w:pPr>
        <w:jc w:val="both"/>
      </w:pPr>
    </w:p>
    <w:p w:rsidR="00EC28F8" w:rsidRDefault="00EC28F8" w:rsidP="005E2E20">
      <w:pPr>
        <w:spacing w:line="360" w:lineRule="auto"/>
        <w:jc w:val="both"/>
      </w:pPr>
      <w:r>
        <w:tab/>
        <w:t>Appellant was</w:t>
      </w:r>
      <w:r w:rsidR="00810DEF">
        <w:t xml:space="preserve"> employed by respondent as a Senior Finance Manager.  Following allegations of misconduct, a hearing was conducted resulting in appellant’s convictio</w:t>
      </w:r>
      <w:r w:rsidR="000F5A52">
        <w:t>n and dismissal from employment.  Appellant did not attend the hearing.  An internal appeal did not alter the position.  Appellant thereafter approached the court on the following grounds.</w:t>
      </w:r>
    </w:p>
    <w:p w:rsidR="00424CD3" w:rsidRDefault="00424CD3" w:rsidP="006F0CBD">
      <w:pPr>
        <w:jc w:val="both"/>
      </w:pPr>
    </w:p>
    <w:p w:rsidR="00424CD3" w:rsidRDefault="00424CD3" w:rsidP="005E2E20">
      <w:pPr>
        <w:spacing w:line="360" w:lineRule="auto"/>
        <w:jc w:val="both"/>
      </w:pPr>
      <w:r>
        <w:tab/>
        <w:t>3)</w:t>
      </w:r>
      <w:r>
        <w:tab/>
        <w:t>The appeals officer misdirected himself in finding.</w:t>
      </w:r>
    </w:p>
    <w:p w:rsidR="00424CD3" w:rsidRDefault="00424CD3" w:rsidP="006F0CBD">
      <w:pPr>
        <w:jc w:val="both"/>
      </w:pPr>
    </w:p>
    <w:p w:rsidR="00424CD3" w:rsidRDefault="00A47D4A" w:rsidP="00424CD3">
      <w:pPr>
        <w:pStyle w:val="ListParagraph"/>
        <w:numPr>
          <w:ilvl w:val="0"/>
          <w:numId w:val="1"/>
        </w:numPr>
        <w:spacing w:line="360" w:lineRule="auto"/>
        <w:jc w:val="both"/>
      </w:pPr>
      <w:r>
        <w:t>That t</w:t>
      </w:r>
      <w:r w:rsidR="00424CD3">
        <w:t>he record of proceedings was not doctored through deliberate omissions of relevant and pertinent transactions that took place during the hearing.</w:t>
      </w:r>
    </w:p>
    <w:p w:rsidR="00424CD3" w:rsidRDefault="00F222F7" w:rsidP="00424CD3">
      <w:pPr>
        <w:pStyle w:val="ListParagraph"/>
        <w:numPr>
          <w:ilvl w:val="0"/>
          <w:numId w:val="1"/>
        </w:numPr>
        <w:spacing w:line="360" w:lineRule="auto"/>
        <w:jc w:val="both"/>
      </w:pPr>
      <w:r>
        <w:t>That appellant</w:t>
      </w:r>
      <w:r w:rsidR="00424CD3">
        <w:t xml:space="preserve"> always wanted to</w:t>
      </w:r>
      <w:r>
        <w:t xml:space="preserve"> avoid the hearing at all cost.</w:t>
      </w:r>
    </w:p>
    <w:p w:rsidR="00F222F7" w:rsidRDefault="00F222F7" w:rsidP="00424CD3">
      <w:pPr>
        <w:pStyle w:val="ListParagraph"/>
        <w:numPr>
          <w:ilvl w:val="0"/>
          <w:numId w:val="1"/>
        </w:numPr>
        <w:spacing w:line="360" w:lineRule="auto"/>
        <w:jc w:val="both"/>
      </w:pPr>
      <w:r>
        <w:t>That evidence was led in support of all the allegations leveled against the appellant.</w:t>
      </w:r>
    </w:p>
    <w:p w:rsidR="00F222F7" w:rsidRDefault="00F222F7" w:rsidP="00424CD3">
      <w:pPr>
        <w:pStyle w:val="ListParagraph"/>
        <w:numPr>
          <w:ilvl w:val="0"/>
          <w:numId w:val="1"/>
        </w:numPr>
        <w:spacing w:line="360" w:lineRule="auto"/>
        <w:jc w:val="both"/>
      </w:pPr>
      <w:r>
        <w:lastRenderedPageBreak/>
        <w:t>That appellant admitted committing acts of misconduct.</w:t>
      </w:r>
    </w:p>
    <w:p w:rsidR="00F222F7" w:rsidRDefault="00F222F7" w:rsidP="00424CD3">
      <w:pPr>
        <w:pStyle w:val="ListParagraph"/>
        <w:numPr>
          <w:ilvl w:val="0"/>
          <w:numId w:val="1"/>
        </w:numPr>
        <w:spacing w:line="360" w:lineRule="auto"/>
        <w:jc w:val="both"/>
      </w:pPr>
      <w:r>
        <w:t>That there were reasons for decisions given by the disciplinary committee</w:t>
      </w:r>
      <w:r w:rsidR="00260083">
        <w:t>.</w:t>
      </w:r>
    </w:p>
    <w:p w:rsidR="00260083" w:rsidRDefault="00260083" w:rsidP="00424CD3">
      <w:pPr>
        <w:pStyle w:val="ListParagraph"/>
        <w:numPr>
          <w:ilvl w:val="0"/>
          <w:numId w:val="1"/>
        </w:numPr>
        <w:spacing w:line="360" w:lineRule="auto"/>
        <w:jc w:val="both"/>
      </w:pPr>
      <w:r>
        <w:t xml:space="preserve">That the chairman and company representative was not biased and had no prior knowledge of </w:t>
      </w:r>
      <w:r w:rsidR="00595BDA">
        <w:t>the</w:t>
      </w:r>
      <w:r>
        <w:t xml:space="preserve"> case at hand.</w:t>
      </w:r>
    </w:p>
    <w:p w:rsidR="00260083" w:rsidRDefault="00260083" w:rsidP="00424CD3">
      <w:pPr>
        <w:pStyle w:val="ListParagraph"/>
        <w:numPr>
          <w:ilvl w:val="0"/>
          <w:numId w:val="1"/>
        </w:numPr>
        <w:spacing w:line="360" w:lineRule="auto"/>
        <w:jc w:val="both"/>
      </w:pPr>
      <w:r>
        <w:t>That the respondent had to breach the Code of Conduct by having a neutral person to conduct hearing.</w:t>
      </w:r>
    </w:p>
    <w:p w:rsidR="00260083" w:rsidRDefault="00260083" w:rsidP="00424CD3">
      <w:pPr>
        <w:pStyle w:val="ListParagraph"/>
        <w:numPr>
          <w:ilvl w:val="0"/>
          <w:numId w:val="1"/>
        </w:numPr>
        <w:spacing w:line="360" w:lineRule="auto"/>
        <w:jc w:val="both"/>
      </w:pPr>
      <w:r>
        <w:t>That the penalty impo</w:t>
      </w:r>
      <w:r w:rsidR="0000577A">
        <w:t>sed was the most appropria</w:t>
      </w:r>
      <w:r w:rsidR="00595BDA">
        <w:t>te when the chairman had not ex</w:t>
      </w:r>
      <w:r w:rsidR="0000577A">
        <w:t xml:space="preserve">plored other </w:t>
      </w:r>
      <w:r w:rsidR="008612BD">
        <w:t>p</w:t>
      </w:r>
      <w:r w:rsidR="006275D4">
        <w:t>enal</w:t>
      </w:r>
      <w:r w:rsidR="0000577A">
        <w:t xml:space="preserve"> provisions.</w:t>
      </w:r>
    </w:p>
    <w:p w:rsidR="0019011B" w:rsidRDefault="0019011B" w:rsidP="006F0CBD">
      <w:pPr>
        <w:jc w:val="both"/>
      </w:pPr>
    </w:p>
    <w:p w:rsidR="0019011B" w:rsidRDefault="0019011B" w:rsidP="0079611D">
      <w:pPr>
        <w:spacing w:line="360" w:lineRule="auto"/>
        <w:ind w:firstLine="720"/>
        <w:jc w:val="both"/>
      </w:pPr>
      <w:r>
        <w:t>Appellant elaborated on each ground stated above and also filed what he termed expanded grounds of appeal for the same purpose.  Appellant prayed for the setting aside</w:t>
      </w:r>
      <w:r w:rsidR="004D7424">
        <w:t xml:space="preserve"> of the decision of the tribunal (sic) and that he be reinstated to his previous position.  Appellant also prayed for an order of costs against respondent.</w:t>
      </w:r>
    </w:p>
    <w:p w:rsidR="004D7424" w:rsidRDefault="004D7424" w:rsidP="006F0CBD">
      <w:pPr>
        <w:jc w:val="both"/>
      </w:pPr>
    </w:p>
    <w:p w:rsidR="009C2A60" w:rsidRDefault="004D7424" w:rsidP="0019011B">
      <w:pPr>
        <w:spacing w:line="360" w:lineRule="auto"/>
        <w:jc w:val="both"/>
      </w:pPr>
      <w:r>
        <w:tab/>
        <w:t xml:space="preserve">Respondent disputed each ground of appeal and prayed for the dismissal of the appeal with costs.  In heads of argument and oral submissions </w:t>
      </w:r>
      <w:r w:rsidR="00A42115">
        <w:t xml:space="preserve">counsel for respondent raised three points </w:t>
      </w:r>
      <w:r w:rsidR="00A42115" w:rsidRPr="00A42115">
        <w:rPr>
          <w:i/>
        </w:rPr>
        <w:t>in limine</w:t>
      </w:r>
      <w:r w:rsidR="00A42115">
        <w:t xml:space="preserve">.  The </w:t>
      </w:r>
      <w:r w:rsidR="009C2A60">
        <w:t>first is that appellant has adopted a wrong procedure as he has mixed review and appeal issues.  The second is that having decided that he will not participate in proceedings, appellant has lost the right to challenge the proceedings.  The third is that Appellant conceded to doing wrong and therefore has no good defence.</w:t>
      </w:r>
    </w:p>
    <w:p w:rsidR="009C2A60" w:rsidRDefault="009C2A60" w:rsidP="006F0CBD">
      <w:pPr>
        <w:jc w:val="both"/>
      </w:pPr>
    </w:p>
    <w:p w:rsidR="009C2A60" w:rsidRPr="00C37032" w:rsidRDefault="006F0CBD" w:rsidP="0019011B">
      <w:pPr>
        <w:spacing w:line="360" w:lineRule="auto"/>
        <w:jc w:val="both"/>
        <w:rPr>
          <w:u w:val="single"/>
        </w:rPr>
      </w:pPr>
      <w:r w:rsidRPr="00C37032">
        <w:rPr>
          <w:u w:val="single"/>
        </w:rPr>
        <w:t>First p</w:t>
      </w:r>
      <w:r w:rsidR="0079611D" w:rsidRPr="00C37032">
        <w:rPr>
          <w:u w:val="single"/>
        </w:rPr>
        <w:t xml:space="preserve">oint </w:t>
      </w:r>
      <w:r w:rsidR="0079611D" w:rsidRPr="00C37032">
        <w:rPr>
          <w:i/>
          <w:u w:val="single"/>
        </w:rPr>
        <w:t>in l</w:t>
      </w:r>
      <w:r w:rsidR="009C2A60" w:rsidRPr="00C37032">
        <w:rPr>
          <w:i/>
          <w:u w:val="single"/>
        </w:rPr>
        <w:t>imine</w:t>
      </w:r>
    </w:p>
    <w:p w:rsidR="0079611D" w:rsidRDefault="0079611D" w:rsidP="006F0CBD">
      <w:pPr>
        <w:jc w:val="both"/>
      </w:pPr>
    </w:p>
    <w:p w:rsidR="0079611D" w:rsidRDefault="0079611D" w:rsidP="0019011B">
      <w:pPr>
        <w:spacing w:line="360" w:lineRule="auto"/>
        <w:jc w:val="both"/>
      </w:pPr>
      <w:r>
        <w:tab/>
        <w:t xml:space="preserve">Counsel for respondent submitted that </w:t>
      </w:r>
      <w:r w:rsidR="00E11F10">
        <w:t>appellant improperly conflated two procedures without seeking condonation.  He further submitted that appellant ought to have proc</w:t>
      </w:r>
      <w:r w:rsidR="00475FFF">
        <w:t xml:space="preserve">eeded in terms of rule 15 (3) of SI 59/06 which allows a party to file an appeal together with an application for review.  There is merit in counsel’s submissions.  There are separate rules to govern appeal and review proceedings before this court.  Rule 15 of SI 59/06 governs appeal proceedings whilst review proceedings are governed by Rule 16.  It </w:t>
      </w:r>
      <w:r w:rsidR="006F60E6">
        <w:t xml:space="preserve">is trite that review proceedings are concerned with the manner </w:t>
      </w:r>
      <w:r w:rsidR="00504601">
        <w:t xml:space="preserve">in which </w:t>
      </w:r>
      <w:r w:rsidR="006275D4">
        <w:t>a</w:t>
      </w:r>
      <w:r w:rsidR="00504601">
        <w:t xml:space="preserve"> decision is taken </w:t>
      </w:r>
      <w:r w:rsidR="005360AB">
        <w:t xml:space="preserve">and not its merit.  See </w:t>
      </w:r>
      <w:proofErr w:type="spellStart"/>
      <w:r w:rsidR="005360AB" w:rsidRPr="008E41F7">
        <w:rPr>
          <w:i/>
        </w:rPr>
        <w:lastRenderedPageBreak/>
        <w:t>Zimasco</w:t>
      </w:r>
      <w:proofErr w:type="spellEnd"/>
      <w:r w:rsidR="005360AB">
        <w:t xml:space="preserve"> v </w:t>
      </w:r>
      <w:proofErr w:type="spellStart"/>
      <w:r w:rsidR="005360AB" w:rsidRPr="006F0CBD">
        <w:rPr>
          <w:i/>
        </w:rPr>
        <w:t>Marikano</w:t>
      </w:r>
      <w:proofErr w:type="spellEnd"/>
      <w:r w:rsidR="005360AB">
        <w:t xml:space="preserve"> SC 6/14</w:t>
      </w:r>
      <w:r w:rsidR="00AB6373">
        <w:t>.</w:t>
      </w:r>
      <w:r w:rsidR="005360AB">
        <w:t xml:space="preserve"> Section 92</w:t>
      </w:r>
      <w:r w:rsidR="0096554B">
        <w:t xml:space="preserve"> EE</w:t>
      </w:r>
      <w:r w:rsidR="005360AB">
        <w:t xml:space="preserve"> of the Labour Act [Chapter 28:01]</w:t>
      </w:r>
      <w:r w:rsidR="00AB0E2F">
        <w:t xml:space="preserve"> (as amended) provides the grounds upon which one can bring an application for review before this court.  An examination of the appellant’s grounds of appeal shows that most of them are grounds for review.</w:t>
      </w:r>
    </w:p>
    <w:p w:rsidR="00AB0E2F" w:rsidRDefault="00AB0E2F" w:rsidP="009D0BBC">
      <w:pPr>
        <w:jc w:val="both"/>
      </w:pPr>
    </w:p>
    <w:p w:rsidR="0049139D" w:rsidRDefault="0049139D" w:rsidP="0019011B">
      <w:pPr>
        <w:spacing w:line="360" w:lineRule="auto"/>
        <w:jc w:val="both"/>
      </w:pPr>
      <w:r>
        <w:tab/>
        <w:t xml:space="preserve">Counsel for respondent sought to argue that if a party </w:t>
      </w:r>
      <w:r w:rsidR="00804009">
        <w:t>adopts</w:t>
      </w:r>
      <w:r>
        <w:t xml:space="preserve"> a </w:t>
      </w:r>
      <w:r w:rsidR="00804009">
        <w:t>wrong</w:t>
      </w:r>
      <w:r>
        <w:t xml:space="preserve"> procedure, the Court can still hear the party as Labour matters should not be decided on technicalities.  He sought to place</w:t>
      </w:r>
      <w:r w:rsidR="00804009">
        <w:t xml:space="preserve"> reliance on the case of </w:t>
      </w:r>
      <w:r w:rsidR="00804009" w:rsidRPr="009D0BBC">
        <w:rPr>
          <w:i/>
        </w:rPr>
        <w:t>Dalny Mine</w:t>
      </w:r>
      <w:r w:rsidR="00804009">
        <w:t xml:space="preserve"> v </w:t>
      </w:r>
      <w:r w:rsidR="00804009" w:rsidRPr="009D0BBC">
        <w:rPr>
          <w:i/>
        </w:rPr>
        <w:t>Banda</w:t>
      </w:r>
      <w:r w:rsidR="00804009">
        <w:t xml:space="preserve"> 199 (1) ZLR</w:t>
      </w:r>
      <w:r w:rsidR="0084267F">
        <w:t xml:space="preserve"> 20 for this submission.  It is true that it is undesirable for labour matt</w:t>
      </w:r>
      <w:r w:rsidR="00B616B0">
        <w:t>ers to be dealt with o</w:t>
      </w:r>
      <w:r w:rsidR="0084267F">
        <w:t xml:space="preserve">n technicalities.  However there are technicalities which cannot be rectified or put right as suggested in the </w:t>
      </w:r>
      <w:r w:rsidR="0084267F" w:rsidRPr="009D0BBC">
        <w:rPr>
          <w:i/>
        </w:rPr>
        <w:t>Dalny Mine</w:t>
      </w:r>
      <w:r w:rsidR="0084267F">
        <w:t xml:space="preserve"> case.  Where procedures are statutorily</w:t>
      </w:r>
      <w:r w:rsidR="009D4218">
        <w:t xml:space="preserve"> provided for, you cannot overlook them and find recourse in that technicalities should not be the deciding factor.  This Court is a creature of statute and operates within the confines of what is stipulated in the statu</w:t>
      </w:r>
      <w:r w:rsidR="00B616B0">
        <w:t>t</w:t>
      </w:r>
      <w:r w:rsidR="009D4218">
        <w:t>es.  Statutory Instrument 59 of 2006 was</w:t>
      </w:r>
      <w:r w:rsidR="0077070D">
        <w:t xml:space="preserve"> promulgated to regulate proceedings in this Court.  As was stated in </w:t>
      </w:r>
      <w:r w:rsidR="0077070D" w:rsidRPr="009D0BBC">
        <w:rPr>
          <w:i/>
        </w:rPr>
        <w:t>Forestry Commission</w:t>
      </w:r>
      <w:r w:rsidR="0077070D">
        <w:t xml:space="preserve"> v </w:t>
      </w:r>
      <w:r w:rsidR="0077070D" w:rsidRPr="009D0BBC">
        <w:rPr>
          <w:i/>
        </w:rPr>
        <w:t>Moyo</w:t>
      </w:r>
      <w:r w:rsidR="0077070D">
        <w:t xml:space="preserve"> 1997 (1) ZLR </w:t>
      </w:r>
      <w:r w:rsidR="00305B40">
        <w:t xml:space="preserve">254, strong grounds have to be advanced </w:t>
      </w:r>
      <w:r w:rsidR="008D0DFE">
        <w:t xml:space="preserve">to persuade the Court to act outside the rules of </w:t>
      </w:r>
      <w:r w:rsidR="009852B8">
        <w:t>Court.  I am not persuaded that such grounds have been advanced in this case.</w:t>
      </w:r>
    </w:p>
    <w:p w:rsidR="009852B8" w:rsidRDefault="009852B8" w:rsidP="009D0BBC">
      <w:pPr>
        <w:jc w:val="both"/>
      </w:pPr>
    </w:p>
    <w:p w:rsidR="009852B8" w:rsidRDefault="009852B8" w:rsidP="0019011B">
      <w:pPr>
        <w:spacing w:line="360" w:lineRule="auto"/>
        <w:jc w:val="both"/>
      </w:pPr>
      <w:r>
        <w:tab/>
        <w:t>In any event as submitted for respondent, nothing precluded appellant from complying with</w:t>
      </w:r>
      <w:r w:rsidR="003334DA">
        <w:t xml:space="preserve"> Rule 15 (3).  He should have filed an appeal as well as an application for review.  Both matters could have been dealt with at the same time but the rules require</w:t>
      </w:r>
      <w:r w:rsidR="001B5848">
        <w:t xml:space="preserve"> that they be filed separately and distinctly.  I therefore find merit in the first point </w:t>
      </w:r>
      <w:r w:rsidR="001B5848" w:rsidRPr="00353FD3">
        <w:rPr>
          <w:i/>
        </w:rPr>
        <w:t>in limine</w:t>
      </w:r>
      <w:r w:rsidR="001B5848">
        <w:t>.  The result</w:t>
      </w:r>
      <w:r w:rsidR="00B616B0">
        <w:t xml:space="preserve"> of that finding is that all tho</w:t>
      </w:r>
      <w:r w:rsidR="001B5848">
        <w:t>se grounds that are challenging procedural irregula</w:t>
      </w:r>
      <w:r w:rsidR="00353FD3">
        <w:t>rities are improperly before me and are struck out.</w:t>
      </w:r>
    </w:p>
    <w:p w:rsidR="006616C8" w:rsidRDefault="006616C8" w:rsidP="009D0BBC">
      <w:pPr>
        <w:jc w:val="both"/>
      </w:pPr>
    </w:p>
    <w:p w:rsidR="006616C8" w:rsidRPr="009D0BBC" w:rsidRDefault="006616C8" w:rsidP="0019011B">
      <w:pPr>
        <w:spacing w:line="360" w:lineRule="auto"/>
        <w:jc w:val="both"/>
        <w:rPr>
          <w:u w:val="single"/>
        </w:rPr>
      </w:pPr>
      <w:r w:rsidRPr="009D0BBC">
        <w:rPr>
          <w:u w:val="single"/>
        </w:rPr>
        <w:t xml:space="preserve">Second point </w:t>
      </w:r>
      <w:r w:rsidRPr="00C37032">
        <w:rPr>
          <w:i/>
          <w:u w:val="single"/>
        </w:rPr>
        <w:t>in limine</w:t>
      </w:r>
    </w:p>
    <w:p w:rsidR="006616C8" w:rsidRDefault="006616C8" w:rsidP="0019011B">
      <w:pPr>
        <w:spacing w:line="360" w:lineRule="auto"/>
        <w:jc w:val="both"/>
      </w:pPr>
    </w:p>
    <w:p w:rsidR="00904E40" w:rsidRDefault="006616C8" w:rsidP="0019011B">
      <w:pPr>
        <w:spacing w:line="360" w:lineRule="auto"/>
        <w:jc w:val="both"/>
      </w:pPr>
      <w:r>
        <w:tab/>
        <w:t>Counsel for respondent submitted that as appellant had not attended the proceedings sought to be impugned, he had lost the right to challenge those proceedings.  I did not follow</w:t>
      </w:r>
      <w:r w:rsidR="002D7213">
        <w:t xml:space="preserve"> any of Counsel for appellant’s argument </w:t>
      </w:r>
      <w:r w:rsidR="009D0BBC">
        <w:t>contradicting</w:t>
      </w:r>
      <w:r w:rsidR="002D7213">
        <w:t xml:space="preserve"> this submission.  Once proceedings are dealt with in default of a party’s participation, the defaulting </w:t>
      </w:r>
      <w:r w:rsidR="00984AF1">
        <w:t>party must first deal with the issue of its non-</w:t>
      </w:r>
      <w:r w:rsidR="00984AF1">
        <w:lastRenderedPageBreak/>
        <w:t>participation.  In t</w:t>
      </w:r>
      <w:r w:rsidR="00B0007C">
        <w:t xml:space="preserve">he case of </w:t>
      </w:r>
      <w:r w:rsidR="00B0007C" w:rsidRPr="009D0BBC">
        <w:rPr>
          <w:i/>
        </w:rPr>
        <w:t>David Moyo</w:t>
      </w:r>
      <w:r w:rsidR="00B0007C">
        <w:t xml:space="preserve"> v </w:t>
      </w:r>
      <w:r w:rsidR="00B0007C" w:rsidRPr="009D0BBC">
        <w:rPr>
          <w:i/>
        </w:rPr>
        <w:t>Rural Electrification Agency</w:t>
      </w:r>
      <w:r w:rsidR="00B0007C">
        <w:t xml:space="preserve"> SC 4/14 an appellant who had absented himself without leave from the </w:t>
      </w:r>
      <w:r w:rsidR="00B77284">
        <w:t xml:space="preserve">hearing was held to have waived his right to challenge the conduct of the disciplinary proceedings.  </w:t>
      </w:r>
      <w:r w:rsidR="00DD3D1D">
        <w:t xml:space="preserve">In that case, </w:t>
      </w:r>
      <w:r w:rsidR="00110A88">
        <w:t>the failure by the respondent to strictly comply with the regulations was held not to ope</w:t>
      </w:r>
      <w:r w:rsidR="001A6D2C">
        <w:t xml:space="preserve">rate to </w:t>
      </w:r>
      <w:r w:rsidR="00B616B0">
        <w:t>vitiate</w:t>
      </w:r>
      <w:r w:rsidR="00110A88">
        <w:t xml:space="preserve"> </w:t>
      </w:r>
      <w:proofErr w:type="gramStart"/>
      <w:r w:rsidR="001A6D2C">
        <w:t>T</w:t>
      </w:r>
      <w:r w:rsidR="00110A88">
        <w:t>he</w:t>
      </w:r>
      <w:proofErr w:type="gramEnd"/>
      <w:r w:rsidR="001A6D2C">
        <w:t xml:space="preserve"> disciplinary proceedings.  See also </w:t>
      </w:r>
      <w:r w:rsidR="001A6D2C" w:rsidRPr="009D0BBC">
        <w:rPr>
          <w:i/>
        </w:rPr>
        <w:t>Robert Dombodzvuku</w:t>
      </w:r>
      <w:r w:rsidR="001A6D2C">
        <w:t xml:space="preserve"> v </w:t>
      </w:r>
      <w:r w:rsidR="001A6D2C" w:rsidRPr="009D0BBC">
        <w:rPr>
          <w:i/>
        </w:rPr>
        <w:t>CMED (PVT) Ltd</w:t>
      </w:r>
      <w:r w:rsidR="001A6D2C">
        <w:t xml:space="preserve"> SC 31/12.  Appellant therefore lost the ri</w:t>
      </w:r>
      <w:r w:rsidR="00904E40">
        <w:t>ght to challenge the disciplinary</w:t>
      </w:r>
      <w:r w:rsidR="001A6D2C">
        <w:t xml:space="preserve"> proceedi</w:t>
      </w:r>
      <w:r w:rsidR="00904E40">
        <w:t>ngs</w:t>
      </w:r>
      <w:r w:rsidR="00B616B0">
        <w:t xml:space="preserve"> in</w:t>
      </w:r>
      <w:r w:rsidR="00904E40">
        <w:t xml:space="preserve"> which he did not participate.  I find </w:t>
      </w:r>
      <w:r w:rsidR="009D0BBC">
        <w:t>merit</w:t>
      </w:r>
      <w:r w:rsidR="00904E40">
        <w:t xml:space="preserve"> in the second point </w:t>
      </w:r>
      <w:r w:rsidR="00904E40" w:rsidRPr="009D0BBC">
        <w:rPr>
          <w:i/>
        </w:rPr>
        <w:t>in limine</w:t>
      </w:r>
      <w:r w:rsidR="00904E40">
        <w:t>.</w:t>
      </w:r>
    </w:p>
    <w:p w:rsidR="00904E40" w:rsidRDefault="00904E40" w:rsidP="00290A94">
      <w:pPr>
        <w:jc w:val="both"/>
      </w:pPr>
    </w:p>
    <w:p w:rsidR="00904E40" w:rsidRPr="00290A94" w:rsidRDefault="00904E40" w:rsidP="0019011B">
      <w:pPr>
        <w:spacing w:line="360" w:lineRule="auto"/>
        <w:jc w:val="both"/>
        <w:rPr>
          <w:u w:val="single"/>
        </w:rPr>
      </w:pPr>
      <w:r w:rsidRPr="00290A94">
        <w:rPr>
          <w:u w:val="single"/>
        </w:rPr>
        <w:t xml:space="preserve">Third point </w:t>
      </w:r>
      <w:r w:rsidRPr="00AA2823">
        <w:rPr>
          <w:i/>
          <w:u w:val="single"/>
        </w:rPr>
        <w:t>in limine</w:t>
      </w:r>
    </w:p>
    <w:p w:rsidR="00904E40" w:rsidRDefault="00904E40" w:rsidP="00290A94">
      <w:pPr>
        <w:jc w:val="both"/>
      </w:pPr>
    </w:p>
    <w:p w:rsidR="00C73801" w:rsidRDefault="00904E40" w:rsidP="0019011B">
      <w:pPr>
        <w:spacing w:line="360" w:lineRule="auto"/>
        <w:jc w:val="both"/>
      </w:pPr>
      <w:r>
        <w:tab/>
        <w:t xml:space="preserve">Counsel for respondent submitted that appellant accepted </w:t>
      </w:r>
      <w:r w:rsidR="00F45A75">
        <w:t>that what he did was wrong but he was acting on superior orders.  Counsel furth</w:t>
      </w:r>
      <w:r w:rsidR="000235E4">
        <w:t xml:space="preserve">er submitted that even if appellant was to be given an opportunity to prosecute his defence, all he </w:t>
      </w:r>
      <w:r w:rsidR="006A1625">
        <w:t xml:space="preserve">would say would be that he was </w:t>
      </w:r>
      <w:r w:rsidR="00987CCB">
        <w:t>acting</w:t>
      </w:r>
      <w:r w:rsidR="006A1625">
        <w:t xml:space="preserve"> on orders, which defence is not acceptable as one is obliged to obey lawful instructions.  Appellant has not demonstrated that he </w:t>
      </w:r>
      <w:r w:rsidR="001B79E5">
        <w:t xml:space="preserve">has a good defence which he was not able to </w:t>
      </w:r>
      <w:r w:rsidR="00987CCB">
        <w:t>advance</w:t>
      </w:r>
      <w:r w:rsidR="00AB7061">
        <w:t xml:space="preserve"> due to procedural irregularities.  For that reason it would be improper to set aside the proceedings.  See </w:t>
      </w:r>
      <w:r w:rsidR="00AB7061" w:rsidRPr="00290A94">
        <w:rPr>
          <w:i/>
        </w:rPr>
        <w:t>ZFC</w:t>
      </w:r>
      <w:r w:rsidR="00AB7061">
        <w:t xml:space="preserve"> v </w:t>
      </w:r>
      <w:r w:rsidR="00AB7061" w:rsidRPr="00290A94">
        <w:rPr>
          <w:i/>
        </w:rPr>
        <w:t>Geza</w:t>
      </w:r>
      <w:r w:rsidR="00AB7061">
        <w:t xml:space="preserve"> 1998 (1) ZLR </w:t>
      </w:r>
      <w:r w:rsidR="000211E7">
        <w:t xml:space="preserve">137.  I therefore find merit </w:t>
      </w:r>
      <w:r w:rsidR="00C73801">
        <w:t>in the objection raised.</w:t>
      </w:r>
    </w:p>
    <w:p w:rsidR="00C73801" w:rsidRDefault="00C73801" w:rsidP="00290A94">
      <w:pPr>
        <w:jc w:val="both"/>
      </w:pPr>
    </w:p>
    <w:p w:rsidR="000279DA" w:rsidRDefault="00C73801" w:rsidP="0019011B">
      <w:pPr>
        <w:spacing w:line="360" w:lineRule="auto"/>
        <w:jc w:val="both"/>
      </w:pPr>
      <w:r>
        <w:tab/>
        <w:t xml:space="preserve">Having considered the points </w:t>
      </w:r>
      <w:r w:rsidRPr="00290A94">
        <w:rPr>
          <w:i/>
        </w:rPr>
        <w:t>in limine</w:t>
      </w:r>
      <w:r>
        <w:t>, two grounds of appeal remain, ground (b) and (h).  In ground (b) appellant argues that the Appeals officer erred by confirming that he had always wanted to avoid the hearing when the fact that appellant</w:t>
      </w:r>
      <w:r w:rsidR="00423178">
        <w:t xml:space="preserve"> was involved in an accident was ignored.  As argued for respondent, the issue of the accident was immaterial as appellant indicated that he had not come for the hearing.  On page 69 of the record he advised the Disciplinary Committee that he had come to negotiate </w:t>
      </w:r>
      <w:r w:rsidR="00987CCB">
        <w:t>a</w:t>
      </w:r>
      <w:r w:rsidR="00EA2727">
        <w:t>n</w:t>
      </w:r>
      <w:r w:rsidR="00423178">
        <w:t xml:space="preserve"> exit package.  The appellant’s ground of appeal therefore has no basis.</w:t>
      </w:r>
    </w:p>
    <w:p w:rsidR="000279DA" w:rsidRDefault="000279DA" w:rsidP="00290A94">
      <w:pPr>
        <w:jc w:val="both"/>
      </w:pPr>
    </w:p>
    <w:p w:rsidR="00793799" w:rsidRDefault="000279DA" w:rsidP="0019011B">
      <w:pPr>
        <w:spacing w:line="360" w:lineRule="auto"/>
        <w:jc w:val="both"/>
      </w:pPr>
      <w:r>
        <w:tab/>
        <w:t xml:space="preserve">Ground of appeal (h) criticizes the chairman for not exploring other penal provisions.  </w:t>
      </w:r>
      <w:r w:rsidR="00F42C55">
        <w:t>It is trite that the issue of penalty is the discretion of the employer and an appeal court will not int</w:t>
      </w:r>
      <w:r w:rsidR="00A054B5">
        <w:t xml:space="preserve">erfere with the exercise of discretion unless such exercise has been afflicted by a serious misdirection.  See </w:t>
      </w:r>
      <w:r w:rsidR="00A054B5" w:rsidRPr="00290A94">
        <w:rPr>
          <w:i/>
        </w:rPr>
        <w:t>Malimanji</w:t>
      </w:r>
      <w:r w:rsidR="00A054B5">
        <w:t xml:space="preserve"> v </w:t>
      </w:r>
      <w:r w:rsidR="00A054B5" w:rsidRPr="00290A94">
        <w:rPr>
          <w:i/>
        </w:rPr>
        <w:t>CABS</w:t>
      </w:r>
      <w:r w:rsidR="00A054B5">
        <w:t xml:space="preserve"> 2007 (2) ZLR 77</w:t>
      </w:r>
      <w:r w:rsidR="00333F1F">
        <w:t xml:space="preserve">.  </w:t>
      </w:r>
      <w:r w:rsidR="00333F1F">
        <w:lastRenderedPageBreak/>
        <w:t xml:space="preserve">It is also trite that once an employer has taken a serious view of the act of misconduct committed by the employee and dismissed the employee from employment, the question of penalty, less severe than dismissal being available for consideration would not arise unless it </w:t>
      </w:r>
      <w:r w:rsidR="00325A2A">
        <w:t>was established that the employer acted unreasonably in having a serious view of the offence committed by the employee.</w:t>
      </w:r>
      <w:r w:rsidR="00793799">
        <w:t xml:space="preserve">  See </w:t>
      </w:r>
      <w:r w:rsidR="00793799" w:rsidRPr="00290A94">
        <w:rPr>
          <w:i/>
        </w:rPr>
        <w:t>Circle Cement (Pvt) Ltd</w:t>
      </w:r>
      <w:r w:rsidR="00793799">
        <w:t xml:space="preserve"> v </w:t>
      </w:r>
      <w:r w:rsidR="00793799" w:rsidRPr="00290A94">
        <w:rPr>
          <w:i/>
        </w:rPr>
        <w:t>Chipo Nyawasha</w:t>
      </w:r>
      <w:r w:rsidR="00793799">
        <w:t xml:space="preserve"> SC 60/03.</w:t>
      </w:r>
    </w:p>
    <w:p w:rsidR="00793799" w:rsidRDefault="00793799" w:rsidP="00E43748">
      <w:pPr>
        <w:jc w:val="both"/>
      </w:pPr>
    </w:p>
    <w:p w:rsidR="00B10A27" w:rsidRDefault="00793799" w:rsidP="0019011B">
      <w:pPr>
        <w:spacing w:line="360" w:lineRule="auto"/>
        <w:jc w:val="both"/>
      </w:pPr>
      <w:r>
        <w:tab/>
        <w:t>In heads of argument, appellant accuse</w:t>
      </w:r>
      <w:r w:rsidR="00B10A27">
        <w:t>s the disciplinary hearing and the appeals tribunal of paying a cursory glance at mitigation.  In paragraph 45 it is stated;</w:t>
      </w:r>
    </w:p>
    <w:p w:rsidR="00B10A27" w:rsidRDefault="00B10A27" w:rsidP="00E43748">
      <w:pPr>
        <w:jc w:val="both"/>
      </w:pPr>
    </w:p>
    <w:p w:rsidR="009B204C" w:rsidRPr="00E43748" w:rsidRDefault="00B10A27" w:rsidP="00E43748">
      <w:pPr>
        <w:spacing w:line="276" w:lineRule="auto"/>
        <w:ind w:left="720"/>
        <w:jc w:val="both"/>
        <w:rPr>
          <w:sz w:val="22"/>
          <w:szCs w:val="22"/>
        </w:rPr>
      </w:pPr>
      <w:r w:rsidRPr="00E43748">
        <w:rPr>
          <w:sz w:val="22"/>
          <w:szCs w:val="22"/>
        </w:rPr>
        <w:t>“</w:t>
      </w:r>
      <w:r w:rsidR="00682A9A" w:rsidRPr="00E43748">
        <w:rPr>
          <w:sz w:val="22"/>
          <w:szCs w:val="22"/>
        </w:rPr>
        <w:t>N</w:t>
      </w:r>
      <w:r w:rsidRPr="00E43748">
        <w:rPr>
          <w:sz w:val="22"/>
          <w:szCs w:val="22"/>
        </w:rPr>
        <w:t>othing is said</w:t>
      </w:r>
      <w:r w:rsidR="00682A9A" w:rsidRPr="00E43748">
        <w:rPr>
          <w:sz w:val="22"/>
          <w:szCs w:val="22"/>
        </w:rPr>
        <w:t xml:space="preserve"> about the extent or manner in which </w:t>
      </w:r>
      <w:r w:rsidR="007C2D97" w:rsidRPr="00E43748">
        <w:rPr>
          <w:sz w:val="22"/>
          <w:szCs w:val="22"/>
        </w:rPr>
        <w:t xml:space="preserve">mitigation would serve to reduce the penalty imposed.  Nothing is said as to why other penalties could not be </w:t>
      </w:r>
      <w:r w:rsidR="004D6074" w:rsidRPr="00E43748">
        <w:rPr>
          <w:sz w:val="22"/>
          <w:szCs w:val="22"/>
        </w:rPr>
        <w:t>meted in place of dismissal.</w:t>
      </w:r>
      <w:r w:rsidR="005A1808" w:rsidRPr="00E43748">
        <w:rPr>
          <w:sz w:val="22"/>
          <w:szCs w:val="22"/>
        </w:rPr>
        <w:t xml:space="preserve"> Nothing is said of the effect of appellant’s many</w:t>
      </w:r>
      <w:r w:rsidR="009B204C" w:rsidRPr="00E43748">
        <w:rPr>
          <w:sz w:val="22"/>
          <w:szCs w:val="22"/>
        </w:rPr>
        <w:t xml:space="preserve"> years of service in the employment of the respondent.”</w:t>
      </w:r>
    </w:p>
    <w:p w:rsidR="009B204C" w:rsidRDefault="009B204C" w:rsidP="00E43748">
      <w:pPr>
        <w:jc w:val="both"/>
      </w:pPr>
    </w:p>
    <w:p w:rsidR="002334C7" w:rsidRDefault="009B204C" w:rsidP="0019011B">
      <w:pPr>
        <w:spacing w:line="360" w:lineRule="auto"/>
        <w:jc w:val="both"/>
      </w:pPr>
      <w:r>
        <w:tab/>
        <w:t xml:space="preserve">In my view appellant is complaining about the method of trial.  The remedy to address his concerns would be to remit the matter to the </w:t>
      </w:r>
      <w:r w:rsidR="002334C7">
        <w:t>Appeals tribunal to correct the omission.  Such a remedy is available on review and it is improper for appellant to raise such issues on appeal.</w:t>
      </w:r>
    </w:p>
    <w:p w:rsidR="002334C7" w:rsidRDefault="002334C7" w:rsidP="00E43748">
      <w:pPr>
        <w:jc w:val="both"/>
      </w:pPr>
    </w:p>
    <w:p w:rsidR="00A65237" w:rsidRDefault="002334C7" w:rsidP="0019011B">
      <w:pPr>
        <w:spacing w:line="360" w:lineRule="auto"/>
        <w:jc w:val="both"/>
      </w:pPr>
      <w:r>
        <w:t xml:space="preserve">In the final analysis the points raised </w:t>
      </w:r>
      <w:r w:rsidRPr="00E43748">
        <w:rPr>
          <w:i/>
        </w:rPr>
        <w:t>in limine</w:t>
      </w:r>
      <w:r>
        <w:t xml:space="preserve"> have merit and</w:t>
      </w:r>
      <w:r w:rsidR="00A65237">
        <w:t xml:space="preserve"> therefore succeed.  Accordingly the following order is appropriate,</w:t>
      </w:r>
    </w:p>
    <w:p w:rsidR="00A65237" w:rsidRDefault="00A65237" w:rsidP="007869B2">
      <w:pPr>
        <w:jc w:val="both"/>
      </w:pPr>
    </w:p>
    <w:p w:rsidR="00A65237" w:rsidRDefault="00A65237" w:rsidP="00A65237">
      <w:pPr>
        <w:pStyle w:val="ListParagraph"/>
        <w:numPr>
          <w:ilvl w:val="0"/>
          <w:numId w:val="2"/>
        </w:numPr>
        <w:spacing w:line="360" w:lineRule="auto"/>
        <w:jc w:val="both"/>
      </w:pPr>
      <w:r>
        <w:t xml:space="preserve">The points </w:t>
      </w:r>
      <w:r w:rsidRPr="007869B2">
        <w:rPr>
          <w:i/>
        </w:rPr>
        <w:t>in limine</w:t>
      </w:r>
      <w:r>
        <w:t xml:space="preserve"> be and are hereby upheld.</w:t>
      </w:r>
    </w:p>
    <w:p w:rsidR="00A65237" w:rsidRDefault="00AB34DD" w:rsidP="00A65237">
      <w:pPr>
        <w:pStyle w:val="ListParagraph"/>
        <w:numPr>
          <w:ilvl w:val="0"/>
          <w:numId w:val="2"/>
        </w:numPr>
        <w:spacing w:line="360" w:lineRule="auto"/>
        <w:jc w:val="both"/>
      </w:pPr>
      <w:r>
        <w:t>The appeal be and is hereby dismissed with costs.</w:t>
      </w:r>
    </w:p>
    <w:p w:rsidR="001A5CA2" w:rsidRDefault="001A5CA2" w:rsidP="001A5CA2">
      <w:pPr>
        <w:spacing w:line="360" w:lineRule="auto"/>
        <w:jc w:val="both"/>
      </w:pPr>
    </w:p>
    <w:p w:rsidR="001A5CA2" w:rsidRDefault="001A5CA2" w:rsidP="001A5CA2">
      <w:pPr>
        <w:spacing w:line="360" w:lineRule="auto"/>
        <w:jc w:val="both"/>
      </w:pPr>
    </w:p>
    <w:p w:rsidR="001A5CA2" w:rsidRDefault="001A5CA2" w:rsidP="001A5CA2">
      <w:pPr>
        <w:spacing w:line="360" w:lineRule="auto"/>
        <w:jc w:val="both"/>
      </w:pPr>
      <w:r w:rsidRPr="007869B2">
        <w:rPr>
          <w:i/>
        </w:rPr>
        <w:t>Mutuso, Taruvinga &amp; Mhiribidi</w:t>
      </w:r>
      <w:r>
        <w:t>, appellant’s legal practitioners</w:t>
      </w:r>
    </w:p>
    <w:p w:rsidR="001A5CA2" w:rsidRDefault="007869B2" w:rsidP="001A5CA2">
      <w:pPr>
        <w:spacing w:line="360" w:lineRule="auto"/>
        <w:jc w:val="both"/>
      </w:pPr>
      <w:r w:rsidRPr="007869B2">
        <w:rPr>
          <w:i/>
        </w:rPr>
        <w:t>Coghlan, Welsh &amp; Guest</w:t>
      </w:r>
      <w:r>
        <w:t>, respondent’s legal practitioners</w:t>
      </w:r>
    </w:p>
    <w:p w:rsidR="006616C8" w:rsidRDefault="00C73801" w:rsidP="0019011B">
      <w:pPr>
        <w:spacing w:line="360" w:lineRule="auto"/>
        <w:jc w:val="both"/>
      </w:pPr>
      <w:r>
        <w:t xml:space="preserve"> </w:t>
      </w:r>
    </w:p>
    <w:p w:rsidR="00353FD3" w:rsidRDefault="00353FD3" w:rsidP="0019011B">
      <w:pPr>
        <w:spacing w:line="360" w:lineRule="auto"/>
        <w:jc w:val="both"/>
      </w:pPr>
    </w:p>
    <w:p w:rsidR="0079611D" w:rsidRDefault="0079611D" w:rsidP="0019011B">
      <w:pPr>
        <w:spacing w:line="360" w:lineRule="auto"/>
        <w:jc w:val="both"/>
      </w:pPr>
    </w:p>
    <w:p w:rsidR="0000577A" w:rsidRDefault="0000577A" w:rsidP="0000577A">
      <w:pPr>
        <w:spacing w:line="360" w:lineRule="auto"/>
        <w:jc w:val="both"/>
      </w:pPr>
    </w:p>
    <w:p w:rsidR="00EF27B3" w:rsidRDefault="00EF27B3" w:rsidP="005E2E20">
      <w:pPr>
        <w:spacing w:line="360" w:lineRule="auto"/>
        <w:jc w:val="both"/>
      </w:pPr>
      <w:r>
        <w:tab/>
      </w:r>
    </w:p>
    <w:sectPr w:rsidR="00EF27B3" w:rsidSect="007310E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3D" w:rsidRDefault="0015303D" w:rsidP="007310E2">
      <w:r>
        <w:separator/>
      </w:r>
    </w:p>
  </w:endnote>
  <w:endnote w:type="continuationSeparator" w:id="0">
    <w:p w:rsidR="0015303D" w:rsidRDefault="0015303D" w:rsidP="0073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930423"/>
      <w:docPartObj>
        <w:docPartGallery w:val="Page Numbers (Bottom of Page)"/>
        <w:docPartUnique/>
      </w:docPartObj>
    </w:sdtPr>
    <w:sdtEndPr>
      <w:rPr>
        <w:noProof/>
      </w:rPr>
    </w:sdtEndPr>
    <w:sdtContent>
      <w:p w:rsidR="002334C7" w:rsidRDefault="002334C7">
        <w:pPr>
          <w:pStyle w:val="Footer"/>
          <w:jc w:val="center"/>
        </w:pPr>
        <w:r>
          <w:fldChar w:fldCharType="begin"/>
        </w:r>
        <w:r>
          <w:instrText xml:space="preserve"> PAGE   \* MERGEFORMAT </w:instrText>
        </w:r>
        <w:r>
          <w:fldChar w:fldCharType="separate"/>
        </w:r>
        <w:r w:rsidR="00E4585D">
          <w:rPr>
            <w:noProof/>
          </w:rPr>
          <w:t>5</w:t>
        </w:r>
        <w:r>
          <w:rPr>
            <w:noProof/>
          </w:rPr>
          <w:fldChar w:fldCharType="end"/>
        </w:r>
      </w:p>
    </w:sdtContent>
  </w:sdt>
  <w:p w:rsidR="002334C7" w:rsidRDefault="00233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3D" w:rsidRDefault="0015303D" w:rsidP="007310E2">
      <w:r>
        <w:separator/>
      </w:r>
    </w:p>
  </w:footnote>
  <w:footnote w:type="continuationSeparator" w:id="0">
    <w:p w:rsidR="0015303D" w:rsidRDefault="0015303D" w:rsidP="00731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C7" w:rsidRPr="007310E2" w:rsidRDefault="002334C7">
    <w:pPr>
      <w:pStyle w:val="Header"/>
      <w:rPr>
        <w:lang w:val="en-ZW"/>
      </w:rPr>
    </w:pPr>
    <w:r>
      <w:rPr>
        <w:lang w:val="en-ZW"/>
      </w:rPr>
      <w:tab/>
    </w:r>
    <w:r>
      <w:rPr>
        <w:lang w:val="en-ZW"/>
      </w:rPr>
      <w:tab/>
      <w:t>JUDGMENT NO. LC/H/</w:t>
    </w:r>
    <w:r w:rsidR="000F54CA">
      <w:rPr>
        <w:lang w:val="en-ZW"/>
      </w:rPr>
      <w:t>257</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6482"/>
    <w:multiLevelType w:val="hybridMultilevel"/>
    <w:tmpl w:val="958EDEB6"/>
    <w:lvl w:ilvl="0" w:tplc="FA8C532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65A135D"/>
    <w:multiLevelType w:val="hybridMultilevel"/>
    <w:tmpl w:val="A0A66A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7B"/>
    <w:rsid w:val="0000577A"/>
    <w:rsid w:val="000211E7"/>
    <w:rsid w:val="000235E4"/>
    <w:rsid w:val="000279DA"/>
    <w:rsid w:val="0004298D"/>
    <w:rsid w:val="00074EA4"/>
    <w:rsid w:val="000E6160"/>
    <w:rsid w:val="000F54CA"/>
    <w:rsid w:val="000F5A52"/>
    <w:rsid w:val="00110956"/>
    <w:rsid w:val="00110A88"/>
    <w:rsid w:val="0015303D"/>
    <w:rsid w:val="0019011B"/>
    <w:rsid w:val="001A5CA2"/>
    <w:rsid w:val="001A6D2C"/>
    <w:rsid w:val="001B5848"/>
    <w:rsid w:val="001B79E5"/>
    <w:rsid w:val="002334C7"/>
    <w:rsid w:val="00254751"/>
    <w:rsid w:val="00260083"/>
    <w:rsid w:val="00290A94"/>
    <w:rsid w:val="002D7213"/>
    <w:rsid w:val="00305B40"/>
    <w:rsid w:val="00325A2A"/>
    <w:rsid w:val="003334DA"/>
    <w:rsid w:val="00333F1F"/>
    <w:rsid w:val="00353FD3"/>
    <w:rsid w:val="003B3EBE"/>
    <w:rsid w:val="003D1929"/>
    <w:rsid w:val="00423178"/>
    <w:rsid w:val="00424CD3"/>
    <w:rsid w:val="00475FFF"/>
    <w:rsid w:val="0049139D"/>
    <w:rsid w:val="004D6074"/>
    <w:rsid w:val="004D7424"/>
    <w:rsid w:val="00504601"/>
    <w:rsid w:val="00534DC1"/>
    <w:rsid w:val="005360AB"/>
    <w:rsid w:val="00595BDA"/>
    <w:rsid w:val="005A1808"/>
    <w:rsid w:val="005E2E20"/>
    <w:rsid w:val="00607FBB"/>
    <w:rsid w:val="006275D4"/>
    <w:rsid w:val="00652E99"/>
    <w:rsid w:val="006616C8"/>
    <w:rsid w:val="006661A1"/>
    <w:rsid w:val="00682A9A"/>
    <w:rsid w:val="006A1625"/>
    <w:rsid w:val="006F0CBD"/>
    <w:rsid w:val="006F60E6"/>
    <w:rsid w:val="007310E2"/>
    <w:rsid w:val="0077070D"/>
    <w:rsid w:val="007869B2"/>
    <w:rsid w:val="00793799"/>
    <w:rsid w:val="0079611D"/>
    <w:rsid w:val="007C2D97"/>
    <w:rsid w:val="00804009"/>
    <w:rsid w:val="00810DEF"/>
    <w:rsid w:val="0084267F"/>
    <w:rsid w:val="008612BD"/>
    <w:rsid w:val="008D0DFE"/>
    <w:rsid w:val="008E41F7"/>
    <w:rsid w:val="00902F28"/>
    <w:rsid w:val="00904E40"/>
    <w:rsid w:val="00942B1E"/>
    <w:rsid w:val="0096554B"/>
    <w:rsid w:val="00984AF1"/>
    <w:rsid w:val="009852B8"/>
    <w:rsid w:val="00987CCB"/>
    <w:rsid w:val="00990B33"/>
    <w:rsid w:val="009B204C"/>
    <w:rsid w:val="009C2A60"/>
    <w:rsid w:val="009D0BBC"/>
    <w:rsid w:val="009D4218"/>
    <w:rsid w:val="00A054B5"/>
    <w:rsid w:val="00A42115"/>
    <w:rsid w:val="00A47D4A"/>
    <w:rsid w:val="00A65237"/>
    <w:rsid w:val="00AA2823"/>
    <w:rsid w:val="00AB0E2F"/>
    <w:rsid w:val="00AB34DD"/>
    <w:rsid w:val="00AB6373"/>
    <w:rsid w:val="00AB7061"/>
    <w:rsid w:val="00B0007C"/>
    <w:rsid w:val="00B10A27"/>
    <w:rsid w:val="00B110A7"/>
    <w:rsid w:val="00B616B0"/>
    <w:rsid w:val="00B77284"/>
    <w:rsid w:val="00BD237B"/>
    <w:rsid w:val="00C37032"/>
    <w:rsid w:val="00C73801"/>
    <w:rsid w:val="00CF23F2"/>
    <w:rsid w:val="00DD3D1D"/>
    <w:rsid w:val="00E11F10"/>
    <w:rsid w:val="00E43748"/>
    <w:rsid w:val="00E4585D"/>
    <w:rsid w:val="00EA2727"/>
    <w:rsid w:val="00EC28F8"/>
    <w:rsid w:val="00EF27B3"/>
    <w:rsid w:val="00F222F7"/>
    <w:rsid w:val="00F42C55"/>
    <w:rsid w:val="00F45A75"/>
    <w:rsid w:val="00FD0929"/>
    <w:rsid w:val="00FD75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7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CD3"/>
    <w:pPr>
      <w:ind w:left="720"/>
      <w:contextualSpacing/>
    </w:pPr>
  </w:style>
  <w:style w:type="paragraph" w:styleId="Header">
    <w:name w:val="header"/>
    <w:basedOn w:val="Normal"/>
    <w:link w:val="HeaderChar"/>
    <w:uiPriority w:val="99"/>
    <w:unhideWhenUsed/>
    <w:rsid w:val="007310E2"/>
    <w:pPr>
      <w:tabs>
        <w:tab w:val="center" w:pos="4513"/>
        <w:tab w:val="right" w:pos="9026"/>
      </w:tabs>
    </w:pPr>
  </w:style>
  <w:style w:type="character" w:customStyle="1" w:styleId="HeaderChar">
    <w:name w:val="Header Char"/>
    <w:basedOn w:val="DefaultParagraphFont"/>
    <w:link w:val="Header"/>
    <w:uiPriority w:val="99"/>
    <w:rsid w:val="007310E2"/>
    <w:rPr>
      <w:rFonts w:ascii="Tahoma" w:eastAsia="Times New Roman" w:hAnsi="Tahoma" w:cs="Times New Roman"/>
      <w:sz w:val="24"/>
      <w:szCs w:val="24"/>
      <w:lang w:val="en-US"/>
    </w:rPr>
  </w:style>
  <w:style w:type="paragraph" w:styleId="Footer">
    <w:name w:val="footer"/>
    <w:basedOn w:val="Normal"/>
    <w:link w:val="FooterChar"/>
    <w:uiPriority w:val="99"/>
    <w:unhideWhenUsed/>
    <w:rsid w:val="007310E2"/>
    <w:pPr>
      <w:tabs>
        <w:tab w:val="center" w:pos="4513"/>
        <w:tab w:val="right" w:pos="9026"/>
      </w:tabs>
    </w:pPr>
  </w:style>
  <w:style w:type="character" w:customStyle="1" w:styleId="FooterChar">
    <w:name w:val="Footer Char"/>
    <w:basedOn w:val="DefaultParagraphFont"/>
    <w:link w:val="Footer"/>
    <w:uiPriority w:val="99"/>
    <w:rsid w:val="007310E2"/>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254751"/>
    <w:rPr>
      <w:rFonts w:cs="Tahoma"/>
      <w:sz w:val="16"/>
      <w:szCs w:val="16"/>
    </w:rPr>
  </w:style>
  <w:style w:type="character" w:customStyle="1" w:styleId="BalloonTextChar">
    <w:name w:val="Balloon Text Char"/>
    <w:basedOn w:val="DefaultParagraphFont"/>
    <w:link w:val="BalloonText"/>
    <w:uiPriority w:val="99"/>
    <w:semiHidden/>
    <w:rsid w:val="0025475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7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CD3"/>
    <w:pPr>
      <w:ind w:left="720"/>
      <w:contextualSpacing/>
    </w:pPr>
  </w:style>
  <w:style w:type="paragraph" w:styleId="Header">
    <w:name w:val="header"/>
    <w:basedOn w:val="Normal"/>
    <w:link w:val="HeaderChar"/>
    <w:uiPriority w:val="99"/>
    <w:unhideWhenUsed/>
    <w:rsid w:val="007310E2"/>
    <w:pPr>
      <w:tabs>
        <w:tab w:val="center" w:pos="4513"/>
        <w:tab w:val="right" w:pos="9026"/>
      </w:tabs>
    </w:pPr>
  </w:style>
  <w:style w:type="character" w:customStyle="1" w:styleId="HeaderChar">
    <w:name w:val="Header Char"/>
    <w:basedOn w:val="DefaultParagraphFont"/>
    <w:link w:val="Header"/>
    <w:uiPriority w:val="99"/>
    <w:rsid w:val="007310E2"/>
    <w:rPr>
      <w:rFonts w:ascii="Tahoma" w:eastAsia="Times New Roman" w:hAnsi="Tahoma" w:cs="Times New Roman"/>
      <w:sz w:val="24"/>
      <w:szCs w:val="24"/>
      <w:lang w:val="en-US"/>
    </w:rPr>
  </w:style>
  <w:style w:type="paragraph" w:styleId="Footer">
    <w:name w:val="footer"/>
    <w:basedOn w:val="Normal"/>
    <w:link w:val="FooterChar"/>
    <w:uiPriority w:val="99"/>
    <w:unhideWhenUsed/>
    <w:rsid w:val="007310E2"/>
    <w:pPr>
      <w:tabs>
        <w:tab w:val="center" w:pos="4513"/>
        <w:tab w:val="right" w:pos="9026"/>
      </w:tabs>
    </w:pPr>
  </w:style>
  <w:style w:type="character" w:customStyle="1" w:styleId="FooterChar">
    <w:name w:val="Footer Char"/>
    <w:basedOn w:val="DefaultParagraphFont"/>
    <w:link w:val="Footer"/>
    <w:uiPriority w:val="99"/>
    <w:rsid w:val="007310E2"/>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254751"/>
    <w:rPr>
      <w:rFonts w:cs="Tahoma"/>
      <w:sz w:val="16"/>
      <w:szCs w:val="16"/>
    </w:rPr>
  </w:style>
  <w:style w:type="character" w:customStyle="1" w:styleId="BalloonTextChar">
    <w:name w:val="Balloon Text Char"/>
    <w:basedOn w:val="DefaultParagraphFont"/>
    <w:link w:val="BalloonText"/>
    <w:uiPriority w:val="99"/>
    <w:semiHidden/>
    <w:rsid w:val="0025475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35</cp:revision>
  <cp:lastPrinted>2016-04-21T06:22:00Z</cp:lastPrinted>
  <dcterms:created xsi:type="dcterms:W3CDTF">2016-03-24T06:12:00Z</dcterms:created>
  <dcterms:modified xsi:type="dcterms:W3CDTF">2016-04-21T06:23:00Z</dcterms:modified>
</cp:coreProperties>
</file>