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E9" w:rsidRDefault="000A2AE9" w:rsidP="000A2AE9">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IN THE LABOUR COURT OF ZIMBABWE</w:t>
      </w:r>
      <w:r>
        <w:rPr>
          <w:rFonts w:ascii="Times New Roman" w:hAnsi="Times New Roman" w:cs="Times New Roman"/>
          <w:b/>
          <w:color w:val="0D0D0D" w:themeColor="text1" w:themeTint="F2"/>
          <w:szCs w:val="24"/>
        </w:rPr>
        <w:tab/>
        <w:t xml:space="preserve">       JUDGMENT NO LC/H/</w:t>
      </w:r>
      <w:r w:rsidR="00317B5C">
        <w:rPr>
          <w:rFonts w:ascii="Times New Roman" w:hAnsi="Times New Roman" w:cs="Times New Roman"/>
          <w:b/>
          <w:color w:val="0D0D0D" w:themeColor="text1" w:themeTint="F2"/>
          <w:szCs w:val="24"/>
        </w:rPr>
        <w:t>660</w:t>
      </w:r>
      <w:r>
        <w:rPr>
          <w:rFonts w:ascii="Times New Roman" w:hAnsi="Times New Roman" w:cs="Times New Roman"/>
          <w:b/>
          <w:color w:val="0D0D0D" w:themeColor="text1" w:themeTint="F2"/>
          <w:szCs w:val="24"/>
        </w:rPr>
        <w:t>/2016</w:t>
      </w:r>
    </w:p>
    <w:p w:rsidR="000A2AE9" w:rsidRDefault="000A2AE9" w:rsidP="000A2AE9">
      <w:pPr>
        <w:spacing w:before="0" w:after="0" w:line="240" w:lineRule="auto"/>
        <w:rPr>
          <w:rFonts w:ascii="Times New Roman" w:hAnsi="Times New Roman" w:cs="Times New Roman"/>
          <w:b/>
          <w:color w:val="0D0D0D" w:themeColor="text1" w:themeTint="F2"/>
          <w:szCs w:val="24"/>
        </w:rPr>
      </w:pPr>
    </w:p>
    <w:p w:rsidR="000A2AE9" w:rsidRDefault="000A2AE9" w:rsidP="000A2AE9">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HARARE, 4 OCTOBER 2016 &amp;</w:t>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t xml:space="preserve">       CASE NO LC/H/APP/1273/2015</w:t>
      </w:r>
    </w:p>
    <w:p w:rsidR="000A2AE9" w:rsidRDefault="00317B5C" w:rsidP="000A2AE9">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21 OCTOBER 2016</w:t>
      </w:r>
    </w:p>
    <w:p w:rsidR="00317B5C" w:rsidRDefault="00317B5C" w:rsidP="000A2AE9">
      <w:pPr>
        <w:spacing w:before="0" w:after="0" w:line="240" w:lineRule="auto"/>
        <w:rPr>
          <w:rFonts w:ascii="Times New Roman" w:hAnsi="Times New Roman" w:cs="Times New Roman"/>
          <w:b/>
          <w:color w:val="0D0D0D" w:themeColor="text1" w:themeTint="F2"/>
          <w:szCs w:val="24"/>
        </w:rPr>
      </w:pPr>
    </w:p>
    <w:p w:rsidR="000A2AE9" w:rsidRDefault="000A2AE9" w:rsidP="000A2AE9">
      <w:pPr>
        <w:spacing w:before="0" w:after="0" w:line="240" w:lineRule="auto"/>
        <w:rPr>
          <w:rFonts w:ascii="Times New Roman" w:hAnsi="Times New Roman" w:cs="Times New Roman"/>
          <w:b/>
          <w:color w:val="0D0D0D" w:themeColor="text1" w:themeTint="F2"/>
          <w:szCs w:val="24"/>
        </w:rPr>
      </w:pPr>
    </w:p>
    <w:p w:rsidR="000A2AE9" w:rsidRPr="000A2AE9" w:rsidRDefault="000A2AE9" w:rsidP="000A2AE9">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In the matter between</w:t>
      </w:r>
    </w:p>
    <w:p w:rsidR="000A2AE9" w:rsidRDefault="000A2AE9" w:rsidP="000A2AE9">
      <w:pPr>
        <w:spacing w:before="0" w:after="0" w:line="240" w:lineRule="auto"/>
        <w:rPr>
          <w:b/>
          <w:color w:val="0D0D0D" w:themeColor="text1" w:themeTint="F2"/>
          <w:sz w:val="22"/>
        </w:rPr>
      </w:pPr>
    </w:p>
    <w:p w:rsidR="000A2AE9" w:rsidRDefault="000A2AE9" w:rsidP="000A2AE9">
      <w:pPr>
        <w:spacing w:before="0" w:after="0" w:line="240" w:lineRule="auto"/>
        <w:rPr>
          <w:b/>
          <w:color w:val="0D0D0D" w:themeColor="text1" w:themeTint="F2"/>
          <w:sz w:val="22"/>
        </w:rPr>
      </w:pPr>
    </w:p>
    <w:p w:rsidR="00504D34" w:rsidRDefault="00504D34" w:rsidP="000A2AE9">
      <w:pPr>
        <w:spacing w:before="0" w:after="0" w:line="240" w:lineRule="auto"/>
        <w:rPr>
          <w:b/>
          <w:color w:val="0D0D0D" w:themeColor="text1" w:themeTint="F2"/>
          <w:sz w:val="22"/>
        </w:rPr>
      </w:pPr>
      <w:r w:rsidRPr="00F10D85">
        <w:rPr>
          <w:b/>
          <w:color w:val="0D0D0D" w:themeColor="text1" w:themeTint="F2"/>
          <w:sz w:val="22"/>
        </w:rPr>
        <w:t xml:space="preserve">TINASHE MUTASA &amp; </w:t>
      </w:r>
      <w:r w:rsidR="00D539B4">
        <w:rPr>
          <w:b/>
          <w:color w:val="0D0D0D" w:themeColor="text1" w:themeTint="F2"/>
          <w:sz w:val="22"/>
        </w:rPr>
        <w:t xml:space="preserve">9 </w:t>
      </w:r>
      <w:r w:rsidRPr="00F10D85">
        <w:rPr>
          <w:b/>
          <w:color w:val="0D0D0D" w:themeColor="text1" w:themeTint="F2"/>
          <w:sz w:val="22"/>
        </w:rPr>
        <w:t>OTHERS</w:t>
      </w:r>
      <w:r w:rsidR="00D539B4">
        <w:rPr>
          <w:b/>
          <w:color w:val="0D0D0D" w:themeColor="text1" w:themeTint="F2"/>
          <w:sz w:val="22"/>
        </w:rPr>
        <w:tab/>
      </w:r>
      <w:r w:rsidR="00D539B4">
        <w:rPr>
          <w:b/>
          <w:color w:val="0D0D0D" w:themeColor="text1" w:themeTint="F2"/>
          <w:sz w:val="22"/>
        </w:rPr>
        <w:tab/>
      </w:r>
      <w:r w:rsidR="00D539B4">
        <w:rPr>
          <w:b/>
          <w:color w:val="0D0D0D" w:themeColor="text1" w:themeTint="F2"/>
          <w:sz w:val="22"/>
        </w:rPr>
        <w:tab/>
      </w:r>
      <w:r w:rsidR="00D539B4">
        <w:rPr>
          <w:b/>
          <w:color w:val="0D0D0D" w:themeColor="text1" w:themeTint="F2"/>
          <w:sz w:val="22"/>
        </w:rPr>
        <w:tab/>
      </w:r>
      <w:r w:rsidR="00D539B4">
        <w:rPr>
          <w:b/>
          <w:color w:val="0D0D0D" w:themeColor="text1" w:themeTint="F2"/>
          <w:sz w:val="22"/>
        </w:rPr>
        <w:tab/>
      </w:r>
      <w:r w:rsidR="00D539B4">
        <w:rPr>
          <w:b/>
          <w:color w:val="0D0D0D" w:themeColor="text1" w:themeTint="F2"/>
          <w:sz w:val="22"/>
        </w:rPr>
        <w:tab/>
        <w:t>APPELLANT</w:t>
      </w:r>
    </w:p>
    <w:p w:rsidR="000A2AE9" w:rsidRDefault="000A2AE9" w:rsidP="000A2AE9">
      <w:pPr>
        <w:spacing w:before="0" w:after="0" w:line="240" w:lineRule="auto"/>
        <w:rPr>
          <w:b/>
          <w:color w:val="0D0D0D" w:themeColor="text1" w:themeTint="F2"/>
          <w:sz w:val="22"/>
        </w:rPr>
      </w:pPr>
    </w:p>
    <w:p w:rsidR="00D539B4" w:rsidRPr="00F10D85" w:rsidRDefault="00D539B4" w:rsidP="000A2AE9">
      <w:pPr>
        <w:spacing w:before="0" w:after="0" w:line="240" w:lineRule="auto"/>
        <w:rPr>
          <w:b/>
          <w:color w:val="0D0D0D" w:themeColor="text1" w:themeTint="F2"/>
          <w:sz w:val="22"/>
        </w:rPr>
      </w:pPr>
    </w:p>
    <w:p w:rsidR="00504D34" w:rsidRDefault="00D539B4" w:rsidP="000A2AE9">
      <w:pPr>
        <w:spacing w:before="0" w:after="0" w:line="240" w:lineRule="auto"/>
        <w:rPr>
          <w:color w:val="0D0D0D" w:themeColor="text1" w:themeTint="F2"/>
          <w:sz w:val="22"/>
        </w:rPr>
      </w:pPr>
      <w:r>
        <w:rPr>
          <w:color w:val="0D0D0D" w:themeColor="text1" w:themeTint="F2"/>
          <w:sz w:val="22"/>
        </w:rPr>
        <w:t>Versus</w:t>
      </w:r>
    </w:p>
    <w:p w:rsidR="00D539B4" w:rsidRPr="000A2AE9" w:rsidRDefault="00D539B4" w:rsidP="000A2AE9">
      <w:pPr>
        <w:spacing w:before="0" w:after="0" w:line="240" w:lineRule="auto"/>
        <w:rPr>
          <w:color w:val="0D0D0D" w:themeColor="text1" w:themeTint="F2"/>
          <w:sz w:val="22"/>
        </w:rPr>
      </w:pPr>
    </w:p>
    <w:p w:rsidR="000A2AE9" w:rsidRPr="00F10D85" w:rsidRDefault="000A2AE9" w:rsidP="000A2AE9">
      <w:pPr>
        <w:spacing w:before="0" w:after="0" w:line="240" w:lineRule="auto"/>
        <w:rPr>
          <w:b/>
          <w:color w:val="0D0D0D" w:themeColor="text1" w:themeTint="F2"/>
          <w:sz w:val="22"/>
        </w:rPr>
      </w:pPr>
    </w:p>
    <w:p w:rsidR="000A2AE9" w:rsidRDefault="00D539B4" w:rsidP="000A2AE9">
      <w:pPr>
        <w:spacing w:before="0" w:after="0" w:line="240" w:lineRule="auto"/>
        <w:rPr>
          <w:b/>
          <w:color w:val="0D0D0D" w:themeColor="text1" w:themeTint="F2"/>
          <w:sz w:val="22"/>
        </w:rPr>
      </w:pPr>
      <w:r>
        <w:rPr>
          <w:b/>
          <w:color w:val="0D0D0D" w:themeColor="text1" w:themeTint="F2"/>
          <w:sz w:val="22"/>
        </w:rPr>
        <w:t>DELTA BEVERAGES (PVT) LTD</w:t>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t>RESPONDENT</w:t>
      </w:r>
    </w:p>
    <w:p w:rsidR="00D539B4" w:rsidRDefault="00D539B4" w:rsidP="000A2AE9">
      <w:pPr>
        <w:spacing w:before="0" w:after="0" w:line="240" w:lineRule="auto"/>
        <w:rPr>
          <w:b/>
          <w:color w:val="0D0D0D" w:themeColor="text1" w:themeTint="F2"/>
          <w:sz w:val="22"/>
        </w:rPr>
      </w:pPr>
    </w:p>
    <w:p w:rsidR="00D539B4" w:rsidRDefault="00D539B4" w:rsidP="000A2AE9">
      <w:pPr>
        <w:spacing w:before="0" w:after="0" w:line="240" w:lineRule="auto"/>
        <w:rPr>
          <w:b/>
          <w:color w:val="0D0D0D" w:themeColor="text1" w:themeTint="F2"/>
          <w:sz w:val="22"/>
        </w:rPr>
      </w:pPr>
    </w:p>
    <w:p w:rsidR="00D539B4" w:rsidRDefault="00D539B4" w:rsidP="000A2AE9">
      <w:pPr>
        <w:spacing w:before="0" w:after="0" w:line="240" w:lineRule="auto"/>
        <w:rPr>
          <w:b/>
          <w:color w:val="0D0D0D" w:themeColor="text1" w:themeTint="F2"/>
          <w:sz w:val="22"/>
        </w:rPr>
      </w:pPr>
    </w:p>
    <w:p w:rsidR="00504D34" w:rsidRDefault="00504D34" w:rsidP="000A2AE9">
      <w:pPr>
        <w:spacing w:before="0" w:after="0" w:line="240" w:lineRule="auto"/>
        <w:rPr>
          <w:b/>
          <w:color w:val="0D0D0D" w:themeColor="text1" w:themeTint="F2"/>
          <w:sz w:val="22"/>
        </w:rPr>
      </w:pPr>
      <w:r w:rsidRPr="00F10D85">
        <w:rPr>
          <w:b/>
          <w:color w:val="0D0D0D" w:themeColor="text1" w:themeTint="F2"/>
          <w:sz w:val="22"/>
        </w:rPr>
        <w:t>CHIVIZHE J:</w:t>
      </w:r>
    </w:p>
    <w:p w:rsidR="00F31203" w:rsidRPr="00F10D85" w:rsidRDefault="00F31203" w:rsidP="000A2AE9">
      <w:pPr>
        <w:spacing w:before="0" w:after="0" w:line="240" w:lineRule="auto"/>
        <w:rPr>
          <w:b/>
          <w:color w:val="0D0D0D" w:themeColor="text1" w:themeTint="F2"/>
          <w:sz w:val="22"/>
        </w:rPr>
      </w:pPr>
    </w:p>
    <w:p w:rsidR="00504D34" w:rsidRDefault="00504D34" w:rsidP="00F31203">
      <w:pPr>
        <w:spacing w:before="0" w:after="0"/>
        <w:ind w:firstLine="720"/>
        <w:rPr>
          <w:color w:val="0D0D0D" w:themeColor="text1" w:themeTint="F2"/>
          <w:sz w:val="22"/>
        </w:rPr>
      </w:pPr>
      <w:r>
        <w:rPr>
          <w:color w:val="0D0D0D" w:themeColor="text1" w:themeTint="F2"/>
          <w:sz w:val="22"/>
        </w:rPr>
        <w:t xml:space="preserve">This is an application for </w:t>
      </w:r>
      <w:proofErr w:type="spellStart"/>
      <w:r>
        <w:rPr>
          <w:color w:val="0D0D0D" w:themeColor="text1" w:themeTint="F2"/>
          <w:sz w:val="22"/>
        </w:rPr>
        <w:t>condonation</w:t>
      </w:r>
      <w:proofErr w:type="spellEnd"/>
      <w:r>
        <w:rPr>
          <w:color w:val="0D0D0D" w:themeColor="text1" w:themeTint="F2"/>
          <w:sz w:val="22"/>
        </w:rPr>
        <w:t xml:space="preserve"> for late filing of Heads of Argument.  The application is opposed.</w:t>
      </w:r>
    </w:p>
    <w:p w:rsidR="00F31203" w:rsidRDefault="00F31203" w:rsidP="000A2AE9">
      <w:pPr>
        <w:spacing w:before="0" w:after="0" w:line="240" w:lineRule="auto"/>
        <w:rPr>
          <w:b/>
          <w:color w:val="0D0D0D" w:themeColor="text1" w:themeTint="F2"/>
          <w:sz w:val="22"/>
        </w:rPr>
      </w:pPr>
    </w:p>
    <w:p w:rsidR="00504D34" w:rsidRDefault="00504D34" w:rsidP="000A2AE9">
      <w:pPr>
        <w:spacing w:before="0" w:after="0" w:line="240" w:lineRule="auto"/>
        <w:rPr>
          <w:b/>
          <w:color w:val="0D0D0D" w:themeColor="text1" w:themeTint="F2"/>
          <w:sz w:val="22"/>
        </w:rPr>
      </w:pPr>
      <w:r w:rsidRPr="008360E1">
        <w:rPr>
          <w:b/>
          <w:color w:val="0D0D0D" w:themeColor="text1" w:themeTint="F2"/>
          <w:sz w:val="22"/>
        </w:rPr>
        <w:t>The Background Facts</w:t>
      </w:r>
    </w:p>
    <w:p w:rsidR="00F31203" w:rsidRDefault="00F31203" w:rsidP="000A2AE9">
      <w:pPr>
        <w:spacing w:before="0" w:after="0" w:line="240" w:lineRule="auto"/>
        <w:rPr>
          <w:b/>
          <w:color w:val="0D0D0D" w:themeColor="text1" w:themeTint="F2"/>
          <w:sz w:val="22"/>
        </w:rPr>
      </w:pPr>
    </w:p>
    <w:p w:rsidR="00504D34" w:rsidRDefault="00504D34" w:rsidP="00F31203">
      <w:pPr>
        <w:spacing w:before="0" w:after="0"/>
        <w:ind w:firstLine="720"/>
        <w:rPr>
          <w:color w:val="0D0D0D" w:themeColor="text1" w:themeTint="F2"/>
          <w:sz w:val="22"/>
        </w:rPr>
      </w:pPr>
      <w:r>
        <w:rPr>
          <w:color w:val="0D0D0D" w:themeColor="text1" w:themeTint="F2"/>
          <w:sz w:val="22"/>
        </w:rPr>
        <w:t>The Applicants in this matter are former employees of the Respondent. There were employed in various capacities.  The Applicants were engaged on the basis of fixed term contracts which were renewed regularly.  The individual contracts of the Applicants were terminated on different date</w:t>
      </w:r>
      <w:r w:rsidR="00D539B4">
        <w:rPr>
          <w:color w:val="0D0D0D" w:themeColor="text1" w:themeTint="F2"/>
          <w:sz w:val="22"/>
        </w:rPr>
        <w:t>s</w:t>
      </w:r>
      <w:r>
        <w:rPr>
          <w:color w:val="0D0D0D" w:themeColor="text1" w:themeTint="F2"/>
          <w:sz w:val="22"/>
        </w:rPr>
        <w:t xml:space="preserve"> in 2014 and were not renewed thereafter.  Irked by the non-renewal of their contracts the Applicants referred a claim for unfair dismissal to the Designated Agent of the National Employment Council for Food &amp; Allied Substances.   When conciliation failed the Designated Agent issued a certificate of no settlement.   The matter was consequently referred to compulsory arbitration.   The terms of reference where for the Arbitrator to determine –</w:t>
      </w:r>
    </w:p>
    <w:p w:rsidR="008F5AFB" w:rsidRDefault="008F5AFB" w:rsidP="00337089">
      <w:pPr>
        <w:spacing w:before="0" w:after="0" w:line="240" w:lineRule="auto"/>
        <w:ind w:firstLine="720"/>
        <w:rPr>
          <w:color w:val="0D0D0D" w:themeColor="text1" w:themeTint="F2"/>
          <w:sz w:val="22"/>
        </w:rPr>
      </w:pP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Whether or not the claimants (complainants) were unfairly dismissed.</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Whether or not the deductions such as NSSA, Aids Levy and PAYE are consistent with permanent employees.</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Whether or not the claimants (complainants) were employed as permanent or fixed</w:t>
      </w:r>
      <w:r w:rsidR="00D539B4">
        <w:rPr>
          <w:color w:val="0D0D0D" w:themeColor="text1" w:themeTint="F2"/>
          <w:sz w:val="22"/>
        </w:rPr>
        <w:t xml:space="preserve"> term </w:t>
      </w:r>
      <w:r>
        <w:rPr>
          <w:color w:val="0D0D0D" w:themeColor="text1" w:themeTint="F2"/>
          <w:sz w:val="22"/>
        </w:rPr>
        <w:t>employees.</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Whether or not the claimants (complainants) were being under paid.</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Remedy thereof</w:t>
      </w:r>
    </w:p>
    <w:p w:rsidR="00D539B4" w:rsidRPr="00D539B4" w:rsidRDefault="00D539B4" w:rsidP="00D539B4">
      <w:pPr>
        <w:spacing w:before="0" w:after="0" w:line="240" w:lineRule="auto"/>
        <w:ind w:left="720"/>
        <w:rPr>
          <w:color w:val="0D0D0D" w:themeColor="text1" w:themeTint="F2"/>
          <w:sz w:val="22"/>
        </w:rPr>
      </w:pPr>
    </w:p>
    <w:p w:rsidR="00504D34" w:rsidRDefault="00504D34" w:rsidP="00D539B4">
      <w:pPr>
        <w:spacing w:before="0" w:after="0"/>
        <w:ind w:firstLine="720"/>
        <w:rPr>
          <w:color w:val="0D0D0D" w:themeColor="text1" w:themeTint="F2"/>
          <w:sz w:val="22"/>
        </w:rPr>
      </w:pPr>
      <w:r>
        <w:rPr>
          <w:color w:val="0D0D0D" w:themeColor="text1" w:themeTint="F2"/>
          <w:sz w:val="22"/>
        </w:rPr>
        <w:t xml:space="preserve">The Arbitrator after considering the evidence and the submissions made by the parties concluded that the claims by the Applicants, of having been engaged as permanent </w:t>
      </w:r>
      <w:r>
        <w:rPr>
          <w:color w:val="0D0D0D" w:themeColor="text1" w:themeTint="F2"/>
          <w:sz w:val="22"/>
        </w:rPr>
        <w:lastRenderedPageBreak/>
        <w:t>employees, of an unfair dismissal and underpayment of wages were all without merit.  The Arbitrator consequently dismissed all the claims.</w:t>
      </w:r>
    </w:p>
    <w:p w:rsidR="00D539B4" w:rsidRDefault="00D539B4" w:rsidP="00D539B4">
      <w:pPr>
        <w:spacing w:before="0" w:after="0" w:line="240" w:lineRule="auto"/>
        <w:ind w:firstLine="720"/>
        <w:rPr>
          <w:color w:val="0D0D0D" w:themeColor="text1" w:themeTint="F2"/>
          <w:sz w:val="22"/>
        </w:rPr>
      </w:pPr>
      <w:bookmarkStart w:id="0" w:name="_GoBack"/>
      <w:bookmarkEnd w:id="0"/>
    </w:p>
    <w:p w:rsidR="00504D34" w:rsidRDefault="00504D34" w:rsidP="00D539B4">
      <w:pPr>
        <w:spacing w:before="0" w:after="0"/>
        <w:ind w:firstLine="720"/>
        <w:rPr>
          <w:color w:val="0D0D0D" w:themeColor="text1" w:themeTint="F2"/>
          <w:sz w:val="22"/>
        </w:rPr>
      </w:pPr>
      <w:r>
        <w:rPr>
          <w:color w:val="0D0D0D" w:themeColor="text1" w:themeTint="F2"/>
          <w:sz w:val="22"/>
        </w:rPr>
        <w:t xml:space="preserve">The Applicants were aggrieved and filed an appeal against the arbitral award.   Because however they were filing the appeal outside the time frames set by the Rules of the Court Applicants filed an application for </w:t>
      </w:r>
      <w:proofErr w:type="spellStart"/>
      <w:r>
        <w:rPr>
          <w:color w:val="0D0D0D" w:themeColor="text1" w:themeTint="F2"/>
          <w:sz w:val="22"/>
        </w:rPr>
        <w:t>condonation</w:t>
      </w:r>
      <w:proofErr w:type="spellEnd"/>
      <w:r>
        <w:rPr>
          <w:color w:val="0D0D0D" w:themeColor="text1" w:themeTint="F2"/>
          <w:sz w:val="22"/>
        </w:rPr>
        <w:t xml:space="preserve"> for the late filing of an appeal.  The application was opposed by the Respondent.   That application was initially set down for hearing on the 20th of November, 2015.  The matter was postponed </w:t>
      </w:r>
      <w:r w:rsidRPr="006F0B82">
        <w:rPr>
          <w:i/>
          <w:color w:val="0D0D0D" w:themeColor="text1" w:themeTint="F2"/>
          <w:sz w:val="22"/>
        </w:rPr>
        <w:t>sire die</w:t>
      </w:r>
      <w:r>
        <w:rPr>
          <w:color w:val="0D0D0D" w:themeColor="text1" w:themeTint="F2"/>
          <w:sz w:val="22"/>
        </w:rPr>
        <w:t xml:space="preserve">   pending the hearing of the present application placed before me.</w:t>
      </w:r>
    </w:p>
    <w:p w:rsidR="00337089" w:rsidRDefault="00337089" w:rsidP="000A2AE9">
      <w:pPr>
        <w:spacing w:before="0" w:after="0" w:line="240" w:lineRule="auto"/>
        <w:rPr>
          <w:b/>
          <w:color w:val="0D0D0D" w:themeColor="text1" w:themeTint="F2"/>
          <w:sz w:val="22"/>
        </w:rPr>
      </w:pPr>
    </w:p>
    <w:p w:rsidR="00504D34" w:rsidRDefault="00504D34" w:rsidP="000A2AE9">
      <w:pPr>
        <w:spacing w:before="0" w:after="0" w:line="240" w:lineRule="auto"/>
        <w:rPr>
          <w:b/>
          <w:color w:val="0D0D0D" w:themeColor="text1" w:themeTint="F2"/>
          <w:sz w:val="22"/>
        </w:rPr>
      </w:pPr>
      <w:r w:rsidRPr="000338BC">
        <w:rPr>
          <w:b/>
          <w:color w:val="0D0D0D" w:themeColor="text1" w:themeTint="F2"/>
          <w:sz w:val="22"/>
        </w:rPr>
        <w:t xml:space="preserve">Application for </w:t>
      </w:r>
      <w:proofErr w:type="spellStart"/>
      <w:r w:rsidRPr="000338BC">
        <w:rPr>
          <w:b/>
          <w:color w:val="0D0D0D" w:themeColor="text1" w:themeTint="F2"/>
          <w:sz w:val="22"/>
        </w:rPr>
        <w:t>Condonation</w:t>
      </w:r>
      <w:proofErr w:type="spellEnd"/>
      <w:r w:rsidRPr="000338BC">
        <w:rPr>
          <w:b/>
          <w:color w:val="0D0D0D" w:themeColor="text1" w:themeTint="F2"/>
          <w:sz w:val="22"/>
        </w:rPr>
        <w:t xml:space="preserve"> of Late Filing of Heads of Argument</w:t>
      </w:r>
    </w:p>
    <w:p w:rsidR="00337089" w:rsidRDefault="00337089" w:rsidP="000A2AE9">
      <w:pPr>
        <w:spacing w:before="0" w:after="0" w:line="240" w:lineRule="auto"/>
        <w:rPr>
          <w:color w:val="0D0D0D" w:themeColor="text1" w:themeTint="F2"/>
          <w:sz w:val="22"/>
        </w:rPr>
      </w:pPr>
    </w:p>
    <w:p w:rsidR="00504D34" w:rsidRDefault="00504D34" w:rsidP="00337089">
      <w:pPr>
        <w:spacing w:before="0" w:after="0"/>
        <w:ind w:firstLine="720"/>
        <w:rPr>
          <w:color w:val="0D0D0D" w:themeColor="text1" w:themeTint="F2"/>
          <w:sz w:val="22"/>
        </w:rPr>
      </w:pPr>
      <w:r>
        <w:rPr>
          <w:color w:val="0D0D0D" w:themeColor="text1" w:themeTint="F2"/>
          <w:sz w:val="22"/>
        </w:rPr>
        <w:t xml:space="preserve">The Applicants having filed an application for </w:t>
      </w:r>
      <w:proofErr w:type="spellStart"/>
      <w:r>
        <w:rPr>
          <w:color w:val="0D0D0D" w:themeColor="text1" w:themeTint="F2"/>
          <w:sz w:val="22"/>
        </w:rPr>
        <w:t>condonation</w:t>
      </w:r>
      <w:proofErr w:type="spellEnd"/>
      <w:r>
        <w:rPr>
          <w:color w:val="0D0D0D" w:themeColor="text1" w:themeTint="F2"/>
          <w:sz w:val="22"/>
        </w:rPr>
        <w:t xml:space="preserve"> of late noting of an appeal on the </w:t>
      </w:r>
      <w:r w:rsidR="00337089">
        <w:rPr>
          <w:color w:val="0D0D0D" w:themeColor="text1" w:themeTint="F2"/>
          <w:sz w:val="22"/>
        </w:rPr>
        <w:t>23</w:t>
      </w:r>
      <w:r w:rsidR="00337089" w:rsidRPr="00337089">
        <w:rPr>
          <w:color w:val="0D0D0D" w:themeColor="text1" w:themeTint="F2"/>
          <w:sz w:val="22"/>
          <w:vertAlign w:val="superscript"/>
        </w:rPr>
        <w:t>rd</w:t>
      </w:r>
      <w:r w:rsidR="00337089">
        <w:rPr>
          <w:color w:val="0D0D0D" w:themeColor="text1" w:themeTint="F2"/>
          <w:sz w:val="22"/>
        </w:rPr>
        <w:t xml:space="preserve"> July 2015</w:t>
      </w:r>
      <w:r>
        <w:rPr>
          <w:color w:val="0D0D0D" w:themeColor="text1" w:themeTint="F2"/>
          <w:sz w:val="22"/>
        </w:rPr>
        <w:t xml:space="preserve"> the Respondent then filed and served its Notice of Opposition on the 17th of August, 2015.   In terms of the Rules of court the Applicants were required to have filed their Head of Arguments 14 days after receipt of the Notice of Opposition. The Applicants were therefore required to file heads at the latest by the 4th of September, 2015.  Having failed to file the heads by that date the Applicants seek in this application for the court’s </w:t>
      </w:r>
      <w:proofErr w:type="spellStart"/>
      <w:r>
        <w:rPr>
          <w:color w:val="0D0D0D" w:themeColor="text1" w:themeTint="F2"/>
          <w:sz w:val="22"/>
        </w:rPr>
        <w:t>condonation</w:t>
      </w:r>
      <w:proofErr w:type="spellEnd"/>
      <w:r>
        <w:rPr>
          <w:color w:val="0D0D0D" w:themeColor="text1" w:themeTint="F2"/>
          <w:sz w:val="22"/>
        </w:rPr>
        <w:t xml:space="preserve"> for the failure to file heads.</w:t>
      </w:r>
    </w:p>
    <w:p w:rsidR="00337089" w:rsidRDefault="00337089" w:rsidP="000A2AE9">
      <w:pPr>
        <w:spacing w:before="0" w:after="0" w:line="240" w:lineRule="auto"/>
        <w:rPr>
          <w:b/>
          <w:color w:val="0D0D0D" w:themeColor="text1" w:themeTint="F2"/>
          <w:sz w:val="22"/>
        </w:rPr>
      </w:pPr>
    </w:p>
    <w:p w:rsidR="00504D34" w:rsidRDefault="00504D34" w:rsidP="000A2AE9">
      <w:pPr>
        <w:spacing w:before="0" w:after="0" w:line="240" w:lineRule="auto"/>
        <w:rPr>
          <w:b/>
          <w:color w:val="0D0D0D" w:themeColor="text1" w:themeTint="F2"/>
          <w:sz w:val="22"/>
        </w:rPr>
      </w:pPr>
      <w:r w:rsidRPr="00527287">
        <w:rPr>
          <w:b/>
          <w:color w:val="0D0D0D" w:themeColor="text1" w:themeTint="F2"/>
          <w:sz w:val="22"/>
        </w:rPr>
        <w:t xml:space="preserve">Factors to be </w:t>
      </w:r>
      <w:proofErr w:type="gramStart"/>
      <w:r w:rsidRPr="00527287">
        <w:rPr>
          <w:b/>
          <w:color w:val="0D0D0D" w:themeColor="text1" w:themeTint="F2"/>
          <w:sz w:val="22"/>
        </w:rPr>
        <w:t>Considered</w:t>
      </w:r>
      <w:proofErr w:type="gramEnd"/>
    </w:p>
    <w:p w:rsidR="00337089" w:rsidRDefault="00337089" w:rsidP="000A2AE9">
      <w:pPr>
        <w:spacing w:before="0" w:after="0" w:line="240" w:lineRule="auto"/>
        <w:rPr>
          <w:color w:val="0D0D0D" w:themeColor="text1" w:themeTint="F2"/>
          <w:sz w:val="22"/>
        </w:rPr>
      </w:pPr>
    </w:p>
    <w:p w:rsidR="00504D34" w:rsidRDefault="00504D34" w:rsidP="00337089">
      <w:pPr>
        <w:spacing w:before="0" w:after="0"/>
        <w:ind w:firstLine="720"/>
        <w:rPr>
          <w:color w:val="0D0D0D" w:themeColor="text1" w:themeTint="F2"/>
          <w:sz w:val="22"/>
        </w:rPr>
      </w:pPr>
      <w:r>
        <w:rPr>
          <w:color w:val="0D0D0D" w:themeColor="text1" w:themeTint="F2"/>
          <w:sz w:val="22"/>
        </w:rPr>
        <w:t xml:space="preserve">The factors to be considered in an application for </w:t>
      </w:r>
      <w:proofErr w:type="spellStart"/>
      <w:r>
        <w:rPr>
          <w:color w:val="0D0D0D" w:themeColor="text1" w:themeTint="F2"/>
          <w:sz w:val="22"/>
        </w:rPr>
        <w:t>condonation</w:t>
      </w:r>
      <w:proofErr w:type="spellEnd"/>
      <w:r>
        <w:rPr>
          <w:color w:val="0D0D0D" w:themeColor="text1" w:themeTint="F2"/>
          <w:sz w:val="22"/>
        </w:rPr>
        <w:t xml:space="preserve"> are well established.  They have been stated in many decisions.  The factors include the following:</w:t>
      </w:r>
    </w:p>
    <w:p w:rsidR="00337089" w:rsidRDefault="00337089" w:rsidP="00337089">
      <w:pPr>
        <w:spacing w:before="0" w:after="0" w:line="240" w:lineRule="auto"/>
        <w:ind w:firstLine="720"/>
        <w:rPr>
          <w:color w:val="0D0D0D" w:themeColor="text1" w:themeTint="F2"/>
          <w:sz w:val="22"/>
        </w:rPr>
      </w:pP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degree of non-compliance with the rules</w:t>
      </w: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explanation thereof</w:t>
      </w: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prospects of success on the merits</w:t>
      </w: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importance of the case</w:t>
      </w: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degree of prejudice to the Respondent</w:t>
      </w:r>
    </w:p>
    <w:p w:rsidR="00504D34" w:rsidRPr="00AD5933"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convenience to the court and</w:t>
      </w:r>
    </w:p>
    <w:p w:rsidR="00504D34" w:rsidRDefault="00504D34" w:rsidP="000A2AE9">
      <w:pPr>
        <w:pStyle w:val="ListParagraph"/>
        <w:numPr>
          <w:ilvl w:val="0"/>
          <w:numId w:val="2"/>
        </w:numPr>
        <w:spacing w:before="0" w:after="0" w:line="240" w:lineRule="auto"/>
        <w:rPr>
          <w:color w:val="0D0D0D" w:themeColor="text1" w:themeTint="F2"/>
          <w:sz w:val="22"/>
        </w:rPr>
      </w:pPr>
      <w:r w:rsidRPr="00AD5933">
        <w:rPr>
          <w:color w:val="0D0D0D" w:themeColor="text1" w:themeTint="F2"/>
          <w:sz w:val="22"/>
        </w:rPr>
        <w:t>the avoidance of unnecessary delay</w:t>
      </w:r>
    </w:p>
    <w:p w:rsidR="00306ACE" w:rsidRPr="00306ACE" w:rsidRDefault="00306ACE" w:rsidP="00306ACE">
      <w:pPr>
        <w:spacing w:before="0" w:after="0" w:line="240" w:lineRule="auto"/>
        <w:ind w:left="1080"/>
        <w:rPr>
          <w:color w:val="0D0D0D" w:themeColor="text1" w:themeTint="F2"/>
          <w:sz w:val="22"/>
        </w:rPr>
      </w:pPr>
    </w:p>
    <w:p w:rsidR="00337089" w:rsidRPr="00337089" w:rsidRDefault="00337089" w:rsidP="00337089">
      <w:pPr>
        <w:spacing w:before="0" w:after="0" w:line="240" w:lineRule="auto"/>
        <w:ind w:left="1080"/>
        <w:rPr>
          <w:color w:val="0D0D0D" w:themeColor="text1" w:themeTint="F2"/>
          <w:sz w:val="22"/>
        </w:rPr>
      </w:pPr>
    </w:p>
    <w:p w:rsidR="00504D34" w:rsidRDefault="00504D34" w:rsidP="000A2AE9">
      <w:pPr>
        <w:spacing w:before="0" w:after="0" w:line="240" w:lineRule="auto"/>
        <w:rPr>
          <w:b/>
          <w:color w:val="0D0D0D" w:themeColor="text1" w:themeTint="F2"/>
          <w:sz w:val="22"/>
        </w:rPr>
      </w:pPr>
      <w:r>
        <w:rPr>
          <w:color w:val="0D0D0D" w:themeColor="text1" w:themeTint="F2"/>
          <w:sz w:val="22"/>
        </w:rPr>
        <w:t xml:space="preserve">See </w:t>
      </w:r>
      <w:r w:rsidRPr="00502FE3">
        <w:rPr>
          <w:b/>
          <w:color w:val="0D0D0D" w:themeColor="text1" w:themeTint="F2"/>
          <w:sz w:val="22"/>
        </w:rPr>
        <w:t xml:space="preserve">Jensen </w:t>
      </w:r>
      <w:proofErr w:type="spellStart"/>
      <w:r w:rsidRPr="00502FE3">
        <w:rPr>
          <w:b/>
          <w:color w:val="0D0D0D" w:themeColor="text1" w:themeTint="F2"/>
          <w:sz w:val="22"/>
        </w:rPr>
        <w:t>vs</w:t>
      </w:r>
      <w:proofErr w:type="spellEnd"/>
      <w:r w:rsidRPr="00502FE3">
        <w:rPr>
          <w:b/>
          <w:color w:val="0D0D0D" w:themeColor="text1" w:themeTint="F2"/>
          <w:sz w:val="22"/>
        </w:rPr>
        <w:t xml:space="preserve"> </w:t>
      </w:r>
      <w:proofErr w:type="spellStart"/>
      <w:r w:rsidRPr="00502FE3">
        <w:rPr>
          <w:b/>
          <w:color w:val="0D0D0D" w:themeColor="text1" w:themeTint="F2"/>
          <w:sz w:val="22"/>
        </w:rPr>
        <w:t>Cavalo</w:t>
      </w:r>
      <w:r w:rsidR="00337089">
        <w:rPr>
          <w:b/>
          <w:color w:val="0D0D0D" w:themeColor="text1" w:themeTint="F2"/>
          <w:sz w:val="22"/>
        </w:rPr>
        <w:t>s</w:t>
      </w:r>
      <w:proofErr w:type="spellEnd"/>
      <w:r w:rsidRPr="00502FE3">
        <w:rPr>
          <w:b/>
          <w:color w:val="0D0D0D" w:themeColor="text1" w:themeTint="F2"/>
          <w:sz w:val="22"/>
        </w:rPr>
        <w:t xml:space="preserve"> 1993(1) ZLR 216(S)</w:t>
      </w:r>
      <w:r>
        <w:rPr>
          <w:color w:val="0D0D0D" w:themeColor="text1" w:themeTint="F2"/>
          <w:sz w:val="22"/>
        </w:rPr>
        <w:t xml:space="preserve"> and</w:t>
      </w:r>
      <w:r w:rsidRPr="00502FE3">
        <w:rPr>
          <w:b/>
          <w:color w:val="0D0D0D" w:themeColor="text1" w:themeTint="F2"/>
          <w:sz w:val="22"/>
        </w:rPr>
        <w:t xml:space="preserve"> </w:t>
      </w:r>
      <w:proofErr w:type="spellStart"/>
      <w:r w:rsidRPr="00502FE3">
        <w:rPr>
          <w:b/>
          <w:color w:val="0D0D0D" w:themeColor="text1" w:themeTint="F2"/>
          <w:sz w:val="22"/>
        </w:rPr>
        <w:t>Mazvimbakupa</w:t>
      </w:r>
      <w:proofErr w:type="spellEnd"/>
      <w:r w:rsidRPr="00502FE3">
        <w:rPr>
          <w:b/>
          <w:color w:val="0D0D0D" w:themeColor="text1" w:themeTint="F2"/>
          <w:sz w:val="22"/>
        </w:rPr>
        <w:t xml:space="preserve"> v City of Harare HH 92/05</w:t>
      </w:r>
    </w:p>
    <w:p w:rsidR="00337089" w:rsidRDefault="00337089" w:rsidP="000A2AE9">
      <w:pPr>
        <w:spacing w:before="0" w:after="0" w:line="240" w:lineRule="auto"/>
        <w:rPr>
          <w:color w:val="0D0D0D" w:themeColor="text1" w:themeTint="F2"/>
          <w:sz w:val="22"/>
        </w:rPr>
      </w:pPr>
    </w:p>
    <w:p w:rsidR="00504D34" w:rsidRDefault="00504D34" w:rsidP="00337089">
      <w:pPr>
        <w:spacing w:before="0" w:after="0"/>
        <w:ind w:firstLine="720"/>
        <w:rPr>
          <w:color w:val="0D0D0D" w:themeColor="text1" w:themeTint="F2"/>
          <w:sz w:val="22"/>
        </w:rPr>
      </w:pPr>
      <w:r>
        <w:rPr>
          <w:color w:val="0D0D0D" w:themeColor="text1" w:themeTint="F2"/>
          <w:sz w:val="22"/>
        </w:rPr>
        <w:t xml:space="preserve">The Applicants submit through the Founding Affidavit of Felicity </w:t>
      </w:r>
      <w:proofErr w:type="spellStart"/>
      <w:r>
        <w:rPr>
          <w:color w:val="0D0D0D" w:themeColor="text1" w:themeTint="F2"/>
          <w:sz w:val="22"/>
        </w:rPr>
        <w:t>Ndou</w:t>
      </w:r>
      <w:proofErr w:type="spellEnd"/>
      <w:r>
        <w:rPr>
          <w:color w:val="0D0D0D" w:themeColor="text1" w:themeTint="F2"/>
          <w:sz w:val="22"/>
        </w:rPr>
        <w:t>, their legal practitioner of the record</w:t>
      </w:r>
      <w:r w:rsidR="00337089">
        <w:rPr>
          <w:color w:val="0D0D0D" w:themeColor="text1" w:themeTint="F2"/>
          <w:sz w:val="22"/>
        </w:rPr>
        <w:t>,</w:t>
      </w:r>
      <w:r>
        <w:rPr>
          <w:color w:val="0D0D0D" w:themeColor="text1" w:themeTint="F2"/>
          <w:sz w:val="22"/>
        </w:rPr>
        <w:t xml:space="preserve"> that the application for </w:t>
      </w:r>
      <w:proofErr w:type="spellStart"/>
      <w:r>
        <w:rPr>
          <w:color w:val="0D0D0D" w:themeColor="text1" w:themeTint="F2"/>
          <w:sz w:val="22"/>
        </w:rPr>
        <w:t>condonation</w:t>
      </w:r>
      <w:proofErr w:type="spellEnd"/>
      <w:r>
        <w:rPr>
          <w:color w:val="0D0D0D" w:themeColor="text1" w:themeTint="F2"/>
          <w:sz w:val="22"/>
        </w:rPr>
        <w:t xml:space="preserve"> is with merit.   Whilst the heads were due on the 4th of September, 2015 the Heads of Argument were filed on the 23rd of October, 2015.  The period of delay is therefore relatively short.  The explanation</w:t>
      </w:r>
      <w:r w:rsidR="00337089">
        <w:rPr>
          <w:color w:val="0D0D0D" w:themeColor="text1" w:themeTint="F2"/>
          <w:sz w:val="22"/>
        </w:rPr>
        <w:t xml:space="preserve"> </w:t>
      </w:r>
      <w:r w:rsidR="00337089">
        <w:rPr>
          <w:color w:val="0D0D0D" w:themeColor="text1" w:themeTint="F2"/>
          <w:sz w:val="22"/>
        </w:rPr>
        <w:lastRenderedPageBreak/>
        <w:t>tendered</w:t>
      </w:r>
      <w:r>
        <w:rPr>
          <w:color w:val="0D0D0D" w:themeColor="text1" w:themeTint="F2"/>
          <w:sz w:val="22"/>
        </w:rPr>
        <w:t xml:space="preserve"> for the delay is that the legal practitioner was on time off when the Notice of Response was filed and served by the Respondent.  Upon resumption at work on the 8th of October she was not alerted</w:t>
      </w:r>
      <w:r w:rsidR="00337089">
        <w:rPr>
          <w:color w:val="0D0D0D" w:themeColor="text1" w:themeTint="F2"/>
          <w:sz w:val="22"/>
        </w:rPr>
        <w:t xml:space="preserve"> to the fact</w:t>
      </w:r>
      <w:r>
        <w:rPr>
          <w:color w:val="0D0D0D" w:themeColor="text1" w:themeTint="F2"/>
          <w:sz w:val="22"/>
        </w:rPr>
        <w:t xml:space="preserve"> that </w:t>
      </w:r>
      <w:r w:rsidR="00337089">
        <w:rPr>
          <w:color w:val="0D0D0D" w:themeColor="text1" w:themeTint="F2"/>
          <w:sz w:val="22"/>
        </w:rPr>
        <w:t xml:space="preserve">a </w:t>
      </w:r>
      <w:r>
        <w:rPr>
          <w:color w:val="0D0D0D" w:themeColor="text1" w:themeTint="F2"/>
          <w:sz w:val="22"/>
        </w:rPr>
        <w:t>response had been filed.  The Notice of Response had through an error or oversight been filed away in the lawyer’s office.  The legal practitioner therefore sincerely believed that there was no opposition to the main application.   She only realised her error on the 19th of October, 2015 when the clients came to pursue their matter.  She then realised that a Notice of Response to the main application had in fact been served on them.  In regards prospects her submission is that the proposed appeal has good prospects of success.</w:t>
      </w:r>
    </w:p>
    <w:p w:rsidR="00337089" w:rsidRDefault="00337089" w:rsidP="000A2AE9">
      <w:pPr>
        <w:spacing w:before="0" w:after="0" w:line="240" w:lineRule="auto"/>
        <w:rPr>
          <w:color w:val="0D0D0D" w:themeColor="text1" w:themeTint="F2"/>
          <w:sz w:val="22"/>
        </w:rPr>
      </w:pPr>
    </w:p>
    <w:p w:rsidR="00504D34" w:rsidRDefault="00504D34" w:rsidP="00337089">
      <w:pPr>
        <w:spacing w:before="0" w:after="0"/>
        <w:ind w:firstLine="720"/>
        <w:rPr>
          <w:color w:val="0D0D0D" w:themeColor="text1" w:themeTint="F2"/>
          <w:sz w:val="22"/>
        </w:rPr>
      </w:pPr>
      <w:r>
        <w:rPr>
          <w:color w:val="0D0D0D" w:themeColor="text1" w:themeTint="F2"/>
          <w:sz w:val="22"/>
        </w:rPr>
        <w:t xml:space="preserve">The Respondent is opposed to the granting of </w:t>
      </w:r>
      <w:proofErr w:type="spellStart"/>
      <w:r>
        <w:rPr>
          <w:color w:val="0D0D0D" w:themeColor="text1" w:themeTint="F2"/>
          <w:sz w:val="22"/>
        </w:rPr>
        <w:t>condonation</w:t>
      </w:r>
      <w:proofErr w:type="spellEnd"/>
      <w:r>
        <w:rPr>
          <w:color w:val="0D0D0D" w:themeColor="text1" w:themeTint="F2"/>
          <w:sz w:val="22"/>
        </w:rPr>
        <w:t xml:space="preserve"> as sought. </w:t>
      </w:r>
      <w:r w:rsidR="00337089">
        <w:rPr>
          <w:color w:val="0D0D0D" w:themeColor="text1" w:themeTint="F2"/>
          <w:sz w:val="22"/>
        </w:rPr>
        <w:t xml:space="preserve">The </w:t>
      </w:r>
      <w:r>
        <w:rPr>
          <w:color w:val="0D0D0D" w:themeColor="text1" w:themeTint="F2"/>
          <w:sz w:val="22"/>
        </w:rPr>
        <w:t>Respondent submits that the explanation tendered for the delay is inadequate and ought to be dismissed.  The court is also urged not to condone the</w:t>
      </w:r>
      <w:r w:rsidR="00337089">
        <w:rPr>
          <w:color w:val="0D0D0D" w:themeColor="text1" w:themeTint="F2"/>
          <w:sz w:val="22"/>
        </w:rPr>
        <w:t xml:space="preserve"> apparent</w:t>
      </w:r>
      <w:r>
        <w:rPr>
          <w:color w:val="0D0D0D" w:themeColor="text1" w:themeTint="F2"/>
          <w:sz w:val="22"/>
        </w:rPr>
        <w:t xml:space="preserve"> flagrant breach of the rules of court by the Applicants’ legal practitioners.  The Respondent referred to the matter in </w:t>
      </w:r>
      <w:proofErr w:type="spellStart"/>
      <w:r w:rsidRPr="00BB6C7D">
        <w:rPr>
          <w:b/>
          <w:color w:val="0D0D0D" w:themeColor="text1" w:themeTint="F2"/>
          <w:sz w:val="22"/>
        </w:rPr>
        <w:t>Kodzwa</w:t>
      </w:r>
      <w:proofErr w:type="spellEnd"/>
      <w:r w:rsidRPr="00BB6C7D">
        <w:rPr>
          <w:b/>
          <w:color w:val="0D0D0D" w:themeColor="text1" w:themeTint="F2"/>
          <w:sz w:val="22"/>
        </w:rPr>
        <w:t xml:space="preserve"> v</w:t>
      </w:r>
      <w:r w:rsidR="00337089" w:rsidRPr="00BB6C7D">
        <w:rPr>
          <w:b/>
          <w:color w:val="0D0D0D" w:themeColor="text1" w:themeTint="F2"/>
          <w:sz w:val="22"/>
        </w:rPr>
        <w:t xml:space="preserve"> Secretary for Health &amp; </w:t>
      </w:r>
      <w:proofErr w:type="spellStart"/>
      <w:r w:rsidR="00337089" w:rsidRPr="00BB6C7D">
        <w:rPr>
          <w:b/>
          <w:color w:val="0D0D0D" w:themeColor="text1" w:themeTint="F2"/>
          <w:sz w:val="22"/>
        </w:rPr>
        <w:t>Anor</w:t>
      </w:r>
      <w:proofErr w:type="spellEnd"/>
      <w:r w:rsidR="00337089">
        <w:rPr>
          <w:i/>
          <w:color w:val="0D0D0D" w:themeColor="text1" w:themeTint="F2"/>
          <w:sz w:val="22"/>
        </w:rPr>
        <w:t xml:space="preserve"> </w:t>
      </w:r>
      <w:r w:rsidR="00C54A38">
        <w:rPr>
          <w:color w:val="0D0D0D" w:themeColor="text1" w:themeTint="F2"/>
          <w:sz w:val="22"/>
        </w:rPr>
        <w:t>1999 (1) ZLR 313 (S).</w:t>
      </w:r>
    </w:p>
    <w:p w:rsidR="00DC3AE0" w:rsidRPr="00337089" w:rsidRDefault="00DC3AE0" w:rsidP="00DC3AE0">
      <w:pPr>
        <w:spacing w:before="0" w:after="0" w:line="240" w:lineRule="auto"/>
        <w:ind w:firstLine="720"/>
        <w:rPr>
          <w:color w:val="0D0D0D" w:themeColor="text1" w:themeTint="F2"/>
          <w:sz w:val="22"/>
        </w:rPr>
      </w:pPr>
    </w:p>
    <w:p w:rsidR="00504D34" w:rsidRDefault="00504D34" w:rsidP="00DC3AE0">
      <w:pPr>
        <w:spacing w:before="0" w:after="0"/>
        <w:ind w:firstLine="720"/>
        <w:rPr>
          <w:color w:val="0D0D0D" w:themeColor="text1" w:themeTint="F2"/>
          <w:sz w:val="22"/>
        </w:rPr>
      </w:pPr>
      <w:r>
        <w:rPr>
          <w:color w:val="0D0D0D" w:themeColor="text1" w:themeTint="F2"/>
          <w:sz w:val="22"/>
        </w:rPr>
        <w:t>It is very clear based on the papers before</w:t>
      </w:r>
      <w:r w:rsidR="00DC3AE0">
        <w:rPr>
          <w:color w:val="0D0D0D" w:themeColor="text1" w:themeTint="F2"/>
          <w:sz w:val="22"/>
        </w:rPr>
        <w:t xml:space="preserve"> me</w:t>
      </w:r>
      <w:r>
        <w:rPr>
          <w:color w:val="0D0D0D" w:themeColor="text1" w:themeTint="F2"/>
          <w:sz w:val="22"/>
        </w:rPr>
        <w:t xml:space="preserve"> that the delay in this matter is relatively short.  It is a period of over a month.  The explanation tendered for the failure to comply with the Rules of the Court however is</w:t>
      </w:r>
      <w:r w:rsidR="00C54A38">
        <w:rPr>
          <w:color w:val="0D0D0D" w:themeColor="text1" w:themeTint="F2"/>
          <w:sz w:val="22"/>
        </w:rPr>
        <w:t xml:space="preserve"> however</w:t>
      </w:r>
      <w:r>
        <w:rPr>
          <w:color w:val="0D0D0D" w:themeColor="text1" w:themeTint="F2"/>
          <w:sz w:val="22"/>
        </w:rPr>
        <w:t xml:space="preserve"> not convincing.  The record shows the Notice of Response was</w:t>
      </w:r>
      <w:r w:rsidR="002B62AC">
        <w:rPr>
          <w:color w:val="0D0D0D" w:themeColor="text1" w:themeTint="F2"/>
          <w:sz w:val="22"/>
        </w:rPr>
        <w:t xml:space="preserve"> filed and</w:t>
      </w:r>
      <w:r>
        <w:rPr>
          <w:color w:val="0D0D0D" w:themeColor="text1" w:themeTint="F2"/>
          <w:sz w:val="22"/>
        </w:rPr>
        <w:t xml:space="preserve"> served on the </w:t>
      </w:r>
      <w:r w:rsidR="002B62AC">
        <w:rPr>
          <w:color w:val="0D0D0D" w:themeColor="text1" w:themeTint="F2"/>
          <w:sz w:val="22"/>
        </w:rPr>
        <w:t>applicant’s legal practitioners on the</w:t>
      </w:r>
      <w:r w:rsidR="00C54A38">
        <w:rPr>
          <w:color w:val="0D0D0D" w:themeColor="text1" w:themeTint="F2"/>
          <w:sz w:val="22"/>
        </w:rPr>
        <w:t xml:space="preserve"> 17</w:t>
      </w:r>
      <w:r w:rsidR="00C54A38" w:rsidRPr="00C54A38">
        <w:rPr>
          <w:color w:val="0D0D0D" w:themeColor="text1" w:themeTint="F2"/>
          <w:sz w:val="22"/>
          <w:vertAlign w:val="superscript"/>
        </w:rPr>
        <w:t>th</w:t>
      </w:r>
      <w:r w:rsidR="00C54A38">
        <w:rPr>
          <w:color w:val="0D0D0D" w:themeColor="text1" w:themeTint="F2"/>
          <w:sz w:val="22"/>
        </w:rPr>
        <w:t xml:space="preserve"> of August 2015</w:t>
      </w:r>
      <w:r w:rsidR="002B62AC">
        <w:rPr>
          <w:color w:val="0D0D0D" w:themeColor="text1" w:themeTint="F2"/>
          <w:sz w:val="22"/>
        </w:rPr>
        <w:t xml:space="preserve"> </w:t>
      </w:r>
      <w:r>
        <w:rPr>
          <w:color w:val="0D0D0D" w:themeColor="text1" w:themeTint="F2"/>
          <w:sz w:val="22"/>
        </w:rPr>
        <w:t xml:space="preserve"> The Applicants’ legal practitioner has failed to explain why she failed to deal with the matter for the month and half she was in the office prior to taking her alleged time off.  Her explanation seems to only cover the period after her taking time off</w:t>
      </w:r>
      <w:r w:rsidR="00C54A38">
        <w:rPr>
          <w:color w:val="0D0D0D" w:themeColor="text1" w:themeTint="F2"/>
          <w:sz w:val="22"/>
        </w:rPr>
        <w:t xml:space="preserve"> in the first week of October </w:t>
      </w:r>
      <w:r>
        <w:rPr>
          <w:color w:val="0D0D0D" w:themeColor="text1" w:themeTint="F2"/>
          <w:sz w:val="22"/>
        </w:rPr>
        <w:t>to the neglect of the earlier period.  She has also failed to take the court into her confidence by indicating the party/person in her offices who she claims “slotted the file with other files in the filing system and forgot all about it”.  Clearly a supporting affidavit deposed to explaining these facts was</w:t>
      </w:r>
      <w:r w:rsidR="00550C65">
        <w:rPr>
          <w:color w:val="0D0D0D" w:themeColor="text1" w:themeTint="F2"/>
          <w:sz w:val="22"/>
        </w:rPr>
        <w:t xml:space="preserve"> required</w:t>
      </w:r>
      <w:r>
        <w:rPr>
          <w:color w:val="0D0D0D" w:themeColor="text1" w:themeTint="F2"/>
          <w:sz w:val="22"/>
        </w:rPr>
        <w:t xml:space="preserve"> to be placed before the court. This has not been done.  There is therefore clear evidence of lack of diligence on the part of the legal practitioner.  In such a case of </w:t>
      </w:r>
      <w:r w:rsidR="00550C65">
        <w:rPr>
          <w:color w:val="0D0D0D" w:themeColor="text1" w:themeTint="F2"/>
          <w:sz w:val="22"/>
        </w:rPr>
        <w:t xml:space="preserve">flagrant </w:t>
      </w:r>
      <w:r>
        <w:rPr>
          <w:color w:val="0D0D0D" w:themeColor="text1" w:themeTint="F2"/>
          <w:sz w:val="22"/>
        </w:rPr>
        <w:t xml:space="preserve">breach of the rules where no acceptable/convincing explanation has also not been tendered the indulgence of </w:t>
      </w:r>
      <w:proofErr w:type="spellStart"/>
      <w:r>
        <w:rPr>
          <w:color w:val="0D0D0D" w:themeColor="text1" w:themeTint="F2"/>
          <w:sz w:val="22"/>
        </w:rPr>
        <w:t>condonation</w:t>
      </w:r>
      <w:proofErr w:type="spellEnd"/>
      <w:r>
        <w:rPr>
          <w:color w:val="0D0D0D" w:themeColor="text1" w:themeTint="F2"/>
          <w:sz w:val="22"/>
        </w:rPr>
        <w:t xml:space="preserve"> ought to be refused whatever the merits of the appeal/application may be.  The court was aptly referred by the Respondent to </w:t>
      </w:r>
      <w:proofErr w:type="spellStart"/>
      <w:r w:rsidRPr="00944693">
        <w:rPr>
          <w:b/>
          <w:color w:val="0D0D0D" w:themeColor="text1" w:themeTint="F2"/>
          <w:sz w:val="22"/>
        </w:rPr>
        <w:t>Kodzwa</w:t>
      </w:r>
      <w:proofErr w:type="spellEnd"/>
      <w:r w:rsidRPr="00944693">
        <w:rPr>
          <w:b/>
          <w:color w:val="0D0D0D" w:themeColor="text1" w:themeTint="F2"/>
          <w:sz w:val="22"/>
        </w:rPr>
        <w:t xml:space="preserve"> v Secretary for Health &amp; Another</w:t>
      </w:r>
      <w:r>
        <w:rPr>
          <w:color w:val="0D0D0D" w:themeColor="text1" w:themeTint="F2"/>
          <w:sz w:val="22"/>
        </w:rPr>
        <w:t xml:space="preserve"> (</w:t>
      </w:r>
      <w:r w:rsidR="00C54A38">
        <w:rPr>
          <w:color w:val="0D0D0D" w:themeColor="text1" w:themeTint="F2"/>
          <w:sz w:val="22"/>
        </w:rPr>
        <w:t xml:space="preserve">referred to </w:t>
      </w:r>
      <w:r w:rsidR="00C54A38">
        <w:rPr>
          <w:i/>
          <w:color w:val="0D0D0D" w:themeColor="text1" w:themeTint="F2"/>
          <w:sz w:val="22"/>
        </w:rPr>
        <w:t>supra</w:t>
      </w:r>
      <w:r>
        <w:rPr>
          <w:color w:val="0D0D0D" w:themeColor="text1" w:themeTint="F2"/>
          <w:sz w:val="22"/>
        </w:rPr>
        <w:t>)</w:t>
      </w:r>
      <w:r w:rsidR="00C54A38">
        <w:rPr>
          <w:color w:val="0D0D0D" w:themeColor="text1" w:themeTint="F2"/>
          <w:sz w:val="22"/>
        </w:rPr>
        <w:t>.</w:t>
      </w:r>
    </w:p>
    <w:p w:rsidR="00550C65" w:rsidRDefault="00550C65" w:rsidP="00550C65">
      <w:pPr>
        <w:spacing w:before="0" w:after="0" w:line="240" w:lineRule="auto"/>
        <w:ind w:firstLine="720"/>
        <w:rPr>
          <w:color w:val="0D0D0D" w:themeColor="text1" w:themeTint="F2"/>
          <w:sz w:val="22"/>
        </w:rPr>
      </w:pPr>
    </w:p>
    <w:p w:rsidR="00504D34" w:rsidRDefault="00504D34" w:rsidP="00430F20">
      <w:pPr>
        <w:spacing w:before="0" w:after="0"/>
        <w:ind w:firstLine="720"/>
        <w:rPr>
          <w:color w:val="0D0D0D" w:themeColor="text1" w:themeTint="F2"/>
          <w:sz w:val="22"/>
        </w:rPr>
      </w:pPr>
      <w:r>
        <w:rPr>
          <w:color w:val="0D0D0D" w:themeColor="text1" w:themeTint="F2"/>
          <w:sz w:val="22"/>
        </w:rPr>
        <w:lastRenderedPageBreak/>
        <w:t>The court might have been inclined</w:t>
      </w:r>
      <w:r w:rsidR="00430F20">
        <w:rPr>
          <w:color w:val="0D0D0D" w:themeColor="text1" w:themeTint="F2"/>
          <w:sz w:val="22"/>
        </w:rPr>
        <w:t>,</w:t>
      </w:r>
      <w:r>
        <w:rPr>
          <w:color w:val="0D0D0D" w:themeColor="text1" w:themeTint="F2"/>
          <w:sz w:val="22"/>
        </w:rPr>
        <w:t xml:space="preserve"> to, in the interests of justice and fairness, to over</w:t>
      </w:r>
      <w:r w:rsidR="00430F20">
        <w:rPr>
          <w:color w:val="0D0D0D" w:themeColor="text1" w:themeTint="F2"/>
          <w:sz w:val="22"/>
        </w:rPr>
        <w:t>l</w:t>
      </w:r>
      <w:r>
        <w:rPr>
          <w:color w:val="0D0D0D" w:themeColor="text1" w:themeTint="F2"/>
          <w:sz w:val="22"/>
        </w:rPr>
        <w:t>ook the unconvincing explanation because of the relatively short delay in the filing of the heads but as things stand even the prospects of success are also very dim.</w:t>
      </w:r>
    </w:p>
    <w:p w:rsidR="00504D34" w:rsidRDefault="00504D34" w:rsidP="00430F20">
      <w:pPr>
        <w:spacing w:before="0" w:after="0"/>
        <w:ind w:firstLine="720"/>
        <w:rPr>
          <w:color w:val="0D0D0D" w:themeColor="text1" w:themeTint="F2"/>
          <w:sz w:val="22"/>
        </w:rPr>
      </w:pPr>
      <w:r>
        <w:rPr>
          <w:color w:val="0D0D0D" w:themeColor="text1" w:themeTint="F2"/>
          <w:sz w:val="22"/>
        </w:rPr>
        <w:t>The Applicants’ proposed appeal is hinged</w:t>
      </w:r>
      <w:r w:rsidR="00430F20">
        <w:rPr>
          <w:color w:val="0D0D0D" w:themeColor="text1" w:themeTint="F2"/>
          <w:sz w:val="22"/>
        </w:rPr>
        <w:t xml:space="preserve"> mainly</w:t>
      </w:r>
      <w:r>
        <w:rPr>
          <w:color w:val="0D0D0D" w:themeColor="text1" w:themeTint="F2"/>
          <w:sz w:val="22"/>
        </w:rPr>
        <w:t xml:space="preserve"> on the finding by the Arbitrator that their claim of permanent employment was without merit.  The Applicants seek to attack the award on the basis that –</w:t>
      </w:r>
    </w:p>
    <w:p w:rsidR="00430F20" w:rsidRDefault="00430F20" w:rsidP="000A2AE9">
      <w:pPr>
        <w:spacing w:before="0" w:after="0" w:line="240" w:lineRule="auto"/>
        <w:rPr>
          <w:color w:val="0D0D0D" w:themeColor="text1" w:themeTint="F2"/>
          <w:sz w:val="22"/>
        </w:rPr>
      </w:pP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 xml:space="preserve">The continuous renewal of their fixed term contracts amounted to </w:t>
      </w:r>
      <w:proofErr w:type="spellStart"/>
      <w:r>
        <w:rPr>
          <w:color w:val="0D0D0D" w:themeColor="text1" w:themeTint="F2"/>
          <w:sz w:val="22"/>
        </w:rPr>
        <w:t>casualisation</w:t>
      </w:r>
      <w:proofErr w:type="spellEnd"/>
      <w:r>
        <w:rPr>
          <w:color w:val="0D0D0D" w:themeColor="text1" w:themeTint="F2"/>
          <w:sz w:val="22"/>
        </w:rPr>
        <w:t xml:space="preserve"> of labour</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 xml:space="preserve">The Arbitrator had ignored crucial evidence that Respondent had </w:t>
      </w:r>
      <w:proofErr w:type="spellStart"/>
      <w:r>
        <w:rPr>
          <w:color w:val="0D0D0D" w:themeColor="text1" w:themeTint="F2"/>
          <w:sz w:val="22"/>
        </w:rPr>
        <w:t>flighted</w:t>
      </w:r>
      <w:proofErr w:type="spellEnd"/>
      <w:r>
        <w:rPr>
          <w:color w:val="0D0D0D" w:themeColor="text1" w:themeTint="F2"/>
          <w:sz w:val="22"/>
        </w:rPr>
        <w:t xml:space="preserve"> adverts for people to fill Applicants’ positions immediately after their contracts terminated</w:t>
      </w:r>
    </w:p>
    <w:p w:rsidR="00504D34" w:rsidRDefault="00504D34" w:rsidP="000A2AE9">
      <w:pPr>
        <w:pStyle w:val="ListParagraph"/>
        <w:numPr>
          <w:ilvl w:val="0"/>
          <w:numId w:val="1"/>
        </w:numPr>
        <w:spacing w:before="0" w:after="0" w:line="240" w:lineRule="auto"/>
        <w:rPr>
          <w:color w:val="0D0D0D" w:themeColor="text1" w:themeTint="F2"/>
          <w:sz w:val="22"/>
        </w:rPr>
      </w:pPr>
      <w:r>
        <w:rPr>
          <w:color w:val="0D0D0D" w:themeColor="text1" w:themeTint="F2"/>
          <w:sz w:val="22"/>
        </w:rPr>
        <w:t>The Arbitrator erred in dismissing their claims for underpayment of wages.</w:t>
      </w:r>
    </w:p>
    <w:p w:rsidR="00430F20" w:rsidRPr="00430F20" w:rsidRDefault="00430F20" w:rsidP="00430F20">
      <w:pPr>
        <w:spacing w:before="0" w:after="0" w:line="240" w:lineRule="auto"/>
        <w:rPr>
          <w:color w:val="0D0D0D" w:themeColor="text1" w:themeTint="F2"/>
          <w:sz w:val="22"/>
        </w:rPr>
      </w:pPr>
    </w:p>
    <w:p w:rsidR="00504D34" w:rsidRDefault="00504D34" w:rsidP="00430F20">
      <w:pPr>
        <w:spacing w:before="0" w:after="0"/>
        <w:ind w:firstLine="720"/>
        <w:rPr>
          <w:color w:val="0D0D0D" w:themeColor="text1" w:themeTint="F2"/>
          <w:sz w:val="22"/>
        </w:rPr>
      </w:pPr>
      <w:r>
        <w:rPr>
          <w:color w:val="0D0D0D" w:themeColor="text1" w:themeTint="F2"/>
          <w:sz w:val="22"/>
        </w:rPr>
        <w:t xml:space="preserve">I find it easier to address the second issue first.  </w:t>
      </w:r>
      <w:r w:rsidR="00430F20">
        <w:rPr>
          <w:color w:val="0D0D0D" w:themeColor="text1" w:themeTint="F2"/>
          <w:sz w:val="22"/>
        </w:rPr>
        <w:t>T</w:t>
      </w:r>
      <w:r>
        <w:rPr>
          <w:color w:val="0D0D0D" w:themeColor="text1" w:themeTint="F2"/>
          <w:sz w:val="22"/>
        </w:rPr>
        <w:t xml:space="preserve">he issue of legitimate expectation was in my view adequately addressed in the award.  The Arbitrator found that on the basis of case authorities  referred such a </w:t>
      </w:r>
      <w:proofErr w:type="spellStart"/>
      <w:r w:rsidRPr="001D6EFC">
        <w:rPr>
          <w:b/>
          <w:color w:val="0D0D0D" w:themeColor="text1" w:themeTint="F2"/>
          <w:sz w:val="22"/>
        </w:rPr>
        <w:t>Kundayi</w:t>
      </w:r>
      <w:proofErr w:type="spellEnd"/>
      <w:r w:rsidRPr="001D6EFC">
        <w:rPr>
          <w:b/>
          <w:color w:val="0D0D0D" w:themeColor="text1" w:themeTint="F2"/>
          <w:sz w:val="22"/>
        </w:rPr>
        <w:t xml:space="preserve">  </w:t>
      </w:r>
      <w:proofErr w:type="spellStart"/>
      <w:r w:rsidRPr="001D6EFC">
        <w:rPr>
          <w:b/>
          <w:color w:val="0D0D0D" w:themeColor="text1" w:themeTint="F2"/>
          <w:sz w:val="22"/>
        </w:rPr>
        <w:t>Magodora</w:t>
      </w:r>
      <w:proofErr w:type="spellEnd"/>
      <w:r w:rsidRPr="001D6EFC">
        <w:rPr>
          <w:b/>
          <w:color w:val="0D0D0D" w:themeColor="text1" w:themeTint="F2"/>
          <w:sz w:val="22"/>
        </w:rPr>
        <w:t xml:space="preserve"> and </w:t>
      </w:r>
      <w:proofErr w:type="spellStart"/>
      <w:r w:rsidRPr="001D6EFC">
        <w:rPr>
          <w:b/>
          <w:color w:val="0D0D0D" w:themeColor="text1" w:themeTint="F2"/>
          <w:sz w:val="22"/>
        </w:rPr>
        <w:t>Ors</w:t>
      </w:r>
      <w:proofErr w:type="spellEnd"/>
      <w:r w:rsidRPr="001D6EFC">
        <w:rPr>
          <w:b/>
          <w:color w:val="0D0D0D" w:themeColor="text1" w:themeTint="F2"/>
          <w:sz w:val="22"/>
        </w:rPr>
        <w:t xml:space="preserve"> v Care International Zimbabwe SC 24/14</w:t>
      </w:r>
      <w:r>
        <w:rPr>
          <w:color w:val="0D0D0D" w:themeColor="text1" w:themeTint="F2"/>
          <w:sz w:val="22"/>
        </w:rPr>
        <w:t xml:space="preserve"> for an employee to sustain a claim of unfair dismissal</w:t>
      </w:r>
      <w:r w:rsidR="00430F20">
        <w:rPr>
          <w:color w:val="0D0D0D" w:themeColor="text1" w:themeTint="F2"/>
          <w:sz w:val="22"/>
        </w:rPr>
        <w:t xml:space="preserve"> one</w:t>
      </w:r>
      <w:r>
        <w:rPr>
          <w:color w:val="0D0D0D" w:themeColor="text1" w:themeTint="F2"/>
          <w:sz w:val="22"/>
        </w:rPr>
        <w:t xml:space="preserve"> had to meet the two requirements as set  out  in  </w:t>
      </w:r>
      <w:r w:rsidRPr="001D6EFC">
        <w:rPr>
          <w:b/>
          <w:color w:val="0D0D0D" w:themeColor="text1" w:themeTint="F2"/>
          <w:sz w:val="22"/>
        </w:rPr>
        <w:t>Section 12B(3)(b)(i) – (ii)</w:t>
      </w:r>
      <w:r w:rsidRPr="001E1FEC">
        <w:rPr>
          <w:color w:val="0D0D0D" w:themeColor="text1" w:themeTint="F2"/>
          <w:sz w:val="22"/>
        </w:rPr>
        <w:t xml:space="preserve">  </w:t>
      </w:r>
      <w:r>
        <w:rPr>
          <w:color w:val="0D0D0D" w:themeColor="text1" w:themeTint="F2"/>
          <w:sz w:val="22"/>
        </w:rPr>
        <w:t>of the</w:t>
      </w:r>
      <w:r w:rsidRPr="001D6EFC">
        <w:rPr>
          <w:b/>
          <w:color w:val="0D0D0D" w:themeColor="text1" w:themeTint="F2"/>
          <w:sz w:val="22"/>
        </w:rPr>
        <w:t xml:space="preserve"> Labour Act </w:t>
      </w:r>
      <w:r w:rsidRPr="001D6EFC">
        <w:rPr>
          <w:b/>
          <w:color w:val="0D0D0D" w:themeColor="text1" w:themeTint="F2"/>
          <w:sz w:val="18"/>
        </w:rPr>
        <w:t>[Cap 28: 01]</w:t>
      </w:r>
      <w:r>
        <w:rPr>
          <w:color w:val="0D0D0D" w:themeColor="text1" w:themeTint="F2"/>
          <w:sz w:val="22"/>
        </w:rPr>
        <w:t>.  The first requirement is that one must prove that one had a legitimate expectation to be re-engaged and the second is that another person was engaged in one’s place.  The Arbitrator in this case found that the Applicants had failed to discharge the onus to prove other persons were employed by the Respondent when their contracts were not renewed,   In other words Applicants failed one rung of the test.</w:t>
      </w:r>
    </w:p>
    <w:p w:rsidR="00430F20" w:rsidRDefault="00430F20" w:rsidP="00430F20">
      <w:pPr>
        <w:spacing w:before="0" w:after="0" w:line="240" w:lineRule="auto"/>
        <w:ind w:firstLine="720"/>
        <w:rPr>
          <w:color w:val="0D0D0D" w:themeColor="text1" w:themeTint="F2"/>
          <w:sz w:val="22"/>
        </w:rPr>
      </w:pPr>
    </w:p>
    <w:p w:rsidR="00504D34" w:rsidRDefault="00504D34" w:rsidP="006D1038">
      <w:pPr>
        <w:spacing w:before="0" w:after="0"/>
        <w:ind w:firstLine="720"/>
        <w:rPr>
          <w:color w:val="0D0D0D" w:themeColor="text1" w:themeTint="F2"/>
          <w:sz w:val="22"/>
        </w:rPr>
      </w:pPr>
      <w:r>
        <w:rPr>
          <w:color w:val="0D0D0D" w:themeColor="text1" w:themeTint="F2"/>
          <w:sz w:val="22"/>
        </w:rPr>
        <w:t xml:space="preserve">The Applicants in their proposed appeal seek to challenge the decision/award on the basis that the Arbitrator failed to consider evidence of </w:t>
      </w:r>
      <w:proofErr w:type="spellStart"/>
      <w:r>
        <w:rPr>
          <w:color w:val="0D0D0D" w:themeColor="text1" w:themeTint="F2"/>
          <w:sz w:val="22"/>
        </w:rPr>
        <w:t>flighted</w:t>
      </w:r>
      <w:proofErr w:type="spellEnd"/>
      <w:r>
        <w:rPr>
          <w:color w:val="0D0D0D" w:themeColor="text1" w:themeTint="F2"/>
          <w:sz w:val="22"/>
        </w:rPr>
        <w:t xml:space="preserve"> advertisements of their positions.  The issue is clearly being raised as an afterthought. </w:t>
      </w:r>
      <w:r w:rsidR="006D1038">
        <w:rPr>
          <w:color w:val="0D0D0D" w:themeColor="text1" w:themeTint="F2"/>
          <w:sz w:val="22"/>
        </w:rPr>
        <w:t xml:space="preserve"> </w:t>
      </w:r>
      <w:r>
        <w:rPr>
          <w:color w:val="0D0D0D" w:themeColor="text1" w:themeTint="F2"/>
          <w:sz w:val="22"/>
        </w:rPr>
        <w:t xml:space="preserve">It has not been specifically pleaded to in Applicants’ </w:t>
      </w:r>
      <w:proofErr w:type="gramStart"/>
      <w:r>
        <w:rPr>
          <w:color w:val="0D0D0D" w:themeColor="text1" w:themeTint="F2"/>
          <w:sz w:val="22"/>
        </w:rPr>
        <w:t>papers,</w:t>
      </w:r>
      <w:proofErr w:type="gramEnd"/>
      <w:r>
        <w:rPr>
          <w:color w:val="0D0D0D" w:themeColor="text1" w:themeTint="F2"/>
          <w:sz w:val="22"/>
        </w:rPr>
        <w:t xml:space="preserve"> it is coming in through Applicants’ head of arguments.  Apart from that</w:t>
      </w:r>
      <w:r w:rsidR="00C54A38">
        <w:rPr>
          <w:color w:val="0D0D0D" w:themeColor="text1" w:themeTint="F2"/>
          <w:sz w:val="22"/>
        </w:rPr>
        <w:t xml:space="preserve"> it would appear</w:t>
      </w:r>
      <w:r>
        <w:rPr>
          <w:color w:val="0D0D0D" w:themeColor="text1" w:themeTint="F2"/>
          <w:sz w:val="22"/>
        </w:rPr>
        <w:t xml:space="preserve"> the issue was placed before the Arbitrator.  His findings were very clear that the claim</w:t>
      </w:r>
      <w:r w:rsidR="00C54A38">
        <w:rPr>
          <w:color w:val="0D0D0D" w:themeColor="text1" w:themeTint="F2"/>
          <w:sz w:val="22"/>
        </w:rPr>
        <w:t xml:space="preserve"> of legitimate expectation</w:t>
      </w:r>
      <w:r>
        <w:rPr>
          <w:color w:val="0D0D0D" w:themeColor="text1" w:themeTint="F2"/>
          <w:sz w:val="22"/>
        </w:rPr>
        <w:t xml:space="preserve"> was dismissed for lack of proof.</w:t>
      </w:r>
      <w:r w:rsidR="006D1038">
        <w:rPr>
          <w:color w:val="0D0D0D" w:themeColor="text1" w:themeTint="F2"/>
          <w:sz w:val="22"/>
        </w:rPr>
        <w:t xml:space="preserve"> The issue could not have been </w:t>
      </w:r>
      <w:r w:rsidR="00C54A38">
        <w:rPr>
          <w:color w:val="0D0D0D" w:themeColor="text1" w:themeTint="F2"/>
          <w:sz w:val="22"/>
        </w:rPr>
        <w:t>substantiated</w:t>
      </w:r>
      <w:r w:rsidR="006D1038">
        <w:rPr>
          <w:color w:val="0D0D0D" w:themeColor="text1" w:themeTint="F2"/>
          <w:sz w:val="22"/>
        </w:rPr>
        <w:t xml:space="preserve"> before the </w:t>
      </w:r>
      <w:r w:rsidR="00C54A38">
        <w:rPr>
          <w:color w:val="0D0D0D" w:themeColor="text1" w:themeTint="F2"/>
          <w:sz w:val="22"/>
        </w:rPr>
        <w:t>A</w:t>
      </w:r>
      <w:r w:rsidR="006D1038">
        <w:rPr>
          <w:color w:val="0D0D0D" w:themeColor="text1" w:themeTint="F2"/>
          <w:sz w:val="22"/>
        </w:rPr>
        <w:t>rbitrator.</w:t>
      </w:r>
      <w:r>
        <w:rPr>
          <w:color w:val="0D0D0D" w:themeColor="text1" w:themeTint="F2"/>
          <w:sz w:val="22"/>
        </w:rPr>
        <w:t xml:space="preserve"> The second ground clearly cannot succeed on </w:t>
      </w:r>
      <w:r w:rsidR="006D1038">
        <w:rPr>
          <w:color w:val="0D0D0D" w:themeColor="text1" w:themeTint="F2"/>
          <w:sz w:val="22"/>
        </w:rPr>
        <w:t>appeal</w:t>
      </w:r>
      <w:r>
        <w:rPr>
          <w:color w:val="0D0D0D" w:themeColor="text1" w:themeTint="F2"/>
          <w:sz w:val="22"/>
        </w:rPr>
        <w:t>.</w:t>
      </w:r>
    </w:p>
    <w:p w:rsidR="006D1038" w:rsidRDefault="006D1038" w:rsidP="006D1038">
      <w:pPr>
        <w:spacing w:before="0" w:after="0" w:line="240" w:lineRule="auto"/>
        <w:ind w:firstLine="720"/>
        <w:rPr>
          <w:color w:val="0D0D0D" w:themeColor="text1" w:themeTint="F2"/>
          <w:sz w:val="22"/>
        </w:rPr>
      </w:pPr>
    </w:p>
    <w:p w:rsidR="00504D34" w:rsidRDefault="00504D34" w:rsidP="006D1038">
      <w:pPr>
        <w:spacing w:before="0" w:after="0"/>
        <w:ind w:firstLine="720"/>
        <w:rPr>
          <w:color w:val="0D0D0D" w:themeColor="text1" w:themeTint="F2"/>
          <w:sz w:val="22"/>
        </w:rPr>
      </w:pPr>
      <w:r>
        <w:rPr>
          <w:color w:val="0D0D0D" w:themeColor="text1" w:themeTint="F2"/>
          <w:sz w:val="22"/>
        </w:rPr>
        <w:t>The issue of underpayment raised in proposed (3) was placed before the Arbitrator.  He again dismissed the claim for lack of proof.  He found as follows</w:t>
      </w:r>
      <w:r w:rsidR="006D1038">
        <w:rPr>
          <w:color w:val="0D0D0D" w:themeColor="text1" w:themeTint="F2"/>
          <w:sz w:val="22"/>
        </w:rPr>
        <w:t>:</w:t>
      </w:r>
    </w:p>
    <w:p w:rsidR="006D1038" w:rsidRDefault="006D1038" w:rsidP="00A20853">
      <w:pPr>
        <w:spacing w:before="0" w:after="0" w:line="240" w:lineRule="auto"/>
        <w:ind w:firstLine="720"/>
        <w:rPr>
          <w:color w:val="0D0D0D" w:themeColor="text1" w:themeTint="F2"/>
          <w:sz w:val="22"/>
        </w:rPr>
      </w:pPr>
    </w:p>
    <w:p w:rsidR="00504D34" w:rsidRDefault="00A20853" w:rsidP="00A20853">
      <w:pPr>
        <w:spacing w:before="0" w:after="0" w:line="240" w:lineRule="auto"/>
        <w:ind w:left="720"/>
        <w:rPr>
          <w:color w:val="0D0D0D" w:themeColor="text1" w:themeTint="F2"/>
          <w:sz w:val="22"/>
        </w:rPr>
      </w:pPr>
      <w:r>
        <w:rPr>
          <w:color w:val="0D0D0D" w:themeColor="text1" w:themeTint="F2"/>
          <w:sz w:val="22"/>
        </w:rPr>
        <w:t xml:space="preserve">“The fourth issue concerning an allegation of underpayments was not proven by the claimants. It would appear such an issue could border on sour grapes. The claimants </w:t>
      </w:r>
      <w:r>
        <w:rPr>
          <w:color w:val="0D0D0D" w:themeColor="text1" w:themeTint="F2"/>
          <w:sz w:val="22"/>
        </w:rPr>
        <w:lastRenderedPageBreak/>
        <w:t>did not demonstrate in their submissions and evidence any cogent basis for claiming underpayments and hence such claim remains unproven.”</w:t>
      </w:r>
    </w:p>
    <w:p w:rsidR="006D1038" w:rsidRDefault="006D1038" w:rsidP="000A2AE9">
      <w:pPr>
        <w:spacing w:before="0" w:after="0" w:line="240" w:lineRule="auto"/>
        <w:rPr>
          <w:color w:val="0D0D0D" w:themeColor="text1" w:themeTint="F2"/>
          <w:sz w:val="22"/>
        </w:rPr>
      </w:pPr>
    </w:p>
    <w:p w:rsidR="00504D34" w:rsidRDefault="00504D34" w:rsidP="006D1038">
      <w:pPr>
        <w:spacing w:before="0" w:after="0"/>
        <w:ind w:firstLine="720"/>
        <w:rPr>
          <w:color w:val="0D0D0D" w:themeColor="text1" w:themeTint="F2"/>
          <w:sz w:val="22"/>
        </w:rPr>
      </w:pPr>
      <w:r>
        <w:rPr>
          <w:color w:val="0D0D0D" w:themeColor="text1" w:themeTint="F2"/>
          <w:sz w:val="22"/>
        </w:rPr>
        <w:t xml:space="preserve">The Applicants seek to appeal on the basis that Arbitrator failed to consider their submissions that they were being underpaid.  In her founding affidavit Felicity </w:t>
      </w:r>
      <w:proofErr w:type="spellStart"/>
      <w:r>
        <w:rPr>
          <w:color w:val="0D0D0D" w:themeColor="text1" w:themeTint="F2"/>
          <w:sz w:val="22"/>
        </w:rPr>
        <w:t>Ndou</w:t>
      </w:r>
      <w:proofErr w:type="spellEnd"/>
      <w:r>
        <w:rPr>
          <w:color w:val="0D0D0D" w:themeColor="text1" w:themeTint="F2"/>
          <w:sz w:val="22"/>
        </w:rPr>
        <w:t xml:space="preserve"> submits as follows:</w:t>
      </w:r>
    </w:p>
    <w:p w:rsidR="006D1038" w:rsidRDefault="006D1038" w:rsidP="000A2AE9">
      <w:pPr>
        <w:spacing w:before="0" w:after="0" w:line="240" w:lineRule="auto"/>
        <w:rPr>
          <w:color w:val="0D0D0D" w:themeColor="text1" w:themeTint="F2"/>
          <w:sz w:val="22"/>
        </w:rPr>
      </w:pPr>
    </w:p>
    <w:p w:rsidR="00A20853" w:rsidRDefault="00A20853" w:rsidP="00A20853">
      <w:pPr>
        <w:spacing w:before="0" w:after="0" w:line="240" w:lineRule="auto"/>
        <w:ind w:left="1440" w:hanging="720"/>
        <w:rPr>
          <w:color w:val="0D0D0D" w:themeColor="text1" w:themeTint="F2"/>
          <w:sz w:val="22"/>
        </w:rPr>
      </w:pPr>
      <w:r>
        <w:rPr>
          <w:color w:val="0D0D0D" w:themeColor="text1" w:themeTint="F2"/>
          <w:sz w:val="22"/>
        </w:rPr>
        <w:t>“8.3.</w:t>
      </w:r>
      <w:r>
        <w:rPr>
          <w:color w:val="0D0D0D" w:themeColor="text1" w:themeTint="F2"/>
          <w:sz w:val="22"/>
        </w:rPr>
        <w:tab/>
        <w:t>The learned arbitrator also erred by finding but that the claim for underpayment of wages by the applicants could not stand despite the fact that the applicants had submitted that they were not being paid according to the NEC salary schedule which gazettes the minimum salaries for the food and Allied Industries. At the time when the matter was heard before the Honourable Arbitrator, the applicants had failed to secure the salary schedule from the NEC but as from the time they started working for the respondent their salaries were below the NEC salary schedule.”</w:t>
      </w:r>
    </w:p>
    <w:p w:rsidR="00A20853" w:rsidRDefault="00A20853" w:rsidP="00A20853">
      <w:pPr>
        <w:spacing w:before="0" w:after="0" w:line="240" w:lineRule="auto"/>
        <w:ind w:left="1440" w:hanging="720"/>
        <w:rPr>
          <w:color w:val="0D0D0D" w:themeColor="text1" w:themeTint="F2"/>
          <w:sz w:val="22"/>
        </w:rPr>
      </w:pPr>
    </w:p>
    <w:p w:rsidR="00A20853" w:rsidRDefault="00A20853" w:rsidP="00A20853">
      <w:pPr>
        <w:spacing w:before="0" w:after="0" w:line="240" w:lineRule="auto"/>
        <w:ind w:left="720"/>
        <w:rPr>
          <w:color w:val="0D0D0D" w:themeColor="text1" w:themeTint="F2"/>
          <w:sz w:val="22"/>
        </w:rPr>
      </w:pPr>
    </w:p>
    <w:p w:rsidR="00504D34" w:rsidRDefault="00504D34" w:rsidP="00172296">
      <w:pPr>
        <w:spacing w:before="0" w:after="0"/>
        <w:ind w:firstLine="720"/>
        <w:rPr>
          <w:color w:val="0D0D0D" w:themeColor="text1" w:themeTint="F2"/>
          <w:sz w:val="22"/>
        </w:rPr>
      </w:pPr>
      <w:r>
        <w:rPr>
          <w:color w:val="0D0D0D" w:themeColor="text1" w:themeTint="F2"/>
          <w:sz w:val="22"/>
        </w:rPr>
        <w:t xml:space="preserve">The Arbitrator found that in the absence of evidence he could not sustain the claims for underpayments.  The proposed ground is based on a bold submission made by the legal practitioner. The issue of underpayments however is an evidentiary issue. </w:t>
      </w:r>
      <w:r w:rsidR="007C6253">
        <w:rPr>
          <w:color w:val="0D0D0D" w:themeColor="text1" w:themeTint="F2"/>
          <w:sz w:val="22"/>
        </w:rPr>
        <w:t xml:space="preserve">No indication is made as to any evidence having been placed before the Arbitrator who then failed to consider such evidence. </w:t>
      </w:r>
      <w:r>
        <w:rPr>
          <w:color w:val="0D0D0D" w:themeColor="text1" w:themeTint="F2"/>
          <w:sz w:val="22"/>
        </w:rPr>
        <w:t xml:space="preserve">The ground is clearly meritless.  It has no prospects of success at all. </w:t>
      </w:r>
    </w:p>
    <w:p w:rsidR="00172296" w:rsidRDefault="00172296" w:rsidP="00172296">
      <w:pPr>
        <w:spacing w:before="0" w:after="0" w:line="240" w:lineRule="auto"/>
        <w:ind w:firstLine="720"/>
        <w:rPr>
          <w:color w:val="0D0D0D" w:themeColor="text1" w:themeTint="F2"/>
          <w:sz w:val="22"/>
        </w:rPr>
      </w:pPr>
    </w:p>
    <w:p w:rsidR="00504D34" w:rsidRDefault="00504D34" w:rsidP="00172296">
      <w:pPr>
        <w:spacing w:before="0" w:after="0"/>
        <w:ind w:firstLine="720"/>
        <w:rPr>
          <w:color w:val="0D0D0D" w:themeColor="text1" w:themeTint="F2"/>
          <w:sz w:val="22"/>
        </w:rPr>
      </w:pPr>
      <w:r>
        <w:rPr>
          <w:color w:val="0D0D0D" w:themeColor="text1" w:themeTint="F2"/>
          <w:sz w:val="22"/>
        </w:rPr>
        <w:t xml:space="preserve">The final but most important ground raised relates to the nature of the contract.  The Applicants propose to challenge the award on the basis that Arbitrator erred in finding that the Applicants’ contracts did not mutate to permanent contract where there was clearly evidence of </w:t>
      </w:r>
      <w:proofErr w:type="spellStart"/>
      <w:r>
        <w:rPr>
          <w:color w:val="0D0D0D" w:themeColor="text1" w:themeTint="F2"/>
          <w:sz w:val="22"/>
        </w:rPr>
        <w:t>casualisation</w:t>
      </w:r>
      <w:proofErr w:type="spellEnd"/>
      <w:r>
        <w:rPr>
          <w:color w:val="0D0D0D" w:themeColor="text1" w:themeTint="F2"/>
          <w:sz w:val="22"/>
        </w:rPr>
        <w:t xml:space="preserve"> of labour.  The Arbitrator dealt succinctly with the point.  He found on the basis of the contract documents the Applicants were employed on fixed term contracts of employment and not permanent contracts of employment.  He further reiterate</w:t>
      </w:r>
      <w:r w:rsidR="007C6253">
        <w:rPr>
          <w:color w:val="0D0D0D" w:themeColor="text1" w:themeTint="F2"/>
          <w:sz w:val="22"/>
        </w:rPr>
        <w:t>d</w:t>
      </w:r>
      <w:r>
        <w:rPr>
          <w:color w:val="0D0D0D" w:themeColor="text1" w:themeTint="F2"/>
          <w:sz w:val="22"/>
        </w:rPr>
        <w:t xml:space="preserve"> the position at law that the tribunal</w:t>
      </w:r>
      <w:r w:rsidR="007C6253">
        <w:rPr>
          <w:color w:val="0D0D0D" w:themeColor="text1" w:themeTint="F2"/>
          <w:sz w:val="22"/>
        </w:rPr>
        <w:t>s</w:t>
      </w:r>
      <w:r>
        <w:rPr>
          <w:color w:val="0D0D0D" w:themeColor="text1" w:themeTint="F2"/>
          <w:sz w:val="22"/>
        </w:rPr>
        <w:t xml:space="preserve"> as indeed</w:t>
      </w:r>
      <w:r w:rsidR="007C6253">
        <w:rPr>
          <w:color w:val="0D0D0D" w:themeColor="text1" w:themeTint="F2"/>
          <w:sz w:val="22"/>
        </w:rPr>
        <w:t xml:space="preserve"> courts</w:t>
      </w:r>
      <w:r>
        <w:rPr>
          <w:color w:val="0D0D0D" w:themeColor="text1" w:themeTint="F2"/>
          <w:sz w:val="22"/>
        </w:rPr>
        <w:t xml:space="preserve"> should not go outside the </w:t>
      </w:r>
      <w:proofErr w:type="spellStart"/>
      <w:r>
        <w:rPr>
          <w:color w:val="0D0D0D" w:themeColor="text1" w:themeTint="F2"/>
          <w:sz w:val="22"/>
        </w:rPr>
        <w:t>actrual</w:t>
      </w:r>
      <w:proofErr w:type="spellEnd"/>
      <w:r>
        <w:rPr>
          <w:color w:val="0D0D0D" w:themeColor="text1" w:themeTint="F2"/>
          <w:sz w:val="22"/>
        </w:rPr>
        <w:t xml:space="preserve"> contracts to create new contracts for the parties.  He referred to the celebrated case in </w:t>
      </w:r>
      <w:proofErr w:type="spellStart"/>
      <w:r w:rsidRPr="00C0606F">
        <w:rPr>
          <w:b/>
          <w:color w:val="0D0D0D" w:themeColor="text1" w:themeTint="F2"/>
          <w:sz w:val="22"/>
        </w:rPr>
        <w:t>Kundayi</w:t>
      </w:r>
      <w:proofErr w:type="spellEnd"/>
      <w:r w:rsidRPr="00C0606F">
        <w:rPr>
          <w:b/>
          <w:color w:val="0D0D0D" w:themeColor="text1" w:themeTint="F2"/>
          <w:sz w:val="22"/>
        </w:rPr>
        <w:t xml:space="preserve"> </w:t>
      </w:r>
      <w:proofErr w:type="spellStart"/>
      <w:r w:rsidRPr="00C0606F">
        <w:rPr>
          <w:b/>
          <w:color w:val="0D0D0D" w:themeColor="text1" w:themeTint="F2"/>
          <w:sz w:val="22"/>
        </w:rPr>
        <w:t>Magodora</w:t>
      </w:r>
      <w:proofErr w:type="spellEnd"/>
      <w:r w:rsidRPr="00C0606F">
        <w:rPr>
          <w:b/>
          <w:color w:val="0D0D0D" w:themeColor="text1" w:themeTint="F2"/>
          <w:sz w:val="22"/>
        </w:rPr>
        <w:t xml:space="preserve"> &amp; </w:t>
      </w:r>
      <w:proofErr w:type="spellStart"/>
      <w:r w:rsidRPr="00C0606F">
        <w:rPr>
          <w:b/>
          <w:color w:val="0D0D0D" w:themeColor="text1" w:themeTint="F2"/>
          <w:sz w:val="22"/>
        </w:rPr>
        <w:t>Ors</w:t>
      </w:r>
      <w:proofErr w:type="spellEnd"/>
      <w:r w:rsidRPr="00C0606F">
        <w:rPr>
          <w:b/>
          <w:color w:val="0D0D0D" w:themeColor="text1" w:themeTint="F2"/>
          <w:sz w:val="22"/>
        </w:rPr>
        <w:t xml:space="preserve"> v Care International Zimbabwe SC 24/14</w:t>
      </w:r>
      <w:r>
        <w:rPr>
          <w:color w:val="0D0D0D" w:themeColor="text1" w:themeTint="F2"/>
          <w:sz w:val="22"/>
        </w:rPr>
        <w:t>.  On this basis the Arbitrator dismissed the Applicants’ claim of having been employed as permanent employees.</w:t>
      </w:r>
    </w:p>
    <w:p w:rsidR="007C6253" w:rsidRDefault="007C6253" w:rsidP="000A2AE9">
      <w:pPr>
        <w:spacing w:before="0" w:after="0" w:line="240" w:lineRule="auto"/>
        <w:rPr>
          <w:color w:val="0D0D0D" w:themeColor="text1" w:themeTint="F2"/>
          <w:sz w:val="22"/>
        </w:rPr>
      </w:pPr>
    </w:p>
    <w:p w:rsidR="00504D34" w:rsidRDefault="00504D34" w:rsidP="00BB6C7D">
      <w:pPr>
        <w:spacing w:before="0" w:after="0"/>
        <w:ind w:firstLine="720"/>
        <w:rPr>
          <w:color w:val="0D0D0D" w:themeColor="text1" w:themeTint="F2"/>
          <w:sz w:val="22"/>
        </w:rPr>
      </w:pPr>
      <w:r>
        <w:rPr>
          <w:color w:val="0D0D0D" w:themeColor="text1" w:themeTint="F2"/>
          <w:sz w:val="22"/>
        </w:rPr>
        <w:t xml:space="preserve">In regards the argument </w:t>
      </w:r>
      <w:r w:rsidR="007C6253">
        <w:rPr>
          <w:color w:val="0D0D0D" w:themeColor="text1" w:themeTint="F2"/>
          <w:sz w:val="22"/>
        </w:rPr>
        <w:t>sought to be</w:t>
      </w:r>
      <w:r>
        <w:rPr>
          <w:color w:val="0D0D0D" w:themeColor="text1" w:themeTint="F2"/>
          <w:sz w:val="22"/>
        </w:rPr>
        <w:t xml:space="preserve"> presented</w:t>
      </w:r>
      <w:r w:rsidR="00C54A38">
        <w:rPr>
          <w:color w:val="0D0D0D" w:themeColor="text1" w:themeTint="F2"/>
          <w:sz w:val="22"/>
        </w:rPr>
        <w:t xml:space="preserve"> which is</w:t>
      </w:r>
      <w:r>
        <w:rPr>
          <w:color w:val="0D0D0D" w:themeColor="text1" w:themeTint="F2"/>
          <w:sz w:val="22"/>
        </w:rPr>
        <w:t xml:space="preserve"> based on</w:t>
      </w:r>
      <w:r w:rsidR="00C54A38">
        <w:rPr>
          <w:color w:val="0D0D0D" w:themeColor="text1" w:themeTint="F2"/>
          <w:sz w:val="22"/>
        </w:rPr>
        <w:t xml:space="preserve"> the</w:t>
      </w:r>
      <w:r>
        <w:rPr>
          <w:color w:val="0D0D0D" w:themeColor="text1" w:themeTint="F2"/>
          <w:sz w:val="22"/>
        </w:rPr>
        <w:t xml:space="preserve"> continuous renewal of fixed term contract the position appears well settled.  The Supreme Court held in the matter of </w:t>
      </w:r>
      <w:r w:rsidRPr="004B7AFD">
        <w:rPr>
          <w:b/>
          <w:color w:val="0D0D0D" w:themeColor="text1" w:themeTint="F2"/>
          <w:sz w:val="22"/>
        </w:rPr>
        <w:t>UZ UCF Collaborative Research Programme</w:t>
      </w:r>
      <w:r w:rsidR="007C6253">
        <w:rPr>
          <w:b/>
          <w:color w:val="0D0D0D" w:themeColor="text1" w:themeTint="F2"/>
          <w:sz w:val="22"/>
        </w:rPr>
        <w:t xml:space="preserve"> in Women’s Health v </w:t>
      </w:r>
      <w:proofErr w:type="spellStart"/>
      <w:r w:rsidR="007C6253">
        <w:rPr>
          <w:b/>
          <w:color w:val="0D0D0D" w:themeColor="text1" w:themeTint="F2"/>
          <w:sz w:val="22"/>
        </w:rPr>
        <w:t>Shamuyarira</w:t>
      </w:r>
      <w:proofErr w:type="spellEnd"/>
      <w:r w:rsidR="007C6253">
        <w:rPr>
          <w:b/>
          <w:color w:val="0D0D0D" w:themeColor="text1" w:themeTint="F2"/>
          <w:sz w:val="22"/>
        </w:rPr>
        <w:t xml:space="preserve"> SC 2010 (2) ZLR 127 </w:t>
      </w:r>
      <w:r>
        <w:rPr>
          <w:color w:val="0D0D0D" w:themeColor="text1" w:themeTint="F2"/>
          <w:sz w:val="22"/>
        </w:rPr>
        <w:t>that</w:t>
      </w:r>
      <w:r w:rsidR="00C54A38">
        <w:rPr>
          <w:color w:val="0D0D0D" w:themeColor="text1" w:themeTint="F2"/>
          <w:sz w:val="22"/>
        </w:rPr>
        <w:t xml:space="preserve"> the</w:t>
      </w:r>
      <w:r>
        <w:rPr>
          <w:color w:val="0D0D0D" w:themeColor="text1" w:themeTint="F2"/>
          <w:sz w:val="22"/>
        </w:rPr>
        <w:t xml:space="preserve"> fact of continuous renewal of a fixed term </w:t>
      </w:r>
      <w:r>
        <w:rPr>
          <w:color w:val="0D0D0D" w:themeColor="text1" w:themeTint="F2"/>
          <w:sz w:val="22"/>
        </w:rPr>
        <w:lastRenderedPageBreak/>
        <w:t xml:space="preserve">contract does not in itself result in the mutation of </w:t>
      </w:r>
      <w:r w:rsidR="007C6253">
        <w:rPr>
          <w:color w:val="0D0D0D" w:themeColor="text1" w:themeTint="F2"/>
          <w:sz w:val="22"/>
        </w:rPr>
        <w:t>a fixed term</w:t>
      </w:r>
      <w:r>
        <w:rPr>
          <w:color w:val="0D0D0D" w:themeColor="text1" w:themeTint="F2"/>
          <w:sz w:val="22"/>
        </w:rPr>
        <w:t xml:space="preserve"> contract to a permanent contract.  The Applicants once again have no prospects of success on that ground.</w:t>
      </w:r>
    </w:p>
    <w:p w:rsidR="00BB6C7D" w:rsidRDefault="00BB6C7D" w:rsidP="007C6253">
      <w:pPr>
        <w:spacing w:before="0" w:after="0" w:line="240" w:lineRule="auto"/>
        <w:ind w:firstLine="720"/>
        <w:rPr>
          <w:color w:val="0D0D0D" w:themeColor="text1" w:themeTint="F2"/>
          <w:sz w:val="22"/>
        </w:rPr>
      </w:pPr>
    </w:p>
    <w:p w:rsidR="00504D34" w:rsidRDefault="00504D34" w:rsidP="00BB6C7D">
      <w:pPr>
        <w:spacing w:before="0" w:after="0"/>
        <w:ind w:firstLine="720"/>
        <w:rPr>
          <w:color w:val="0D0D0D" w:themeColor="text1" w:themeTint="F2"/>
          <w:sz w:val="22"/>
        </w:rPr>
      </w:pPr>
      <w:r>
        <w:rPr>
          <w:color w:val="0D0D0D" w:themeColor="text1" w:themeTint="F2"/>
          <w:sz w:val="22"/>
        </w:rPr>
        <w:t>The Applicants having failed to tender a plausible explanation for the lack of compliance with the rules of court and also having dim prospects of success in the proposed appeal</w:t>
      </w:r>
      <w:r w:rsidR="00BB6C7D">
        <w:rPr>
          <w:color w:val="0D0D0D" w:themeColor="text1" w:themeTint="F2"/>
          <w:sz w:val="22"/>
        </w:rPr>
        <w:t xml:space="preserve"> it</w:t>
      </w:r>
      <w:r>
        <w:rPr>
          <w:color w:val="0D0D0D" w:themeColor="text1" w:themeTint="F2"/>
          <w:sz w:val="22"/>
        </w:rPr>
        <w:t xml:space="preserve"> follows that the application for </w:t>
      </w:r>
      <w:proofErr w:type="spellStart"/>
      <w:r>
        <w:rPr>
          <w:color w:val="0D0D0D" w:themeColor="text1" w:themeTint="F2"/>
          <w:sz w:val="22"/>
        </w:rPr>
        <w:t>condonation</w:t>
      </w:r>
      <w:proofErr w:type="spellEnd"/>
      <w:r>
        <w:rPr>
          <w:color w:val="0D0D0D" w:themeColor="text1" w:themeTint="F2"/>
          <w:sz w:val="22"/>
        </w:rPr>
        <w:t xml:space="preserve"> ought to fail.  </w:t>
      </w:r>
      <w:r w:rsidR="00C54A38">
        <w:rPr>
          <w:color w:val="0D0D0D" w:themeColor="text1" w:themeTint="F2"/>
          <w:sz w:val="22"/>
        </w:rPr>
        <w:t>C</w:t>
      </w:r>
      <w:r>
        <w:rPr>
          <w:color w:val="0D0D0D" w:themeColor="text1" w:themeTint="F2"/>
          <w:sz w:val="22"/>
        </w:rPr>
        <w:t xml:space="preserve">onsidering that </w:t>
      </w:r>
      <w:r w:rsidR="0094306F">
        <w:rPr>
          <w:color w:val="0D0D0D" w:themeColor="text1" w:themeTint="F2"/>
          <w:sz w:val="22"/>
        </w:rPr>
        <w:t>it</w:t>
      </w:r>
      <w:r>
        <w:rPr>
          <w:color w:val="0D0D0D" w:themeColor="text1" w:themeTint="F2"/>
          <w:sz w:val="22"/>
        </w:rPr>
        <w:t xml:space="preserve"> ha</w:t>
      </w:r>
      <w:r w:rsidR="0094306F">
        <w:rPr>
          <w:color w:val="0D0D0D" w:themeColor="text1" w:themeTint="F2"/>
          <w:sz w:val="22"/>
        </w:rPr>
        <w:t>s</w:t>
      </w:r>
      <w:r>
        <w:rPr>
          <w:color w:val="0D0D0D" w:themeColor="text1" w:themeTint="F2"/>
          <w:sz w:val="22"/>
        </w:rPr>
        <w:t xml:space="preserve"> had to incur further unnecessary costs through these two further applications</w:t>
      </w:r>
      <w:r w:rsidR="00BB6C7D">
        <w:rPr>
          <w:color w:val="0D0D0D" w:themeColor="text1" w:themeTint="F2"/>
          <w:sz w:val="22"/>
        </w:rPr>
        <w:t xml:space="preserve"> (i.e. the application for </w:t>
      </w:r>
      <w:proofErr w:type="spellStart"/>
      <w:r w:rsidR="00BB6C7D">
        <w:rPr>
          <w:color w:val="0D0D0D" w:themeColor="text1" w:themeTint="F2"/>
          <w:sz w:val="22"/>
        </w:rPr>
        <w:t>condonation</w:t>
      </w:r>
      <w:proofErr w:type="spellEnd"/>
      <w:r w:rsidR="00BB6C7D">
        <w:rPr>
          <w:color w:val="0D0D0D" w:themeColor="text1" w:themeTint="F2"/>
          <w:sz w:val="22"/>
        </w:rPr>
        <w:t xml:space="preserve"> for late noting of an appeal which has been held in abeyance and the present application)</w:t>
      </w:r>
      <w:r>
        <w:rPr>
          <w:color w:val="0D0D0D" w:themeColor="text1" w:themeTint="F2"/>
          <w:sz w:val="22"/>
        </w:rPr>
        <w:t xml:space="preserve"> </w:t>
      </w:r>
      <w:r w:rsidR="00C54A38">
        <w:rPr>
          <w:color w:val="0D0D0D" w:themeColor="text1" w:themeTint="F2"/>
          <w:sz w:val="22"/>
        </w:rPr>
        <w:t xml:space="preserve">the </w:t>
      </w:r>
      <w:r w:rsidR="0094306F">
        <w:rPr>
          <w:color w:val="0D0D0D" w:themeColor="text1" w:themeTint="F2"/>
          <w:sz w:val="22"/>
        </w:rPr>
        <w:t>R</w:t>
      </w:r>
      <w:r w:rsidR="00C54A38">
        <w:rPr>
          <w:color w:val="0D0D0D" w:themeColor="text1" w:themeTint="F2"/>
          <w:sz w:val="22"/>
        </w:rPr>
        <w:t>espondent has</w:t>
      </w:r>
      <w:r>
        <w:rPr>
          <w:color w:val="0D0D0D" w:themeColor="text1" w:themeTint="F2"/>
          <w:sz w:val="22"/>
        </w:rPr>
        <w:t xml:space="preserve"> asked the court to award costs on a legal practitioner and client scale.</w:t>
      </w:r>
    </w:p>
    <w:p w:rsidR="00BB6C7D" w:rsidRDefault="00BB6C7D" w:rsidP="00BB6C7D">
      <w:pPr>
        <w:spacing w:before="0" w:after="0"/>
        <w:ind w:firstLine="720"/>
        <w:rPr>
          <w:color w:val="0D0D0D" w:themeColor="text1" w:themeTint="F2"/>
          <w:sz w:val="22"/>
        </w:rPr>
      </w:pPr>
    </w:p>
    <w:p w:rsidR="00504D34" w:rsidRDefault="00504D34" w:rsidP="00BB6C7D">
      <w:pPr>
        <w:spacing w:before="0" w:after="0"/>
        <w:ind w:firstLine="720"/>
        <w:rPr>
          <w:color w:val="0D0D0D" w:themeColor="text1" w:themeTint="F2"/>
          <w:sz w:val="22"/>
        </w:rPr>
      </w:pPr>
      <w:r w:rsidRPr="00494472">
        <w:rPr>
          <w:b/>
          <w:color w:val="0D0D0D" w:themeColor="text1" w:themeTint="F2"/>
          <w:sz w:val="22"/>
        </w:rPr>
        <w:t xml:space="preserve">Section </w:t>
      </w:r>
      <w:r w:rsidR="00BB6C7D">
        <w:rPr>
          <w:b/>
          <w:color w:val="0D0D0D" w:themeColor="text1" w:themeTint="F2"/>
          <w:sz w:val="22"/>
        </w:rPr>
        <w:t>89 (3)</w:t>
      </w:r>
      <w:r>
        <w:rPr>
          <w:color w:val="0D0D0D" w:themeColor="text1" w:themeTint="F2"/>
          <w:sz w:val="22"/>
        </w:rPr>
        <w:t xml:space="preserve"> of the </w:t>
      </w:r>
      <w:r w:rsidRPr="00494472">
        <w:rPr>
          <w:b/>
          <w:color w:val="0D0D0D" w:themeColor="text1" w:themeTint="F2"/>
          <w:sz w:val="22"/>
        </w:rPr>
        <w:t>Labour Act</w:t>
      </w:r>
      <w:r w:rsidR="00BB6C7D">
        <w:rPr>
          <w:b/>
          <w:color w:val="0D0D0D" w:themeColor="text1" w:themeTint="F2"/>
          <w:sz w:val="22"/>
        </w:rPr>
        <w:t xml:space="preserve"> [Cap 28:01]</w:t>
      </w:r>
      <w:r w:rsidRPr="00494472">
        <w:rPr>
          <w:b/>
          <w:color w:val="0D0D0D" w:themeColor="text1" w:themeTint="F2"/>
          <w:sz w:val="22"/>
        </w:rPr>
        <w:t xml:space="preserve"> </w:t>
      </w:r>
      <w:r>
        <w:rPr>
          <w:color w:val="0D0D0D" w:themeColor="text1" w:themeTint="F2"/>
          <w:sz w:val="22"/>
        </w:rPr>
        <w:t>provide</w:t>
      </w:r>
      <w:r w:rsidR="00C54A38">
        <w:rPr>
          <w:color w:val="0D0D0D" w:themeColor="text1" w:themeTint="F2"/>
          <w:sz w:val="22"/>
        </w:rPr>
        <w:t>s</w:t>
      </w:r>
      <w:r>
        <w:rPr>
          <w:color w:val="0D0D0D" w:themeColor="text1" w:themeTint="F2"/>
          <w:sz w:val="22"/>
        </w:rPr>
        <w:t xml:space="preserve"> that this court may make an order of costs.  Considerations of law and fairness however dictate that an order of costs on the ordinary scale should be awarded in this case. It is apparent the Applicants were aggrieved and genuinely believed the course of action they were taking would yield the desired results.  Their actions were not motivated by malice. Rather they seem to have suffered due to receiving bad advice from their legal practitioner.</w:t>
      </w:r>
    </w:p>
    <w:p w:rsidR="00504D34" w:rsidRDefault="00504D34" w:rsidP="000A2AE9">
      <w:pPr>
        <w:spacing w:before="0" w:after="0" w:line="240" w:lineRule="auto"/>
        <w:rPr>
          <w:color w:val="0D0D0D" w:themeColor="text1" w:themeTint="F2"/>
          <w:sz w:val="22"/>
        </w:rPr>
      </w:pPr>
    </w:p>
    <w:p w:rsidR="00504D34" w:rsidRDefault="00504D34" w:rsidP="00BB6C7D">
      <w:pPr>
        <w:spacing w:before="0" w:after="0" w:line="240" w:lineRule="auto"/>
        <w:ind w:left="720"/>
        <w:rPr>
          <w:color w:val="0D0D0D" w:themeColor="text1" w:themeTint="F2"/>
          <w:sz w:val="22"/>
        </w:rPr>
      </w:pPr>
      <w:r>
        <w:rPr>
          <w:color w:val="0D0D0D" w:themeColor="text1" w:themeTint="F2"/>
          <w:sz w:val="22"/>
        </w:rPr>
        <w:t>In the circumstances the following order is made:</w:t>
      </w:r>
    </w:p>
    <w:p w:rsidR="00BB6C7D" w:rsidRDefault="00BB6C7D" w:rsidP="00BB6C7D">
      <w:pPr>
        <w:spacing w:before="0" w:after="0" w:line="240" w:lineRule="auto"/>
        <w:ind w:left="720"/>
        <w:rPr>
          <w:color w:val="0D0D0D" w:themeColor="text1" w:themeTint="F2"/>
          <w:sz w:val="22"/>
        </w:rPr>
      </w:pPr>
    </w:p>
    <w:p w:rsidR="00BB6C7D" w:rsidRDefault="00BB6C7D" w:rsidP="00BB6C7D">
      <w:pPr>
        <w:spacing w:before="0" w:after="0" w:line="240" w:lineRule="auto"/>
        <w:ind w:left="720"/>
        <w:rPr>
          <w:color w:val="0D0D0D" w:themeColor="text1" w:themeTint="F2"/>
          <w:sz w:val="22"/>
        </w:rPr>
      </w:pPr>
    </w:p>
    <w:p w:rsidR="00504D34" w:rsidRDefault="00504D34" w:rsidP="00BB6C7D">
      <w:pPr>
        <w:spacing w:before="0" w:after="0"/>
        <w:ind w:firstLine="720"/>
        <w:rPr>
          <w:color w:val="0D0D0D" w:themeColor="text1" w:themeTint="F2"/>
          <w:sz w:val="22"/>
        </w:rPr>
      </w:pPr>
      <w:r>
        <w:rPr>
          <w:color w:val="0D0D0D" w:themeColor="text1" w:themeTint="F2"/>
          <w:sz w:val="22"/>
        </w:rPr>
        <w:t xml:space="preserve">Application for </w:t>
      </w:r>
      <w:proofErr w:type="spellStart"/>
      <w:r>
        <w:rPr>
          <w:color w:val="0D0D0D" w:themeColor="text1" w:themeTint="F2"/>
          <w:sz w:val="22"/>
        </w:rPr>
        <w:t>Condonation</w:t>
      </w:r>
      <w:proofErr w:type="spellEnd"/>
      <w:r>
        <w:rPr>
          <w:color w:val="0D0D0D" w:themeColor="text1" w:themeTint="F2"/>
          <w:sz w:val="22"/>
        </w:rPr>
        <w:t xml:space="preserve"> of late Filing of Heads of Arguments is dismissed with costs at the ordinary scale.</w:t>
      </w:r>
    </w:p>
    <w:p w:rsidR="00BB6C7D" w:rsidRDefault="00BB6C7D" w:rsidP="00BB6C7D">
      <w:pPr>
        <w:spacing w:before="0" w:after="0"/>
        <w:rPr>
          <w:color w:val="0D0D0D" w:themeColor="text1" w:themeTint="F2"/>
          <w:sz w:val="22"/>
        </w:rPr>
      </w:pPr>
    </w:p>
    <w:p w:rsidR="00BB6C7D" w:rsidRDefault="00BB6C7D" w:rsidP="00BB6C7D">
      <w:pPr>
        <w:spacing w:before="0" w:after="0"/>
        <w:rPr>
          <w:color w:val="0D0D0D" w:themeColor="text1" w:themeTint="F2"/>
          <w:sz w:val="22"/>
        </w:rPr>
      </w:pPr>
    </w:p>
    <w:p w:rsidR="00BB6C7D" w:rsidRDefault="00BB6C7D" w:rsidP="00BB6C7D">
      <w:pPr>
        <w:spacing w:before="0" w:after="0"/>
        <w:rPr>
          <w:color w:val="0D0D0D" w:themeColor="text1" w:themeTint="F2"/>
          <w:sz w:val="22"/>
        </w:rPr>
      </w:pPr>
    </w:p>
    <w:p w:rsidR="00BB6C7D" w:rsidRDefault="00BB6C7D" w:rsidP="00BB6C7D">
      <w:pPr>
        <w:spacing w:before="0" w:after="0"/>
        <w:rPr>
          <w:color w:val="0D0D0D" w:themeColor="text1" w:themeTint="F2"/>
          <w:sz w:val="22"/>
        </w:rPr>
      </w:pPr>
      <w:proofErr w:type="spellStart"/>
      <w:r>
        <w:rPr>
          <w:i/>
          <w:color w:val="0D0D0D" w:themeColor="text1" w:themeTint="F2"/>
          <w:sz w:val="22"/>
        </w:rPr>
        <w:t>Mugiya</w:t>
      </w:r>
      <w:proofErr w:type="spellEnd"/>
      <w:r>
        <w:rPr>
          <w:i/>
          <w:color w:val="0D0D0D" w:themeColor="text1" w:themeTint="F2"/>
          <w:sz w:val="22"/>
        </w:rPr>
        <w:t xml:space="preserve"> &amp; </w:t>
      </w:r>
      <w:proofErr w:type="spellStart"/>
      <w:r>
        <w:rPr>
          <w:i/>
          <w:color w:val="0D0D0D" w:themeColor="text1" w:themeTint="F2"/>
          <w:sz w:val="22"/>
        </w:rPr>
        <w:t>Maderaga</w:t>
      </w:r>
      <w:proofErr w:type="spellEnd"/>
      <w:r>
        <w:rPr>
          <w:i/>
          <w:color w:val="0D0D0D" w:themeColor="text1" w:themeTint="F2"/>
          <w:sz w:val="22"/>
        </w:rPr>
        <w:t xml:space="preserve"> Law Chambers</w:t>
      </w:r>
      <w:r>
        <w:rPr>
          <w:color w:val="0D0D0D" w:themeColor="text1" w:themeTint="F2"/>
          <w:sz w:val="22"/>
        </w:rPr>
        <w:t>, applicant’s legal practitioners</w:t>
      </w:r>
    </w:p>
    <w:p w:rsidR="00BB6C7D" w:rsidRPr="00BB6C7D" w:rsidRDefault="00BB6C7D" w:rsidP="00BB6C7D">
      <w:pPr>
        <w:spacing w:before="0" w:after="0"/>
        <w:rPr>
          <w:color w:val="0D0D0D" w:themeColor="text1" w:themeTint="F2"/>
          <w:sz w:val="22"/>
        </w:rPr>
      </w:pPr>
      <w:r>
        <w:rPr>
          <w:i/>
          <w:color w:val="0D0D0D" w:themeColor="text1" w:themeTint="F2"/>
          <w:sz w:val="22"/>
        </w:rPr>
        <w:t>Gill</w:t>
      </w:r>
      <w:r>
        <w:rPr>
          <w:color w:val="0D0D0D" w:themeColor="text1" w:themeTint="F2"/>
          <w:sz w:val="22"/>
        </w:rPr>
        <w:t xml:space="preserve">, </w:t>
      </w:r>
      <w:proofErr w:type="spellStart"/>
      <w:r>
        <w:rPr>
          <w:i/>
          <w:color w:val="0D0D0D" w:themeColor="text1" w:themeTint="F2"/>
          <w:sz w:val="22"/>
        </w:rPr>
        <w:t>Godlonton</w:t>
      </w:r>
      <w:proofErr w:type="spellEnd"/>
      <w:r>
        <w:rPr>
          <w:i/>
          <w:color w:val="0D0D0D" w:themeColor="text1" w:themeTint="F2"/>
          <w:sz w:val="22"/>
        </w:rPr>
        <w:t xml:space="preserve"> &amp; </w:t>
      </w:r>
      <w:proofErr w:type="spellStart"/>
      <w:r>
        <w:rPr>
          <w:i/>
          <w:color w:val="0D0D0D" w:themeColor="text1" w:themeTint="F2"/>
          <w:sz w:val="22"/>
        </w:rPr>
        <w:t>Gerrans</w:t>
      </w:r>
      <w:proofErr w:type="spellEnd"/>
      <w:r>
        <w:rPr>
          <w:color w:val="0D0D0D" w:themeColor="text1" w:themeTint="F2"/>
          <w:sz w:val="22"/>
        </w:rPr>
        <w:t>, respondent’s legal practitioners</w:t>
      </w:r>
    </w:p>
    <w:p w:rsidR="00504D34" w:rsidRPr="00527287" w:rsidRDefault="00504D34" w:rsidP="000A2AE9">
      <w:pPr>
        <w:spacing w:before="0" w:after="0" w:line="240" w:lineRule="auto"/>
        <w:rPr>
          <w:color w:val="0D0D0D" w:themeColor="text1" w:themeTint="F2"/>
          <w:sz w:val="22"/>
        </w:rPr>
      </w:pPr>
    </w:p>
    <w:p w:rsidR="00FA023C" w:rsidRDefault="00FA023C" w:rsidP="000A2AE9">
      <w:pPr>
        <w:spacing w:before="0" w:after="0" w:line="240" w:lineRule="auto"/>
      </w:pPr>
    </w:p>
    <w:sectPr w:rsidR="00FA023C" w:rsidSect="003C6578">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98" w:rsidRDefault="00333298" w:rsidP="00BB6C7D">
      <w:pPr>
        <w:spacing w:before="0" w:after="0" w:line="240" w:lineRule="auto"/>
      </w:pPr>
      <w:r>
        <w:separator/>
      </w:r>
    </w:p>
  </w:endnote>
  <w:endnote w:type="continuationSeparator" w:id="0">
    <w:p w:rsidR="00333298" w:rsidRDefault="00333298" w:rsidP="00BB6C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98" w:rsidRDefault="00333298" w:rsidP="00BB6C7D">
      <w:pPr>
        <w:spacing w:before="0" w:after="0" w:line="240" w:lineRule="auto"/>
      </w:pPr>
      <w:r>
        <w:separator/>
      </w:r>
    </w:p>
  </w:footnote>
  <w:footnote w:type="continuationSeparator" w:id="0">
    <w:p w:rsidR="00333298" w:rsidRDefault="00333298" w:rsidP="00BB6C7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659143358"/>
      <w:docPartObj>
        <w:docPartGallery w:val="Page Numbers (Top of Page)"/>
        <w:docPartUnique/>
      </w:docPartObj>
    </w:sdtPr>
    <w:sdtEndPr>
      <w:rPr>
        <w:b w:val="0"/>
        <w:noProof/>
        <w:sz w:val="20"/>
        <w:szCs w:val="20"/>
      </w:rPr>
    </w:sdtEndPr>
    <w:sdtContent>
      <w:p w:rsidR="00BB6C7D" w:rsidRPr="00F75E00" w:rsidRDefault="00BB6C7D">
        <w:pPr>
          <w:pStyle w:val="Header"/>
          <w:jc w:val="right"/>
          <w:rPr>
            <w:b/>
            <w:noProof/>
            <w:sz w:val="20"/>
            <w:szCs w:val="20"/>
          </w:rPr>
        </w:pPr>
        <w:r w:rsidRPr="00F75E00">
          <w:rPr>
            <w:b/>
            <w:sz w:val="20"/>
            <w:szCs w:val="20"/>
          </w:rPr>
          <w:fldChar w:fldCharType="begin"/>
        </w:r>
        <w:r w:rsidRPr="00F75E00">
          <w:rPr>
            <w:b/>
            <w:sz w:val="20"/>
            <w:szCs w:val="20"/>
          </w:rPr>
          <w:instrText xml:space="preserve"> PAGE   \* MERGEFORMAT </w:instrText>
        </w:r>
        <w:r w:rsidRPr="00F75E00">
          <w:rPr>
            <w:b/>
            <w:sz w:val="20"/>
            <w:szCs w:val="20"/>
          </w:rPr>
          <w:fldChar w:fldCharType="separate"/>
        </w:r>
        <w:r w:rsidR="00975139">
          <w:rPr>
            <w:b/>
            <w:noProof/>
            <w:sz w:val="20"/>
            <w:szCs w:val="20"/>
          </w:rPr>
          <w:t>2</w:t>
        </w:r>
        <w:r w:rsidRPr="00F75E00">
          <w:rPr>
            <w:b/>
            <w:noProof/>
            <w:sz w:val="20"/>
            <w:szCs w:val="20"/>
          </w:rPr>
          <w:fldChar w:fldCharType="end"/>
        </w:r>
      </w:p>
      <w:p w:rsidR="00466BFB" w:rsidRPr="00F75E00" w:rsidRDefault="00466BFB">
        <w:pPr>
          <w:pStyle w:val="Header"/>
          <w:jc w:val="right"/>
          <w:rPr>
            <w:b/>
            <w:noProof/>
            <w:sz w:val="20"/>
            <w:szCs w:val="20"/>
          </w:rPr>
        </w:pPr>
        <w:r w:rsidRPr="00F75E00">
          <w:rPr>
            <w:b/>
            <w:noProof/>
            <w:sz w:val="20"/>
            <w:szCs w:val="20"/>
          </w:rPr>
          <w:t>JUDGMENT NO LC/H/</w:t>
        </w:r>
        <w:r w:rsidR="00317B5C">
          <w:rPr>
            <w:b/>
            <w:noProof/>
            <w:sz w:val="20"/>
            <w:szCs w:val="20"/>
          </w:rPr>
          <w:t>660</w:t>
        </w:r>
        <w:r w:rsidRPr="00F75E00">
          <w:rPr>
            <w:b/>
            <w:noProof/>
            <w:sz w:val="20"/>
            <w:szCs w:val="20"/>
          </w:rPr>
          <w:t>/2016</w:t>
        </w:r>
      </w:p>
      <w:p w:rsidR="00BB6C7D" w:rsidRPr="00466BFB" w:rsidRDefault="00466BFB">
        <w:pPr>
          <w:pStyle w:val="Header"/>
          <w:jc w:val="right"/>
          <w:rPr>
            <w:sz w:val="20"/>
            <w:szCs w:val="20"/>
          </w:rPr>
        </w:pPr>
        <w:r w:rsidRPr="00F75E00">
          <w:rPr>
            <w:b/>
            <w:noProof/>
            <w:sz w:val="20"/>
            <w:szCs w:val="20"/>
          </w:rPr>
          <w:t>CASE NO LC/H/APP/1273/2015</w:t>
        </w:r>
      </w:p>
    </w:sdtContent>
  </w:sdt>
  <w:p w:rsidR="00BB6C7D" w:rsidRDefault="00BB6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2CC3"/>
    <w:multiLevelType w:val="hybridMultilevel"/>
    <w:tmpl w:val="6004D2B2"/>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E842707"/>
    <w:multiLevelType w:val="hybridMultilevel"/>
    <w:tmpl w:val="0B74CC7E"/>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34"/>
    <w:rsid w:val="00022BC7"/>
    <w:rsid w:val="000A2AE9"/>
    <w:rsid w:val="00172296"/>
    <w:rsid w:val="001969A1"/>
    <w:rsid w:val="002B62AC"/>
    <w:rsid w:val="00306ACE"/>
    <w:rsid w:val="00317B5C"/>
    <w:rsid w:val="00333298"/>
    <w:rsid w:val="00337089"/>
    <w:rsid w:val="003C6578"/>
    <w:rsid w:val="00430F20"/>
    <w:rsid w:val="00466BFB"/>
    <w:rsid w:val="00504D34"/>
    <w:rsid w:val="00550C65"/>
    <w:rsid w:val="006D1038"/>
    <w:rsid w:val="007C6253"/>
    <w:rsid w:val="008F5AFB"/>
    <w:rsid w:val="00916497"/>
    <w:rsid w:val="0094306F"/>
    <w:rsid w:val="00975139"/>
    <w:rsid w:val="00A20853"/>
    <w:rsid w:val="00BB6C7D"/>
    <w:rsid w:val="00C54A38"/>
    <w:rsid w:val="00D539B4"/>
    <w:rsid w:val="00DA1C1C"/>
    <w:rsid w:val="00DC3AE0"/>
    <w:rsid w:val="00F31203"/>
    <w:rsid w:val="00F75E00"/>
    <w:rsid w:val="00FA02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34"/>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34"/>
    <w:pPr>
      <w:ind w:left="720"/>
      <w:contextualSpacing/>
    </w:pPr>
  </w:style>
  <w:style w:type="paragraph" w:styleId="Header">
    <w:name w:val="header"/>
    <w:basedOn w:val="Normal"/>
    <w:link w:val="HeaderChar"/>
    <w:uiPriority w:val="99"/>
    <w:unhideWhenUsed/>
    <w:rsid w:val="00BB6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C7D"/>
    <w:rPr>
      <w:rFonts w:ascii="Tahoma" w:hAnsi="Tahoma"/>
      <w:color w:val="7F7F7F" w:themeColor="text1" w:themeTint="80"/>
      <w:sz w:val="24"/>
    </w:rPr>
  </w:style>
  <w:style w:type="paragraph" w:styleId="Footer">
    <w:name w:val="footer"/>
    <w:basedOn w:val="Normal"/>
    <w:link w:val="FooterChar"/>
    <w:uiPriority w:val="99"/>
    <w:unhideWhenUsed/>
    <w:rsid w:val="00BB6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C7D"/>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3C6578"/>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C6578"/>
    <w:rPr>
      <w:rFonts w:ascii="Tahoma" w:hAnsi="Tahoma" w:cs="Tahoma"/>
      <w:color w:val="7F7F7F" w:themeColor="text1" w:themeTint="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34"/>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34"/>
    <w:pPr>
      <w:ind w:left="720"/>
      <w:contextualSpacing/>
    </w:pPr>
  </w:style>
  <w:style w:type="paragraph" w:styleId="Header">
    <w:name w:val="header"/>
    <w:basedOn w:val="Normal"/>
    <w:link w:val="HeaderChar"/>
    <w:uiPriority w:val="99"/>
    <w:unhideWhenUsed/>
    <w:rsid w:val="00BB6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C7D"/>
    <w:rPr>
      <w:rFonts w:ascii="Tahoma" w:hAnsi="Tahoma"/>
      <w:color w:val="7F7F7F" w:themeColor="text1" w:themeTint="80"/>
      <w:sz w:val="24"/>
    </w:rPr>
  </w:style>
  <w:style w:type="paragraph" w:styleId="Footer">
    <w:name w:val="footer"/>
    <w:basedOn w:val="Normal"/>
    <w:link w:val="FooterChar"/>
    <w:uiPriority w:val="99"/>
    <w:unhideWhenUsed/>
    <w:rsid w:val="00BB6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C7D"/>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3C6578"/>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C6578"/>
    <w:rPr>
      <w:rFonts w:ascii="Tahoma" w:hAnsi="Tahoma" w:cs="Tahoma"/>
      <w:color w:val="7F7F7F" w:themeColor="text1" w:themeTint="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2016-10-17T10:24:00Z</cp:lastPrinted>
  <dcterms:created xsi:type="dcterms:W3CDTF">2016-10-10T10:21:00Z</dcterms:created>
  <dcterms:modified xsi:type="dcterms:W3CDTF">2016-10-19T10:01:00Z</dcterms:modified>
</cp:coreProperties>
</file>