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A41" w:rsidRPr="00F83321" w:rsidRDefault="00232A41" w:rsidP="00232A41">
      <w:pPr>
        <w:spacing w:after="0" w:line="240" w:lineRule="auto"/>
        <w:rPr>
          <w:rFonts w:ascii="Times New Roman" w:hAnsi="Times New Roman" w:cs="Times New Roman"/>
          <w:sz w:val="24"/>
        </w:rPr>
      </w:pPr>
      <w:bookmarkStart w:id="0" w:name="_GoBack"/>
      <w:bookmarkEnd w:id="0"/>
      <w:r>
        <w:rPr>
          <w:rFonts w:ascii="Times New Roman" w:hAnsi="Times New Roman" w:cs="Times New Roman"/>
          <w:sz w:val="24"/>
        </w:rPr>
        <w:t>TIMOTHY MUTIZWA DZORWA N.O</w:t>
      </w:r>
      <w:r w:rsidR="009030BE">
        <w:rPr>
          <w:rFonts w:ascii="Times New Roman" w:hAnsi="Times New Roman" w:cs="Times New Roman"/>
          <w:sz w:val="24"/>
        </w:rPr>
        <w:t>.</w:t>
      </w:r>
      <w:r w:rsidRPr="00F83321">
        <w:rPr>
          <w:rFonts w:ascii="Times New Roman" w:hAnsi="Times New Roman" w:cs="Times New Roman"/>
          <w:sz w:val="24"/>
        </w:rPr>
        <w:t xml:space="preserve"> </w:t>
      </w:r>
    </w:p>
    <w:p w:rsidR="00232A41" w:rsidRPr="00F83321" w:rsidRDefault="009030BE" w:rsidP="00232A41">
      <w:pPr>
        <w:spacing w:after="0" w:line="240" w:lineRule="auto"/>
        <w:rPr>
          <w:rFonts w:ascii="Times New Roman" w:hAnsi="Times New Roman" w:cs="Times New Roman"/>
          <w:sz w:val="24"/>
        </w:rPr>
      </w:pPr>
      <w:r>
        <w:rPr>
          <w:rFonts w:ascii="Times New Roman" w:hAnsi="Times New Roman" w:cs="Times New Roman"/>
          <w:sz w:val="24"/>
        </w:rPr>
        <w:t>versus</w:t>
      </w:r>
    </w:p>
    <w:p w:rsidR="00232A41" w:rsidRPr="00F83321" w:rsidRDefault="00232A41" w:rsidP="00232A41">
      <w:pPr>
        <w:spacing w:after="0" w:line="240" w:lineRule="auto"/>
        <w:rPr>
          <w:rFonts w:ascii="Times New Roman" w:hAnsi="Times New Roman" w:cs="Times New Roman"/>
          <w:sz w:val="24"/>
        </w:rPr>
      </w:pPr>
      <w:r>
        <w:rPr>
          <w:rFonts w:ascii="Times New Roman" w:hAnsi="Times New Roman" w:cs="Times New Roman"/>
          <w:sz w:val="24"/>
        </w:rPr>
        <w:t>GOROMONZI RURAL DISTRICT COUNCIL</w:t>
      </w:r>
    </w:p>
    <w:p w:rsidR="00232A41" w:rsidRPr="00F83321" w:rsidRDefault="00232A41" w:rsidP="00232A41">
      <w:pPr>
        <w:spacing w:after="0" w:line="240" w:lineRule="auto"/>
        <w:rPr>
          <w:rFonts w:ascii="Times New Roman" w:hAnsi="Times New Roman" w:cs="Times New Roman"/>
          <w:sz w:val="24"/>
        </w:rPr>
      </w:pPr>
      <w:r w:rsidRPr="00F83321">
        <w:rPr>
          <w:rFonts w:ascii="Times New Roman" w:hAnsi="Times New Roman" w:cs="Times New Roman"/>
          <w:sz w:val="24"/>
        </w:rPr>
        <w:t>and</w:t>
      </w:r>
    </w:p>
    <w:p w:rsidR="00232A41" w:rsidRDefault="00232A41" w:rsidP="00232A41">
      <w:pPr>
        <w:spacing w:after="0" w:line="240" w:lineRule="auto"/>
        <w:rPr>
          <w:rFonts w:ascii="Times New Roman" w:hAnsi="Times New Roman" w:cs="Times New Roman"/>
          <w:sz w:val="24"/>
        </w:rPr>
      </w:pPr>
      <w:r>
        <w:rPr>
          <w:rFonts w:ascii="Times New Roman" w:hAnsi="Times New Roman" w:cs="Times New Roman"/>
          <w:sz w:val="24"/>
        </w:rPr>
        <w:t xml:space="preserve">JACOB NYAKUDYA  </w:t>
      </w:r>
    </w:p>
    <w:p w:rsidR="00232A41" w:rsidRDefault="00232A41" w:rsidP="00232A41">
      <w:pPr>
        <w:spacing w:after="0" w:line="240" w:lineRule="auto"/>
        <w:rPr>
          <w:rFonts w:ascii="Times New Roman" w:hAnsi="Times New Roman" w:cs="Times New Roman"/>
          <w:sz w:val="24"/>
        </w:rPr>
      </w:pPr>
      <w:r>
        <w:rPr>
          <w:rFonts w:ascii="Times New Roman" w:hAnsi="Times New Roman" w:cs="Times New Roman"/>
          <w:sz w:val="24"/>
        </w:rPr>
        <w:t xml:space="preserve">and </w:t>
      </w:r>
    </w:p>
    <w:p w:rsidR="00232A41" w:rsidRPr="00F83321" w:rsidRDefault="00232A41" w:rsidP="00232A41">
      <w:pPr>
        <w:spacing w:after="0" w:line="240" w:lineRule="auto"/>
        <w:rPr>
          <w:rFonts w:ascii="Times New Roman" w:hAnsi="Times New Roman" w:cs="Times New Roman"/>
          <w:sz w:val="24"/>
        </w:rPr>
      </w:pPr>
      <w:r>
        <w:rPr>
          <w:rFonts w:ascii="Times New Roman" w:hAnsi="Times New Roman" w:cs="Times New Roman"/>
          <w:sz w:val="24"/>
        </w:rPr>
        <w:t xml:space="preserve">THE MASTER OF THE HIGH COURT </w:t>
      </w:r>
    </w:p>
    <w:p w:rsidR="00232A41" w:rsidRPr="00F83321" w:rsidRDefault="00232A41" w:rsidP="00232A41">
      <w:pPr>
        <w:rPr>
          <w:rFonts w:ascii="Times New Roman" w:hAnsi="Times New Roman" w:cs="Times New Roman"/>
          <w:sz w:val="24"/>
        </w:rPr>
      </w:pPr>
    </w:p>
    <w:p w:rsidR="00232A41" w:rsidRPr="00F83321" w:rsidRDefault="00232A41" w:rsidP="00232A41">
      <w:pPr>
        <w:spacing w:after="0"/>
        <w:rPr>
          <w:rFonts w:ascii="Times New Roman" w:hAnsi="Times New Roman" w:cs="Times New Roman"/>
          <w:sz w:val="24"/>
        </w:rPr>
      </w:pPr>
      <w:r w:rsidRPr="00F83321">
        <w:rPr>
          <w:rFonts w:ascii="Times New Roman" w:hAnsi="Times New Roman" w:cs="Times New Roman"/>
          <w:sz w:val="24"/>
        </w:rPr>
        <w:t>HIGH COURT OF ZIMBABWE</w:t>
      </w:r>
    </w:p>
    <w:p w:rsidR="00232A41" w:rsidRPr="00F83321" w:rsidRDefault="00232A41" w:rsidP="00232A41">
      <w:pPr>
        <w:spacing w:after="0"/>
        <w:rPr>
          <w:rFonts w:ascii="Times New Roman" w:hAnsi="Times New Roman" w:cs="Times New Roman"/>
          <w:sz w:val="24"/>
        </w:rPr>
      </w:pPr>
      <w:r w:rsidRPr="00F83321">
        <w:rPr>
          <w:rFonts w:ascii="Times New Roman" w:hAnsi="Times New Roman" w:cs="Times New Roman"/>
          <w:sz w:val="24"/>
        </w:rPr>
        <w:t xml:space="preserve">KATIYO J </w:t>
      </w:r>
    </w:p>
    <w:p w:rsidR="00400886" w:rsidRDefault="00232A41" w:rsidP="00296D53">
      <w:pPr>
        <w:spacing w:after="0"/>
        <w:rPr>
          <w:rFonts w:ascii="Times New Roman" w:hAnsi="Times New Roman" w:cs="Times New Roman"/>
          <w:sz w:val="24"/>
        </w:rPr>
      </w:pPr>
      <w:r>
        <w:rPr>
          <w:rFonts w:ascii="Times New Roman" w:hAnsi="Times New Roman" w:cs="Times New Roman"/>
          <w:sz w:val="24"/>
        </w:rPr>
        <w:t>HARARE, 30 November 202I &amp;</w:t>
      </w:r>
      <w:r w:rsidR="002E0D73">
        <w:rPr>
          <w:rFonts w:ascii="Times New Roman" w:hAnsi="Times New Roman" w:cs="Times New Roman"/>
          <w:sz w:val="24"/>
        </w:rPr>
        <w:t xml:space="preserve"> 21 </w:t>
      </w:r>
      <w:r w:rsidR="00736D39">
        <w:rPr>
          <w:rFonts w:ascii="Times New Roman" w:hAnsi="Times New Roman" w:cs="Times New Roman"/>
          <w:sz w:val="24"/>
        </w:rPr>
        <w:t>July</w:t>
      </w:r>
      <w:r w:rsidR="00E44F11">
        <w:rPr>
          <w:rFonts w:ascii="Times New Roman" w:hAnsi="Times New Roman" w:cs="Times New Roman"/>
          <w:sz w:val="24"/>
        </w:rPr>
        <w:t xml:space="preserve"> </w:t>
      </w:r>
      <w:r w:rsidR="00483EA7" w:rsidRPr="00F83321">
        <w:rPr>
          <w:rFonts w:ascii="Times New Roman" w:hAnsi="Times New Roman" w:cs="Times New Roman"/>
          <w:sz w:val="24"/>
        </w:rPr>
        <w:t>2022</w:t>
      </w:r>
    </w:p>
    <w:p w:rsidR="009030BE" w:rsidRDefault="009030BE" w:rsidP="00296D53">
      <w:pPr>
        <w:spacing w:after="0"/>
        <w:rPr>
          <w:rFonts w:ascii="Times New Roman" w:hAnsi="Times New Roman" w:cs="Times New Roman"/>
          <w:sz w:val="24"/>
        </w:rPr>
      </w:pPr>
    </w:p>
    <w:p w:rsidR="00296D53" w:rsidRDefault="00296D53" w:rsidP="00296D53">
      <w:pPr>
        <w:spacing w:after="0"/>
        <w:rPr>
          <w:rFonts w:ascii="Times New Roman" w:hAnsi="Times New Roman" w:cs="Times New Roman"/>
          <w:sz w:val="24"/>
        </w:rPr>
      </w:pPr>
    </w:p>
    <w:p w:rsidR="00296D53" w:rsidRDefault="00A97BAC" w:rsidP="00296D53">
      <w:pPr>
        <w:spacing w:after="0"/>
        <w:rPr>
          <w:rFonts w:ascii="Times New Roman" w:hAnsi="Times New Roman" w:cs="Times New Roman"/>
          <w:b/>
          <w:sz w:val="24"/>
        </w:rPr>
      </w:pPr>
      <w:r w:rsidRPr="009030BE">
        <w:rPr>
          <w:rFonts w:ascii="Times New Roman" w:hAnsi="Times New Roman" w:cs="Times New Roman"/>
          <w:b/>
          <w:sz w:val="24"/>
        </w:rPr>
        <w:t xml:space="preserve">Opposed Application </w:t>
      </w:r>
      <w:r w:rsidR="00296D53" w:rsidRPr="009030BE">
        <w:rPr>
          <w:rFonts w:ascii="Times New Roman" w:hAnsi="Times New Roman" w:cs="Times New Roman"/>
          <w:b/>
          <w:sz w:val="24"/>
        </w:rPr>
        <w:t xml:space="preserve"> </w:t>
      </w:r>
    </w:p>
    <w:p w:rsidR="009030BE" w:rsidRPr="009030BE" w:rsidRDefault="009030BE" w:rsidP="00296D53">
      <w:pPr>
        <w:spacing w:after="0"/>
        <w:rPr>
          <w:rFonts w:ascii="Times New Roman" w:hAnsi="Times New Roman" w:cs="Times New Roman"/>
          <w:b/>
          <w:sz w:val="24"/>
        </w:rPr>
      </w:pPr>
    </w:p>
    <w:p w:rsidR="00296D53" w:rsidRDefault="00296D53" w:rsidP="00296D53">
      <w:pPr>
        <w:spacing w:after="0"/>
        <w:rPr>
          <w:rFonts w:ascii="Times New Roman" w:hAnsi="Times New Roman" w:cs="Times New Roman"/>
          <w:b/>
          <w:i/>
          <w:sz w:val="24"/>
        </w:rPr>
      </w:pPr>
    </w:p>
    <w:p w:rsidR="00296D53" w:rsidRPr="00296D53" w:rsidRDefault="00296D53" w:rsidP="00296D53">
      <w:pPr>
        <w:spacing w:after="0"/>
        <w:rPr>
          <w:rFonts w:ascii="Times New Roman" w:hAnsi="Times New Roman" w:cs="Times New Roman"/>
          <w:sz w:val="24"/>
        </w:rPr>
      </w:pPr>
      <w:r w:rsidRPr="00296D53">
        <w:rPr>
          <w:rFonts w:ascii="Times New Roman" w:hAnsi="Times New Roman" w:cs="Times New Roman"/>
          <w:i/>
          <w:sz w:val="24"/>
        </w:rPr>
        <w:t>T Govere,</w:t>
      </w:r>
      <w:r w:rsidR="009030BE">
        <w:rPr>
          <w:rFonts w:ascii="Times New Roman" w:hAnsi="Times New Roman" w:cs="Times New Roman"/>
          <w:i/>
          <w:sz w:val="24"/>
        </w:rPr>
        <w:t xml:space="preserve"> </w:t>
      </w:r>
      <w:r w:rsidR="009030BE">
        <w:rPr>
          <w:rFonts w:ascii="Times New Roman" w:hAnsi="Times New Roman" w:cs="Times New Roman"/>
          <w:sz w:val="24"/>
        </w:rPr>
        <w:t>for the a</w:t>
      </w:r>
      <w:r w:rsidRPr="00296D53">
        <w:rPr>
          <w:rFonts w:ascii="Times New Roman" w:hAnsi="Times New Roman" w:cs="Times New Roman"/>
          <w:sz w:val="24"/>
        </w:rPr>
        <w:t>pplicant</w:t>
      </w:r>
    </w:p>
    <w:p w:rsidR="00296D53" w:rsidRDefault="00296D53" w:rsidP="00296D53">
      <w:pPr>
        <w:spacing w:after="0"/>
        <w:rPr>
          <w:rFonts w:ascii="Times New Roman" w:hAnsi="Times New Roman" w:cs="Times New Roman"/>
          <w:sz w:val="24"/>
        </w:rPr>
      </w:pPr>
      <w:r w:rsidRPr="00296D53">
        <w:rPr>
          <w:rFonts w:ascii="Times New Roman" w:hAnsi="Times New Roman" w:cs="Times New Roman"/>
          <w:i/>
          <w:sz w:val="24"/>
        </w:rPr>
        <w:t xml:space="preserve">T Magwaliba </w:t>
      </w:r>
      <w:r w:rsidRPr="009030BE">
        <w:rPr>
          <w:rFonts w:ascii="Times New Roman" w:hAnsi="Times New Roman" w:cs="Times New Roman"/>
          <w:sz w:val="24"/>
        </w:rPr>
        <w:t>with</w:t>
      </w:r>
      <w:r w:rsidRPr="00296D53">
        <w:rPr>
          <w:rFonts w:ascii="Times New Roman" w:hAnsi="Times New Roman" w:cs="Times New Roman"/>
          <w:i/>
          <w:sz w:val="24"/>
        </w:rPr>
        <w:t xml:space="preserve"> K Mabhaudhi,</w:t>
      </w:r>
      <w:r>
        <w:rPr>
          <w:rFonts w:ascii="Times New Roman" w:hAnsi="Times New Roman" w:cs="Times New Roman"/>
          <w:b/>
          <w:i/>
          <w:sz w:val="24"/>
        </w:rPr>
        <w:t xml:space="preserve"> </w:t>
      </w:r>
      <w:r w:rsidRPr="00296D53">
        <w:rPr>
          <w:rFonts w:ascii="Times New Roman" w:hAnsi="Times New Roman" w:cs="Times New Roman"/>
          <w:sz w:val="24"/>
        </w:rPr>
        <w:t xml:space="preserve">for the </w:t>
      </w:r>
      <w:r w:rsidR="00F81D21">
        <w:rPr>
          <w:rFonts w:ascii="Times New Roman" w:hAnsi="Times New Roman" w:cs="Times New Roman"/>
          <w:sz w:val="24"/>
        </w:rPr>
        <w:t>2</w:t>
      </w:r>
      <w:r w:rsidR="00F81D21" w:rsidRPr="00F81D21">
        <w:rPr>
          <w:rFonts w:ascii="Times New Roman" w:hAnsi="Times New Roman" w:cs="Times New Roman"/>
          <w:sz w:val="24"/>
          <w:vertAlign w:val="superscript"/>
        </w:rPr>
        <w:t>nd</w:t>
      </w:r>
      <w:r w:rsidR="00F81D21">
        <w:rPr>
          <w:rFonts w:ascii="Times New Roman" w:hAnsi="Times New Roman" w:cs="Times New Roman"/>
          <w:sz w:val="24"/>
        </w:rPr>
        <w:t xml:space="preserve"> </w:t>
      </w:r>
      <w:r w:rsidR="009030BE">
        <w:rPr>
          <w:rFonts w:ascii="Times New Roman" w:hAnsi="Times New Roman" w:cs="Times New Roman"/>
          <w:sz w:val="24"/>
        </w:rPr>
        <w:t>r</w:t>
      </w:r>
      <w:r w:rsidRPr="00296D53">
        <w:rPr>
          <w:rFonts w:ascii="Times New Roman" w:hAnsi="Times New Roman" w:cs="Times New Roman"/>
          <w:sz w:val="24"/>
        </w:rPr>
        <w:t>espondent</w:t>
      </w:r>
    </w:p>
    <w:p w:rsidR="00C618DF" w:rsidRDefault="00C618DF" w:rsidP="004B112C">
      <w:pPr>
        <w:spacing w:after="0" w:line="360" w:lineRule="auto"/>
        <w:rPr>
          <w:rFonts w:ascii="Times New Roman" w:hAnsi="Times New Roman" w:cs="Times New Roman"/>
          <w:sz w:val="24"/>
        </w:rPr>
      </w:pPr>
    </w:p>
    <w:p w:rsidR="00CF178A" w:rsidRDefault="004B112C" w:rsidP="00A10FEC">
      <w:pPr>
        <w:spacing w:after="0" w:line="360" w:lineRule="auto"/>
        <w:rPr>
          <w:rFonts w:ascii="Times New Roman" w:hAnsi="Times New Roman" w:cs="Times New Roman"/>
          <w:sz w:val="24"/>
        </w:rPr>
      </w:pPr>
      <w:r>
        <w:rPr>
          <w:rFonts w:ascii="Times New Roman" w:hAnsi="Times New Roman" w:cs="Times New Roman"/>
          <w:sz w:val="24"/>
        </w:rPr>
        <w:t xml:space="preserve">       </w:t>
      </w:r>
      <w:r w:rsidR="00C618DF" w:rsidRPr="009030BE">
        <w:rPr>
          <w:rFonts w:ascii="Times New Roman" w:hAnsi="Times New Roman" w:cs="Times New Roman"/>
          <w:b/>
          <w:sz w:val="24"/>
        </w:rPr>
        <w:t xml:space="preserve">KATIYO </w:t>
      </w:r>
      <w:r w:rsidRPr="009030BE">
        <w:rPr>
          <w:rFonts w:ascii="Times New Roman" w:hAnsi="Times New Roman" w:cs="Times New Roman"/>
          <w:b/>
          <w:sz w:val="24"/>
        </w:rPr>
        <w:t>J</w:t>
      </w:r>
      <w:r>
        <w:rPr>
          <w:rFonts w:ascii="Times New Roman" w:hAnsi="Times New Roman" w:cs="Times New Roman"/>
          <w:sz w:val="24"/>
        </w:rPr>
        <w:t xml:space="preserve">: </w:t>
      </w:r>
      <w:r w:rsidR="009030BE">
        <w:rPr>
          <w:rFonts w:ascii="Times New Roman" w:hAnsi="Times New Roman" w:cs="Times New Roman"/>
          <w:sz w:val="24"/>
        </w:rPr>
        <w:t xml:space="preserve"> </w:t>
      </w:r>
      <w:r w:rsidR="00087053">
        <w:rPr>
          <w:rFonts w:ascii="Times New Roman" w:hAnsi="Times New Roman" w:cs="Times New Roman"/>
          <w:sz w:val="24"/>
        </w:rPr>
        <w:t>The applicants approached this</w:t>
      </w:r>
      <w:r w:rsidR="00C618DF">
        <w:rPr>
          <w:rFonts w:ascii="Times New Roman" w:hAnsi="Times New Roman" w:cs="Times New Roman"/>
          <w:sz w:val="24"/>
        </w:rPr>
        <w:t xml:space="preserve"> honorable court seeking</w:t>
      </w:r>
      <w:r w:rsidR="00087053">
        <w:rPr>
          <w:rFonts w:ascii="Times New Roman" w:hAnsi="Times New Roman" w:cs="Times New Roman"/>
          <w:sz w:val="24"/>
        </w:rPr>
        <w:t xml:space="preserve"> a declaratory order of an</w:t>
      </w:r>
      <w:r w:rsidR="006614F3">
        <w:rPr>
          <w:rFonts w:ascii="Times New Roman" w:hAnsi="Times New Roman" w:cs="Times New Roman"/>
          <w:sz w:val="24"/>
        </w:rPr>
        <w:t xml:space="preserve"> immovable property</w:t>
      </w:r>
      <w:r w:rsidR="009030BE">
        <w:rPr>
          <w:rFonts w:ascii="Times New Roman" w:hAnsi="Times New Roman" w:cs="Times New Roman"/>
          <w:sz w:val="24"/>
        </w:rPr>
        <w:t xml:space="preserve">.  </w:t>
      </w:r>
      <w:r w:rsidR="00A621AC">
        <w:rPr>
          <w:rFonts w:ascii="Times New Roman" w:hAnsi="Times New Roman" w:cs="Times New Roman"/>
          <w:sz w:val="24"/>
        </w:rPr>
        <w:t>The a</w:t>
      </w:r>
      <w:r w:rsidR="00C10A61" w:rsidRPr="00C10A61">
        <w:rPr>
          <w:rFonts w:ascii="Times New Roman" w:hAnsi="Times New Roman" w:cs="Times New Roman"/>
          <w:sz w:val="24"/>
        </w:rPr>
        <w:t xml:space="preserve">pplicant </w:t>
      </w:r>
      <w:r w:rsidR="00BD4377">
        <w:rPr>
          <w:rFonts w:ascii="Times New Roman" w:hAnsi="Times New Roman" w:cs="Times New Roman"/>
          <w:sz w:val="24"/>
        </w:rPr>
        <w:t xml:space="preserve"> in his official capacity as the Executor Dative of the Estate Late Kizito Dzorwa </w:t>
      </w:r>
      <w:r w:rsidR="00C10A61" w:rsidRPr="00C10A61">
        <w:rPr>
          <w:rFonts w:ascii="Times New Roman" w:hAnsi="Times New Roman" w:cs="Times New Roman"/>
          <w:sz w:val="24"/>
        </w:rPr>
        <w:t>approached this Honorable court seeking a Decla</w:t>
      </w:r>
      <w:r w:rsidR="00122FA5">
        <w:rPr>
          <w:rFonts w:ascii="Times New Roman" w:hAnsi="Times New Roman" w:cs="Times New Roman"/>
          <w:sz w:val="24"/>
        </w:rPr>
        <w:t>ratory Order in terms of s</w:t>
      </w:r>
      <w:r w:rsidR="00C10A61" w:rsidRPr="00C10A61">
        <w:rPr>
          <w:rFonts w:ascii="Times New Roman" w:hAnsi="Times New Roman" w:cs="Times New Roman"/>
          <w:sz w:val="24"/>
        </w:rPr>
        <w:t xml:space="preserve"> 14 of the High Court Act [</w:t>
      </w:r>
      <w:r w:rsidR="00C10A61" w:rsidRPr="009030BE">
        <w:rPr>
          <w:rFonts w:ascii="Times New Roman" w:hAnsi="Times New Roman" w:cs="Times New Roman"/>
          <w:i/>
          <w:sz w:val="24"/>
        </w:rPr>
        <w:t>Chapter 7:06</w:t>
      </w:r>
      <w:r w:rsidR="00C10A61" w:rsidRPr="00C10A61">
        <w:rPr>
          <w:rFonts w:ascii="Times New Roman" w:hAnsi="Times New Roman" w:cs="Times New Roman"/>
          <w:sz w:val="24"/>
        </w:rPr>
        <w:t>].</w:t>
      </w:r>
      <w:r w:rsidR="009030BE">
        <w:rPr>
          <w:rFonts w:ascii="Times New Roman" w:hAnsi="Times New Roman" w:cs="Times New Roman"/>
          <w:sz w:val="24"/>
        </w:rPr>
        <w:t xml:space="preserve"> </w:t>
      </w:r>
      <w:r w:rsidR="00BD4377">
        <w:rPr>
          <w:rFonts w:ascii="Times New Roman" w:hAnsi="Times New Roman" w:cs="Times New Roman"/>
          <w:sz w:val="24"/>
        </w:rPr>
        <w:t xml:space="preserve">It is common cause that the </w:t>
      </w:r>
      <w:r w:rsidR="00AB7B52">
        <w:rPr>
          <w:rFonts w:ascii="Times New Roman" w:hAnsi="Times New Roman" w:cs="Times New Roman"/>
          <w:sz w:val="24"/>
        </w:rPr>
        <w:t>applicant’s</w:t>
      </w:r>
      <w:r w:rsidR="00BD4377">
        <w:rPr>
          <w:rFonts w:ascii="Times New Roman" w:hAnsi="Times New Roman" w:cs="Times New Roman"/>
          <w:sz w:val="24"/>
        </w:rPr>
        <w:t xml:space="preserve"> late father was granted a lease by the first </w:t>
      </w:r>
      <w:r w:rsidR="009030BE">
        <w:rPr>
          <w:rFonts w:ascii="Times New Roman" w:hAnsi="Times New Roman" w:cs="Times New Roman"/>
          <w:sz w:val="24"/>
        </w:rPr>
        <w:t>r</w:t>
      </w:r>
      <w:r w:rsidR="00BD4377">
        <w:rPr>
          <w:rFonts w:ascii="Times New Roman" w:hAnsi="Times New Roman" w:cs="Times New Roman"/>
          <w:sz w:val="24"/>
        </w:rPr>
        <w:t xml:space="preserve">espondents over a certain commercial </w:t>
      </w:r>
      <w:r w:rsidR="00A849D2">
        <w:rPr>
          <w:rFonts w:ascii="Times New Roman" w:hAnsi="Times New Roman" w:cs="Times New Roman"/>
          <w:sz w:val="24"/>
        </w:rPr>
        <w:t>premise measuring 2023 square meters comprising of a butchery,</w:t>
      </w:r>
      <w:r w:rsidR="009030BE">
        <w:rPr>
          <w:rFonts w:ascii="Times New Roman" w:hAnsi="Times New Roman" w:cs="Times New Roman"/>
          <w:sz w:val="24"/>
        </w:rPr>
        <w:t xml:space="preserve"> </w:t>
      </w:r>
      <w:r w:rsidR="00A849D2">
        <w:rPr>
          <w:rFonts w:ascii="Times New Roman" w:hAnsi="Times New Roman" w:cs="Times New Roman"/>
          <w:sz w:val="24"/>
        </w:rPr>
        <w:t xml:space="preserve">bottle store, grinding mill and general dealer all situated at Rusike Communal Land Mungate Business Centre under Chief Chinamora Domboshava in Goromonzi District. </w:t>
      </w:r>
      <w:r w:rsidR="009030BE">
        <w:rPr>
          <w:rFonts w:ascii="Times New Roman" w:hAnsi="Times New Roman" w:cs="Times New Roman"/>
          <w:sz w:val="24"/>
        </w:rPr>
        <w:t xml:space="preserve"> </w:t>
      </w:r>
      <w:r w:rsidR="00A849D2">
        <w:rPr>
          <w:rFonts w:ascii="Times New Roman" w:hAnsi="Times New Roman" w:cs="Times New Roman"/>
          <w:sz w:val="24"/>
        </w:rPr>
        <w:t xml:space="preserve">The copies of the lease agreements are dated 27 July 1966, 03 September 1966 and 29 January </w:t>
      </w:r>
      <w:r w:rsidR="00694C6C">
        <w:rPr>
          <w:rFonts w:ascii="Times New Roman" w:hAnsi="Times New Roman" w:cs="Times New Roman"/>
          <w:sz w:val="24"/>
        </w:rPr>
        <w:t>1970</w:t>
      </w:r>
      <w:r w:rsidR="00E44325">
        <w:rPr>
          <w:rFonts w:ascii="Times New Roman" w:hAnsi="Times New Roman" w:cs="Times New Roman"/>
          <w:sz w:val="24"/>
        </w:rPr>
        <w:t xml:space="preserve"> </w:t>
      </w:r>
      <w:r w:rsidR="00CF178A">
        <w:rPr>
          <w:rFonts w:ascii="Times New Roman" w:hAnsi="Times New Roman" w:cs="Times New Roman"/>
          <w:sz w:val="24"/>
        </w:rPr>
        <w:t>respectively.</w:t>
      </w:r>
    </w:p>
    <w:p w:rsidR="00CF178A" w:rsidRDefault="00CF178A" w:rsidP="00A10FEC">
      <w:pPr>
        <w:spacing w:after="0" w:line="360" w:lineRule="auto"/>
        <w:rPr>
          <w:rFonts w:ascii="Times New Roman" w:hAnsi="Times New Roman" w:cs="Times New Roman"/>
          <w:sz w:val="24"/>
        </w:rPr>
      </w:pPr>
      <w:r>
        <w:rPr>
          <w:rFonts w:ascii="Times New Roman" w:hAnsi="Times New Roman" w:cs="Times New Roman"/>
          <w:sz w:val="24"/>
        </w:rPr>
        <w:t xml:space="preserve">         </w:t>
      </w:r>
      <w:r w:rsidR="00694C6C">
        <w:rPr>
          <w:rFonts w:ascii="Times New Roman" w:hAnsi="Times New Roman" w:cs="Times New Roman"/>
          <w:sz w:val="24"/>
        </w:rPr>
        <w:t xml:space="preserve">The applicant’s father passed away on 24 February 1978 and the </w:t>
      </w:r>
      <w:r w:rsidR="000A6F94">
        <w:rPr>
          <w:rFonts w:ascii="Times New Roman" w:hAnsi="Times New Roman" w:cs="Times New Roman"/>
          <w:sz w:val="24"/>
        </w:rPr>
        <w:t>applicant’s</w:t>
      </w:r>
      <w:r w:rsidR="00694C6C">
        <w:rPr>
          <w:rFonts w:ascii="Times New Roman" w:hAnsi="Times New Roman" w:cs="Times New Roman"/>
          <w:sz w:val="24"/>
        </w:rPr>
        <w:t xml:space="preserve"> brother Tendai Dzorwa was appointed as Executor Dative on 13 September 2006</w:t>
      </w:r>
      <w:r w:rsidR="00E44F11">
        <w:rPr>
          <w:rFonts w:ascii="Times New Roman" w:hAnsi="Times New Roman" w:cs="Times New Roman"/>
          <w:sz w:val="24"/>
        </w:rPr>
        <w:t>,</w:t>
      </w:r>
      <w:r w:rsidR="00694C6C">
        <w:rPr>
          <w:rFonts w:ascii="Times New Roman" w:hAnsi="Times New Roman" w:cs="Times New Roman"/>
          <w:sz w:val="24"/>
        </w:rPr>
        <w:t xml:space="preserve"> however</w:t>
      </w:r>
      <w:r w:rsidR="00E44F11">
        <w:rPr>
          <w:rFonts w:ascii="Times New Roman" w:hAnsi="Times New Roman" w:cs="Times New Roman"/>
          <w:sz w:val="24"/>
        </w:rPr>
        <w:t>,</w:t>
      </w:r>
      <w:r w:rsidR="00694C6C">
        <w:rPr>
          <w:rFonts w:ascii="Times New Roman" w:hAnsi="Times New Roman" w:cs="Times New Roman"/>
          <w:sz w:val="24"/>
        </w:rPr>
        <w:t xml:space="preserve"> he </w:t>
      </w:r>
      <w:r w:rsidR="00E44F11">
        <w:rPr>
          <w:rFonts w:ascii="Times New Roman" w:hAnsi="Times New Roman" w:cs="Times New Roman"/>
          <w:sz w:val="24"/>
        </w:rPr>
        <w:t xml:space="preserve">too </w:t>
      </w:r>
      <w:r w:rsidR="00694C6C">
        <w:rPr>
          <w:rFonts w:ascii="Times New Roman" w:hAnsi="Times New Roman" w:cs="Times New Roman"/>
          <w:sz w:val="24"/>
        </w:rPr>
        <w:t>passed away on 14 May 2007.</w:t>
      </w:r>
      <w:r w:rsidR="00AB7B52">
        <w:rPr>
          <w:rFonts w:ascii="Times New Roman" w:hAnsi="Times New Roman" w:cs="Times New Roman"/>
          <w:sz w:val="24"/>
        </w:rPr>
        <w:t xml:space="preserve">  </w:t>
      </w:r>
      <w:r w:rsidR="00694C6C">
        <w:rPr>
          <w:rFonts w:ascii="Times New Roman" w:hAnsi="Times New Roman" w:cs="Times New Roman"/>
          <w:sz w:val="24"/>
        </w:rPr>
        <w:t xml:space="preserve">The </w:t>
      </w:r>
      <w:r w:rsidR="00AB7B52">
        <w:rPr>
          <w:rFonts w:ascii="Times New Roman" w:hAnsi="Times New Roman" w:cs="Times New Roman"/>
          <w:sz w:val="24"/>
        </w:rPr>
        <w:t>a</w:t>
      </w:r>
      <w:r w:rsidR="00694C6C">
        <w:rPr>
          <w:rFonts w:ascii="Times New Roman" w:hAnsi="Times New Roman" w:cs="Times New Roman"/>
          <w:sz w:val="24"/>
        </w:rPr>
        <w:t xml:space="preserve">pplicant was then appointed as Executor </w:t>
      </w:r>
      <w:r w:rsidR="00232F39">
        <w:rPr>
          <w:rFonts w:ascii="Times New Roman" w:hAnsi="Times New Roman" w:cs="Times New Roman"/>
          <w:sz w:val="24"/>
        </w:rPr>
        <w:t>Dative. The</w:t>
      </w:r>
      <w:r w:rsidR="00AB7B52">
        <w:rPr>
          <w:rFonts w:ascii="Times New Roman" w:hAnsi="Times New Roman" w:cs="Times New Roman"/>
          <w:sz w:val="24"/>
        </w:rPr>
        <w:t xml:space="preserve"> second r</w:t>
      </w:r>
      <w:r w:rsidR="007D06C0">
        <w:rPr>
          <w:rFonts w:ascii="Times New Roman" w:hAnsi="Times New Roman" w:cs="Times New Roman"/>
          <w:sz w:val="24"/>
        </w:rPr>
        <w:t xml:space="preserve">espondent claims that </w:t>
      </w:r>
      <w:r w:rsidR="00232F39">
        <w:rPr>
          <w:rFonts w:ascii="Times New Roman" w:hAnsi="Times New Roman" w:cs="Times New Roman"/>
          <w:sz w:val="24"/>
        </w:rPr>
        <w:t>in 1977 his father the late Rabson Mutuna Nyakudya purchased stand TT23204 measuring 840 square meters from the applic</w:t>
      </w:r>
      <w:r>
        <w:rPr>
          <w:rFonts w:ascii="Times New Roman" w:hAnsi="Times New Roman" w:cs="Times New Roman"/>
          <w:sz w:val="24"/>
        </w:rPr>
        <w:t>ants late father Kizito Dzorwa.</w:t>
      </w:r>
    </w:p>
    <w:p w:rsidR="00375ABD" w:rsidRDefault="00CF178A" w:rsidP="00A10FEC">
      <w:pPr>
        <w:spacing w:after="0" w:line="360" w:lineRule="auto"/>
        <w:rPr>
          <w:rFonts w:ascii="Times New Roman" w:hAnsi="Times New Roman" w:cs="Times New Roman"/>
          <w:sz w:val="24"/>
        </w:rPr>
      </w:pPr>
      <w:r>
        <w:rPr>
          <w:rFonts w:ascii="Times New Roman" w:hAnsi="Times New Roman" w:cs="Times New Roman"/>
          <w:sz w:val="24"/>
        </w:rPr>
        <w:t xml:space="preserve">          </w:t>
      </w:r>
      <w:r w:rsidR="00232F39">
        <w:rPr>
          <w:rFonts w:ascii="Times New Roman" w:hAnsi="Times New Roman" w:cs="Times New Roman"/>
          <w:sz w:val="24"/>
        </w:rPr>
        <w:t xml:space="preserve">The second </w:t>
      </w:r>
      <w:r w:rsidR="00AB7B52">
        <w:rPr>
          <w:rFonts w:ascii="Times New Roman" w:hAnsi="Times New Roman" w:cs="Times New Roman"/>
          <w:sz w:val="24"/>
        </w:rPr>
        <w:t>r</w:t>
      </w:r>
      <w:r w:rsidR="00232F39">
        <w:rPr>
          <w:rFonts w:ascii="Times New Roman" w:hAnsi="Times New Roman" w:cs="Times New Roman"/>
          <w:sz w:val="24"/>
        </w:rPr>
        <w:t xml:space="preserve">espondent further claims that in 1977 Chief Chinamora confirmed the </w:t>
      </w:r>
      <w:r w:rsidR="00A53CDD">
        <w:rPr>
          <w:rFonts w:ascii="Times New Roman" w:hAnsi="Times New Roman" w:cs="Times New Roman"/>
          <w:sz w:val="24"/>
        </w:rPr>
        <w:t>sale of the property where he requested the name change of the property from Kizito Dzorwa to Rabson Mutuna</w:t>
      </w:r>
      <w:r w:rsidR="00E44F11">
        <w:rPr>
          <w:rFonts w:ascii="Times New Roman" w:hAnsi="Times New Roman" w:cs="Times New Roman"/>
          <w:sz w:val="24"/>
        </w:rPr>
        <w:t>.</w:t>
      </w:r>
      <w:r w:rsidR="00A53CDD">
        <w:rPr>
          <w:rFonts w:ascii="Times New Roman" w:hAnsi="Times New Roman" w:cs="Times New Roman"/>
          <w:sz w:val="24"/>
        </w:rPr>
        <w:t xml:space="preserve"> Cession of the immovable property on </w:t>
      </w:r>
      <w:r w:rsidR="00E44F11">
        <w:rPr>
          <w:rFonts w:ascii="Times New Roman" w:hAnsi="Times New Roman" w:cs="Times New Roman"/>
          <w:sz w:val="24"/>
        </w:rPr>
        <w:t>S</w:t>
      </w:r>
      <w:r w:rsidR="00A53CDD">
        <w:rPr>
          <w:rFonts w:ascii="Times New Roman" w:hAnsi="Times New Roman" w:cs="Times New Roman"/>
          <w:sz w:val="24"/>
        </w:rPr>
        <w:t>tand TT 2</w:t>
      </w:r>
      <w:r w:rsidR="00AB7B52">
        <w:rPr>
          <w:rFonts w:ascii="Times New Roman" w:hAnsi="Times New Roman" w:cs="Times New Roman"/>
          <w:sz w:val="24"/>
        </w:rPr>
        <w:t>3204 was granted to the second r</w:t>
      </w:r>
      <w:r w:rsidR="00A53CDD">
        <w:rPr>
          <w:rFonts w:ascii="Times New Roman" w:hAnsi="Times New Roman" w:cs="Times New Roman"/>
          <w:sz w:val="24"/>
        </w:rPr>
        <w:t xml:space="preserve">espondents late father. </w:t>
      </w:r>
      <w:r w:rsidR="00AB7B52">
        <w:rPr>
          <w:rFonts w:ascii="Times New Roman" w:hAnsi="Times New Roman" w:cs="Times New Roman"/>
          <w:sz w:val="24"/>
        </w:rPr>
        <w:t xml:space="preserve"> Moreso the second r</w:t>
      </w:r>
      <w:r w:rsidR="00A53CDD">
        <w:rPr>
          <w:rFonts w:ascii="Times New Roman" w:hAnsi="Times New Roman" w:cs="Times New Roman"/>
          <w:sz w:val="24"/>
        </w:rPr>
        <w:t xml:space="preserve">espondent late father began operating the grinding mill on </w:t>
      </w:r>
      <w:r w:rsidR="00E44F11">
        <w:rPr>
          <w:rFonts w:ascii="Times New Roman" w:hAnsi="Times New Roman" w:cs="Times New Roman"/>
          <w:sz w:val="24"/>
        </w:rPr>
        <w:t>S</w:t>
      </w:r>
      <w:r w:rsidR="00A53CDD">
        <w:rPr>
          <w:rFonts w:ascii="Times New Roman" w:hAnsi="Times New Roman" w:cs="Times New Roman"/>
          <w:sz w:val="24"/>
        </w:rPr>
        <w:t>tand TT 23204 and named the business Nyakudya Grinding Mill.</w:t>
      </w:r>
      <w:r w:rsidR="00AB7B52">
        <w:rPr>
          <w:rFonts w:ascii="Times New Roman" w:hAnsi="Times New Roman" w:cs="Times New Roman"/>
          <w:sz w:val="24"/>
        </w:rPr>
        <w:t xml:space="preserve"> </w:t>
      </w:r>
      <w:r w:rsidR="00A53CDD">
        <w:rPr>
          <w:rFonts w:ascii="Times New Roman" w:hAnsi="Times New Roman" w:cs="Times New Roman"/>
          <w:sz w:val="24"/>
        </w:rPr>
        <w:t xml:space="preserve"> </w:t>
      </w:r>
    </w:p>
    <w:p w:rsidR="00A80CB9" w:rsidRPr="00087053" w:rsidRDefault="00A53CDD" w:rsidP="00A10FEC">
      <w:pPr>
        <w:spacing w:after="0" w:line="360" w:lineRule="auto"/>
        <w:rPr>
          <w:rFonts w:ascii="Times New Roman" w:hAnsi="Times New Roman" w:cs="Times New Roman"/>
          <w:b/>
          <w:sz w:val="24"/>
        </w:rPr>
      </w:pPr>
      <w:r>
        <w:rPr>
          <w:rFonts w:ascii="Times New Roman" w:hAnsi="Times New Roman" w:cs="Times New Roman"/>
          <w:sz w:val="24"/>
        </w:rPr>
        <w:lastRenderedPageBreak/>
        <w:t xml:space="preserve">The second </w:t>
      </w:r>
      <w:r w:rsidR="00AB7B52">
        <w:rPr>
          <w:rFonts w:ascii="Times New Roman" w:hAnsi="Times New Roman" w:cs="Times New Roman"/>
          <w:sz w:val="24"/>
        </w:rPr>
        <w:t>respondent’s</w:t>
      </w:r>
      <w:r>
        <w:rPr>
          <w:rFonts w:ascii="Times New Roman" w:hAnsi="Times New Roman" w:cs="Times New Roman"/>
          <w:sz w:val="24"/>
        </w:rPr>
        <w:t xml:space="preserve"> father passed away in 1985 and the second </w:t>
      </w:r>
      <w:r w:rsidR="00AB7B52">
        <w:rPr>
          <w:rFonts w:ascii="Times New Roman" w:hAnsi="Times New Roman" w:cs="Times New Roman"/>
          <w:sz w:val="24"/>
        </w:rPr>
        <w:t>r</w:t>
      </w:r>
      <w:r>
        <w:rPr>
          <w:rFonts w:ascii="Times New Roman" w:hAnsi="Times New Roman" w:cs="Times New Roman"/>
          <w:sz w:val="24"/>
        </w:rPr>
        <w:t>espon</w:t>
      </w:r>
      <w:r w:rsidR="00A97BAC">
        <w:rPr>
          <w:rFonts w:ascii="Times New Roman" w:hAnsi="Times New Roman" w:cs="Times New Roman"/>
          <w:sz w:val="24"/>
        </w:rPr>
        <w:t xml:space="preserve">dent and his brothers continued </w:t>
      </w:r>
      <w:r>
        <w:rPr>
          <w:rFonts w:ascii="Times New Roman" w:hAnsi="Times New Roman" w:cs="Times New Roman"/>
          <w:sz w:val="24"/>
        </w:rPr>
        <w:t xml:space="preserve">operating the grinding mill until 2006 where they leased out Nyakudya Grinding Mill to </w:t>
      </w:r>
      <w:r w:rsidR="00A97BAC">
        <w:rPr>
          <w:rFonts w:ascii="Times New Roman" w:hAnsi="Times New Roman" w:cs="Times New Roman"/>
          <w:sz w:val="24"/>
        </w:rPr>
        <w:t xml:space="preserve">one </w:t>
      </w:r>
      <w:r>
        <w:rPr>
          <w:rFonts w:ascii="Times New Roman" w:hAnsi="Times New Roman" w:cs="Times New Roman"/>
          <w:sz w:val="24"/>
        </w:rPr>
        <w:t>Chirandu Mbanje.</w:t>
      </w:r>
      <w:r w:rsidR="00AB7B52">
        <w:rPr>
          <w:rFonts w:ascii="Times New Roman" w:hAnsi="Times New Roman" w:cs="Times New Roman"/>
          <w:sz w:val="24"/>
        </w:rPr>
        <w:t xml:space="preserve"> </w:t>
      </w:r>
      <w:r>
        <w:rPr>
          <w:rFonts w:ascii="Times New Roman" w:hAnsi="Times New Roman" w:cs="Times New Roman"/>
          <w:sz w:val="24"/>
        </w:rPr>
        <w:t xml:space="preserve">In 2007 the </w:t>
      </w:r>
      <w:r w:rsidR="00AB7B52">
        <w:rPr>
          <w:rFonts w:ascii="Times New Roman" w:hAnsi="Times New Roman" w:cs="Times New Roman"/>
          <w:sz w:val="24"/>
        </w:rPr>
        <w:t>a</w:t>
      </w:r>
      <w:r>
        <w:rPr>
          <w:rFonts w:ascii="Times New Roman" w:hAnsi="Times New Roman" w:cs="Times New Roman"/>
          <w:sz w:val="24"/>
        </w:rPr>
        <w:t xml:space="preserve">pplicant sought an ejectment </w:t>
      </w:r>
      <w:r w:rsidR="00D40213">
        <w:rPr>
          <w:rFonts w:ascii="Times New Roman" w:hAnsi="Times New Roman" w:cs="Times New Roman"/>
          <w:sz w:val="24"/>
        </w:rPr>
        <w:t>through summons under case number 415/07</w:t>
      </w:r>
      <w:r w:rsidR="00C7406A">
        <w:rPr>
          <w:rFonts w:ascii="Times New Roman" w:hAnsi="Times New Roman" w:cs="Times New Roman"/>
          <w:sz w:val="24"/>
        </w:rPr>
        <w:t xml:space="preserve"> in the Magistrates </w:t>
      </w:r>
      <w:r w:rsidR="00B81F7C">
        <w:rPr>
          <w:rFonts w:ascii="Times New Roman" w:hAnsi="Times New Roman" w:cs="Times New Roman"/>
          <w:sz w:val="24"/>
        </w:rPr>
        <w:t>Court</w:t>
      </w:r>
      <w:r w:rsidR="00E44F11">
        <w:rPr>
          <w:rFonts w:ascii="Times New Roman" w:hAnsi="Times New Roman" w:cs="Times New Roman"/>
          <w:sz w:val="24"/>
        </w:rPr>
        <w:t xml:space="preserve"> which culminated in his eviction </w:t>
      </w:r>
      <w:r w:rsidR="00C7406A">
        <w:rPr>
          <w:rFonts w:ascii="Times New Roman" w:hAnsi="Times New Roman" w:cs="Times New Roman"/>
          <w:sz w:val="24"/>
        </w:rPr>
        <w:t>in 2017.</w:t>
      </w:r>
      <w:r w:rsidR="00AB7B52">
        <w:rPr>
          <w:rFonts w:ascii="Times New Roman" w:hAnsi="Times New Roman" w:cs="Times New Roman"/>
          <w:sz w:val="24"/>
        </w:rPr>
        <w:t xml:space="preserve"> </w:t>
      </w:r>
      <w:r w:rsidR="00B81F7C">
        <w:rPr>
          <w:rFonts w:ascii="Times New Roman" w:hAnsi="Times New Roman" w:cs="Times New Roman"/>
          <w:sz w:val="24"/>
        </w:rPr>
        <w:t xml:space="preserve">The applicant claims that </w:t>
      </w:r>
      <w:r w:rsidR="00E44F11">
        <w:rPr>
          <w:rFonts w:ascii="Times New Roman" w:hAnsi="Times New Roman" w:cs="Times New Roman"/>
          <w:sz w:val="24"/>
        </w:rPr>
        <w:t>S</w:t>
      </w:r>
      <w:r w:rsidR="00B81F7C">
        <w:rPr>
          <w:rFonts w:ascii="Times New Roman" w:hAnsi="Times New Roman" w:cs="Times New Roman"/>
          <w:sz w:val="24"/>
        </w:rPr>
        <w:t xml:space="preserve">tand TT 23204 still belongs to his late father’s estate as </w:t>
      </w:r>
      <w:r w:rsidR="00E44F11">
        <w:rPr>
          <w:rFonts w:ascii="Times New Roman" w:hAnsi="Times New Roman" w:cs="Times New Roman"/>
          <w:sz w:val="24"/>
        </w:rPr>
        <w:t>supported</w:t>
      </w:r>
      <w:r w:rsidR="00B81F7C">
        <w:rPr>
          <w:rFonts w:ascii="Times New Roman" w:hAnsi="Times New Roman" w:cs="Times New Roman"/>
          <w:sz w:val="24"/>
        </w:rPr>
        <w:t xml:space="preserve"> by a letter written by Mrs Chinyemba the Chief Executive Officer of Goromonzi Rural District Council.</w:t>
      </w:r>
      <w:r w:rsidR="00AB7B52">
        <w:rPr>
          <w:rFonts w:ascii="Times New Roman" w:hAnsi="Times New Roman" w:cs="Times New Roman"/>
          <w:sz w:val="24"/>
        </w:rPr>
        <w:t xml:space="preserve"> </w:t>
      </w:r>
      <w:r w:rsidR="00B81F7C">
        <w:rPr>
          <w:rFonts w:ascii="Times New Roman" w:hAnsi="Times New Roman" w:cs="Times New Roman"/>
          <w:sz w:val="24"/>
        </w:rPr>
        <w:t xml:space="preserve"> The </w:t>
      </w:r>
      <w:r w:rsidR="00AB7B52">
        <w:rPr>
          <w:rFonts w:ascii="Times New Roman" w:hAnsi="Times New Roman" w:cs="Times New Roman"/>
          <w:sz w:val="24"/>
        </w:rPr>
        <w:t>a</w:t>
      </w:r>
      <w:r w:rsidR="00B81F7C">
        <w:rPr>
          <w:rFonts w:ascii="Times New Roman" w:hAnsi="Times New Roman" w:cs="Times New Roman"/>
          <w:sz w:val="24"/>
        </w:rPr>
        <w:t>pplicant is therefore seeking a declaratory</w:t>
      </w:r>
      <w:r w:rsidR="00A97BAC">
        <w:rPr>
          <w:rFonts w:ascii="Times New Roman" w:hAnsi="Times New Roman" w:cs="Times New Roman"/>
          <w:sz w:val="24"/>
        </w:rPr>
        <w:t xml:space="preserve"> against the second </w:t>
      </w:r>
      <w:r w:rsidR="00AB7B52">
        <w:rPr>
          <w:rFonts w:ascii="Times New Roman" w:hAnsi="Times New Roman" w:cs="Times New Roman"/>
          <w:sz w:val="24"/>
        </w:rPr>
        <w:t>r</w:t>
      </w:r>
      <w:r w:rsidR="00A97BAC">
        <w:rPr>
          <w:rFonts w:ascii="Times New Roman" w:hAnsi="Times New Roman" w:cs="Times New Roman"/>
          <w:sz w:val="24"/>
        </w:rPr>
        <w:t>espondent who</w:t>
      </w:r>
      <w:r w:rsidR="00B81F7C">
        <w:rPr>
          <w:rFonts w:ascii="Times New Roman" w:hAnsi="Times New Roman" w:cs="Times New Roman"/>
          <w:sz w:val="24"/>
        </w:rPr>
        <w:t xml:space="preserve"> is opposing the application. </w:t>
      </w:r>
      <w:r w:rsidR="00AB7B52">
        <w:rPr>
          <w:rFonts w:ascii="Times New Roman" w:hAnsi="Times New Roman" w:cs="Times New Roman"/>
          <w:sz w:val="24"/>
        </w:rPr>
        <w:t xml:space="preserve"> </w:t>
      </w:r>
      <w:r w:rsidR="00267449">
        <w:rPr>
          <w:rFonts w:ascii="Times New Roman" w:hAnsi="Times New Roman" w:cs="Times New Roman"/>
          <w:sz w:val="24"/>
        </w:rPr>
        <w:t xml:space="preserve">The second respondent is of the opinion that the applicant has no locus standi since estate late Kizito Dzorwa was finalized. The second respondent also argues that the </w:t>
      </w:r>
      <w:r w:rsidR="00AB7B52">
        <w:rPr>
          <w:rFonts w:ascii="Times New Roman" w:hAnsi="Times New Roman" w:cs="Times New Roman"/>
          <w:sz w:val="24"/>
        </w:rPr>
        <w:t>a</w:t>
      </w:r>
      <w:r w:rsidR="00267449">
        <w:rPr>
          <w:rFonts w:ascii="Times New Roman" w:hAnsi="Times New Roman" w:cs="Times New Roman"/>
          <w:sz w:val="24"/>
        </w:rPr>
        <w:t>pplicants claim has prescribed in terms of the Presc</w:t>
      </w:r>
      <w:r w:rsidR="00AB7B52">
        <w:rPr>
          <w:rFonts w:ascii="Times New Roman" w:hAnsi="Times New Roman" w:cs="Times New Roman"/>
          <w:sz w:val="24"/>
        </w:rPr>
        <w:t>ription Act [</w:t>
      </w:r>
      <w:r w:rsidR="00267449" w:rsidRPr="00AB7B52">
        <w:rPr>
          <w:rFonts w:ascii="Times New Roman" w:hAnsi="Times New Roman" w:cs="Times New Roman"/>
          <w:i/>
          <w:sz w:val="24"/>
        </w:rPr>
        <w:t>Chapter 8:11</w:t>
      </w:r>
      <w:r w:rsidR="00AB7B52">
        <w:rPr>
          <w:rFonts w:ascii="Times New Roman" w:hAnsi="Times New Roman" w:cs="Times New Roman"/>
          <w:sz w:val="24"/>
        </w:rPr>
        <w:t>]</w:t>
      </w:r>
      <w:r w:rsidR="00267449">
        <w:rPr>
          <w:rFonts w:ascii="Times New Roman" w:hAnsi="Times New Roman" w:cs="Times New Roman"/>
          <w:sz w:val="24"/>
        </w:rPr>
        <w:t>.</w:t>
      </w:r>
    </w:p>
    <w:p w:rsidR="00AB7B52" w:rsidRDefault="00A80CB9" w:rsidP="00A10FEC">
      <w:pPr>
        <w:spacing w:after="0" w:line="360" w:lineRule="auto"/>
        <w:rPr>
          <w:rFonts w:ascii="Times New Roman" w:hAnsi="Times New Roman" w:cs="Times New Roman"/>
          <w:b/>
          <w:sz w:val="24"/>
        </w:rPr>
      </w:pPr>
      <w:r w:rsidRPr="00A80CB9">
        <w:rPr>
          <w:rFonts w:ascii="Times New Roman" w:hAnsi="Times New Roman" w:cs="Times New Roman"/>
          <w:b/>
          <w:sz w:val="24"/>
        </w:rPr>
        <w:t>Prescription</w:t>
      </w:r>
    </w:p>
    <w:p w:rsidR="00AB7B52" w:rsidRDefault="00AB7B52" w:rsidP="00A10FEC">
      <w:pPr>
        <w:spacing w:after="0" w:line="360" w:lineRule="auto"/>
        <w:rPr>
          <w:rFonts w:ascii="Times New Roman" w:hAnsi="Times New Roman" w:cs="Times New Roman"/>
          <w:sz w:val="24"/>
        </w:rPr>
      </w:pPr>
      <w:r>
        <w:rPr>
          <w:rFonts w:ascii="Times New Roman" w:hAnsi="Times New Roman" w:cs="Times New Roman"/>
          <w:b/>
          <w:sz w:val="24"/>
        </w:rPr>
        <w:tab/>
      </w:r>
      <w:r w:rsidR="00E44325" w:rsidRPr="00E44325">
        <w:rPr>
          <w:rFonts w:ascii="Times New Roman" w:hAnsi="Times New Roman" w:cs="Times New Roman"/>
          <w:sz w:val="24"/>
        </w:rPr>
        <w:t xml:space="preserve">The second respondent </w:t>
      </w:r>
      <w:r w:rsidR="00093D1E">
        <w:rPr>
          <w:rFonts w:ascii="Times New Roman" w:hAnsi="Times New Roman" w:cs="Times New Roman"/>
          <w:sz w:val="24"/>
        </w:rPr>
        <w:t xml:space="preserve">has </w:t>
      </w:r>
      <w:r w:rsidR="00E44325" w:rsidRPr="00E44325">
        <w:rPr>
          <w:rFonts w:ascii="Times New Roman" w:hAnsi="Times New Roman" w:cs="Times New Roman"/>
          <w:sz w:val="24"/>
        </w:rPr>
        <w:t xml:space="preserve">enjoyed undisturbed occupation of the land in question for 30 years that is from 1977 to 2017 when the applicant evicted the respondent’s tenant. </w:t>
      </w:r>
      <w:r>
        <w:rPr>
          <w:rFonts w:ascii="Times New Roman" w:hAnsi="Times New Roman" w:cs="Times New Roman"/>
          <w:sz w:val="24"/>
        </w:rPr>
        <w:t xml:space="preserve"> </w:t>
      </w:r>
      <w:r w:rsidR="00A97BAC">
        <w:rPr>
          <w:rFonts w:ascii="Times New Roman" w:hAnsi="Times New Roman" w:cs="Times New Roman"/>
          <w:sz w:val="24"/>
        </w:rPr>
        <w:t>The law as</w:t>
      </w:r>
      <w:r w:rsidR="00516C46">
        <w:rPr>
          <w:rFonts w:ascii="Times New Roman" w:hAnsi="Times New Roman" w:cs="Times New Roman"/>
          <w:sz w:val="24"/>
        </w:rPr>
        <w:t xml:space="preserve"> in </w:t>
      </w:r>
      <w:r w:rsidR="00E44325" w:rsidRPr="00E44325">
        <w:rPr>
          <w:rFonts w:ascii="Times New Roman" w:hAnsi="Times New Roman" w:cs="Times New Roman"/>
          <w:sz w:val="24"/>
        </w:rPr>
        <w:t xml:space="preserve">Section 4 of the </w:t>
      </w:r>
      <w:r>
        <w:rPr>
          <w:rFonts w:ascii="Times New Roman" w:hAnsi="Times New Roman" w:cs="Times New Roman"/>
          <w:sz w:val="24"/>
        </w:rPr>
        <w:t>Prescription Act [</w:t>
      </w:r>
      <w:r w:rsidR="00E44325" w:rsidRPr="00AB7B52">
        <w:rPr>
          <w:rFonts w:ascii="Times New Roman" w:hAnsi="Times New Roman" w:cs="Times New Roman"/>
          <w:i/>
          <w:sz w:val="24"/>
        </w:rPr>
        <w:t>Chapter</w:t>
      </w:r>
      <w:r w:rsidR="00902CED" w:rsidRPr="00AB7B52">
        <w:rPr>
          <w:rFonts w:ascii="Times New Roman" w:hAnsi="Times New Roman" w:cs="Times New Roman"/>
          <w:i/>
          <w:sz w:val="24"/>
        </w:rPr>
        <w:t xml:space="preserve"> 8:11</w:t>
      </w:r>
      <w:r>
        <w:rPr>
          <w:rFonts w:ascii="Times New Roman" w:hAnsi="Times New Roman" w:cs="Times New Roman"/>
          <w:sz w:val="24"/>
        </w:rPr>
        <w:t>]</w:t>
      </w:r>
      <w:r w:rsidR="00E44325" w:rsidRPr="00E44325">
        <w:rPr>
          <w:rFonts w:ascii="Times New Roman" w:hAnsi="Times New Roman" w:cs="Times New Roman"/>
          <w:sz w:val="24"/>
        </w:rPr>
        <w:t xml:space="preserve"> </w:t>
      </w:r>
      <w:r w:rsidR="00516C46">
        <w:rPr>
          <w:rFonts w:ascii="Times New Roman" w:hAnsi="Times New Roman" w:cs="Times New Roman"/>
          <w:sz w:val="24"/>
        </w:rPr>
        <w:t xml:space="preserve">which </w:t>
      </w:r>
      <w:r>
        <w:rPr>
          <w:rFonts w:ascii="Times New Roman" w:hAnsi="Times New Roman" w:cs="Times New Roman"/>
          <w:sz w:val="24"/>
        </w:rPr>
        <w:t>states that:</w:t>
      </w:r>
    </w:p>
    <w:p w:rsidR="00E44325" w:rsidRPr="00AB7B52" w:rsidRDefault="00AB7B52" w:rsidP="00E44F11">
      <w:pPr>
        <w:spacing w:after="0" w:line="240" w:lineRule="auto"/>
        <w:rPr>
          <w:rFonts w:ascii="Times New Roman" w:hAnsi="Times New Roman" w:cs="Times New Roman"/>
          <w:b/>
          <w:sz w:val="22"/>
          <w:szCs w:val="22"/>
        </w:rPr>
      </w:pPr>
      <w:r>
        <w:rPr>
          <w:rFonts w:ascii="Times New Roman" w:hAnsi="Times New Roman" w:cs="Times New Roman"/>
          <w:sz w:val="22"/>
          <w:szCs w:val="22"/>
        </w:rPr>
        <w:tab/>
      </w:r>
      <w:r w:rsidR="00E44325" w:rsidRPr="00AB7B52">
        <w:rPr>
          <w:rFonts w:ascii="Times New Roman" w:hAnsi="Times New Roman" w:cs="Times New Roman"/>
          <w:sz w:val="22"/>
          <w:szCs w:val="22"/>
        </w:rPr>
        <w:t xml:space="preserve">“a person shall by prescription become an owner of a thing he has possessed openly and as if </w:t>
      </w:r>
      <w:r>
        <w:rPr>
          <w:rFonts w:ascii="Times New Roman" w:hAnsi="Times New Roman" w:cs="Times New Roman"/>
          <w:sz w:val="22"/>
          <w:szCs w:val="22"/>
        </w:rPr>
        <w:tab/>
      </w:r>
      <w:r w:rsidR="00E44325" w:rsidRPr="00AB7B52">
        <w:rPr>
          <w:rFonts w:ascii="Times New Roman" w:hAnsi="Times New Roman" w:cs="Times New Roman"/>
          <w:sz w:val="22"/>
          <w:szCs w:val="22"/>
        </w:rPr>
        <w:t xml:space="preserve">he were the owner thereof for </w:t>
      </w:r>
    </w:p>
    <w:p w:rsidR="00E44325" w:rsidRPr="00AB7B52" w:rsidRDefault="00E44325" w:rsidP="00E44F11">
      <w:pPr>
        <w:pStyle w:val="ListParagraph"/>
        <w:numPr>
          <w:ilvl w:val="0"/>
          <w:numId w:val="2"/>
        </w:numPr>
        <w:spacing w:after="0" w:line="240" w:lineRule="auto"/>
        <w:rPr>
          <w:rFonts w:ascii="Times New Roman" w:hAnsi="Times New Roman" w:cs="Times New Roman"/>
          <w:sz w:val="22"/>
          <w:szCs w:val="22"/>
        </w:rPr>
      </w:pPr>
      <w:r w:rsidRPr="00AB7B52">
        <w:rPr>
          <w:rFonts w:ascii="Times New Roman" w:hAnsi="Times New Roman" w:cs="Times New Roman"/>
          <w:sz w:val="22"/>
          <w:szCs w:val="22"/>
        </w:rPr>
        <w:t>an uninterrupted period of thirty years;</w:t>
      </w:r>
      <w:r w:rsidR="00AB7B52">
        <w:rPr>
          <w:rFonts w:ascii="Times New Roman" w:hAnsi="Times New Roman" w:cs="Times New Roman"/>
          <w:sz w:val="22"/>
          <w:szCs w:val="22"/>
        </w:rPr>
        <w:t xml:space="preserve"> </w:t>
      </w:r>
      <w:r w:rsidRPr="00AB7B52">
        <w:rPr>
          <w:rFonts w:ascii="Times New Roman" w:hAnsi="Times New Roman" w:cs="Times New Roman"/>
          <w:sz w:val="22"/>
          <w:szCs w:val="22"/>
        </w:rPr>
        <w:t>or</w:t>
      </w:r>
    </w:p>
    <w:p w:rsidR="00E44325" w:rsidRDefault="00E44325" w:rsidP="00E44F11">
      <w:pPr>
        <w:pStyle w:val="ListParagraph"/>
        <w:numPr>
          <w:ilvl w:val="0"/>
          <w:numId w:val="2"/>
        </w:numPr>
        <w:spacing w:after="0" w:line="240" w:lineRule="auto"/>
        <w:rPr>
          <w:rFonts w:ascii="Times New Roman" w:hAnsi="Times New Roman" w:cs="Times New Roman"/>
          <w:sz w:val="22"/>
          <w:szCs w:val="22"/>
        </w:rPr>
      </w:pPr>
      <w:r w:rsidRPr="00AB7B52">
        <w:rPr>
          <w:rFonts w:ascii="Times New Roman" w:hAnsi="Times New Roman" w:cs="Times New Roman"/>
          <w:sz w:val="22"/>
          <w:szCs w:val="22"/>
        </w:rPr>
        <w:t>a period which, together with any periods for which such thing was so possessed by his predecessors in the title,</w:t>
      </w:r>
      <w:r w:rsidR="0041332B">
        <w:rPr>
          <w:rFonts w:ascii="Times New Roman" w:hAnsi="Times New Roman" w:cs="Times New Roman"/>
          <w:sz w:val="22"/>
          <w:szCs w:val="22"/>
        </w:rPr>
        <w:t xml:space="preserve"> </w:t>
      </w:r>
      <w:r w:rsidRPr="00AB7B52">
        <w:rPr>
          <w:rFonts w:ascii="Times New Roman" w:hAnsi="Times New Roman" w:cs="Times New Roman"/>
          <w:sz w:val="22"/>
          <w:szCs w:val="22"/>
        </w:rPr>
        <w:t>constitutes an unint</w:t>
      </w:r>
      <w:r w:rsidR="0041332B">
        <w:rPr>
          <w:rFonts w:ascii="Times New Roman" w:hAnsi="Times New Roman" w:cs="Times New Roman"/>
          <w:sz w:val="22"/>
          <w:szCs w:val="22"/>
        </w:rPr>
        <w:t>errupted period of thirty years.</w:t>
      </w:r>
      <w:r w:rsidRPr="00AB7B52">
        <w:rPr>
          <w:rFonts w:ascii="Times New Roman" w:hAnsi="Times New Roman" w:cs="Times New Roman"/>
          <w:sz w:val="22"/>
          <w:szCs w:val="22"/>
        </w:rPr>
        <w:t>’’</w:t>
      </w:r>
    </w:p>
    <w:p w:rsidR="00E44F11" w:rsidRPr="00AB7B52" w:rsidRDefault="00E44F11" w:rsidP="00E44F11">
      <w:pPr>
        <w:pStyle w:val="ListParagraph"/>
        <w:spacing w:after="0" w:line="240" w:lineRule="auto"/>
        <w:rPr>
          <w:rFonts w:ascii="Times New Roman" w:hAnsi="Times New Roman" w:cs="Times New Roman"/>
          <w:sz w:val="22"/>
          <w:szCs w:val="22"/>
        </w:rPr>
      </w:pPr>
    </w:p>
    <w:p w:rsidR="0041332B" w:rsidRDefault="0041332B" w:rsidP="00E44F11">
      <w:pPr>
        <w:pStyle w:val="headnote"/>
        <w:shd w:val="clear" w:color="auto" w:fill="FFFFFF"/>
        <w:spacing w:before="84" w:beforeAutospacing="0" w:after="0" w:afterAutospacing="0" w:line="360" w:lineRule="auto"/>
        <w:jc w:val="both"/>
        <w:rPr>
          <w:rStyle w:val="italic"/>
          <w:iCs/>
          <w:color w:val="000000"/>
        </w:rPr>
      </w:pPr>
      <w:r>
        <w:rPr>
          <w:rStyle w:val="italic"/>
          <w:iCs/>
          <w:color w:val="000000"/>
        </w:rPr>
        <w:tab/>
      </w:r>
      <w:r w:rsidR="00C8287A">
        <w:rPr>
          <w:rStyle w:val="italic"/>
          <w:iCs/>
          <w:color w:val="000000"/>
        </w:rPr>
        <w:t xml:space="preserve">In the case of </w:t>
      </w:r>
      <w:r w:rsidR="00C8287A" w:rsidRPr="00C8287A">
        <w:rPr>
          <w:rStyle w:val="italic"/>
          <w:i/>
          <w:iCs/>
          <w:color w:val="000000"/>
        </w:rPr>
        <w:t xml:space="preserve">Bulgareomin Ltd </w:t>
      </w:r>
      <w:r w:rsidR="00C8287A" w:rsidRPr="0041332B">
        <w:rPr>
          <w:rStyle w:val="italic"/>
          <w:iCs/>
          <w:color w:val="000000"/>
        </w:rPr>
        <w:t>v</w:t>
      </w:r>
      <w:r w:rsidR="00C8287A" w:rsidRPr="00C8287A">
        <w:rPr>
          <w:rStyle w:val="italic"/>
          <w:i/>
          <w:iCs/>
          <w:color w:val="000000"/>
        </w:rPr>
        <w:t xml:space="preserve"> Government </w:t>
      </w:r>
      <w:r>
        <w:rPr>
          <w:rStyle w:val="italic"/>
          <w:i/>
          <w:iCs/>
          <w:color w:val="000000"/>
        </w:rPr>
        <w:t>o</w:t>
      </w:r>
      <w:r w:rsidR="00C8287A" w:rsidRPr="00C8287A">
        <w:rPr>
          <w:rStyle w:val="italic"/>
          <w:i/>
          <w:iCs/>
          <w:color w:val="000000"/>
        </w:rPr>
        <w:t>f the Republic of Bulgaria &amp;</w:t>
      </w:r>
      <w:r>
        <w:rPr>
          <w:rStyle w:val="italic"/>
          <w:i/>
          <w:iCs/>
          <w:color w:val="000000"/>
        </w:rPr>
        <w:t xml:space="preserve"> </w:t>
      </w:r>
      <w:r w:rsidR="00C8287A" w:rsidRPr="00C8287A">
        <w:rPr>
          <w:rStyle w:val="italic"/>
          <w:i/>
          <w:iCs/>
          <w:color w:val="000000"/>
        </w:rPr>
        <w:t xml:space="preserve">Ors </w:t>
      </w:r>
      <w:r w:rsidR="00C8287A" w:rsidRPr="0041332B">
        <w:rPr>
          <w:rStyle w:val="italic"/>
          <w:iCs/>
          <w:color w:val="000000"/>
        </w:rPr>
        <w:t>HH732/15</w:t>
      </w:r>
      <w:r w:rsidR="00C8287A">
        <w:rPr>
          <w:rStyle w:val="italic"/>
          <w:iCs/>
          <w:color w:val="000000"/>
        </w:rPr>
        <w:t xml:space="preserve"> </w:t>
      </w:r>
      <w:r w:rsidR="00C8287A" w:rsidRPr="0041332B">
        <w:rPr>
          <w:rStyle w:val="italic"/>
          <w:iCs/>
          <w:smallCaps/>
          <w:color w:val="000000"/>
        </w:rPr>
        <w:t>Chigumba J</w:t>
      </w:r>
      <w:r w:rsidR="00C8287A">
        <w:rPr>
          <w:rStyle w:val="italic"/>
          <w:iCs/>
          <w:color w:val="000000"/>
        </w:rPr>
        <w:t xml:space="preserve"> commented </w:t>
      </w:r>
      <w:r w:rsidR="00A97BAC">
        <w:rPr>
          <w:rStyle w:val="italic"/>
          <w:iCs/>
          <w:color w:val="000000"/>
        </w:rPr>
        <w:t>as follows</w:t>
      </w:r>
      <w:r>
        <w:rPr>
          <w:rStyle w:val="italic"/>
          <w:iCs/>
          <w:color w:val="000000"/>
        </w:rPr>
        <w:t>:</w:t>
      </w:r>
    </w:p>
    <w:p w:rsidR="0041332B" w:rsidRDefault="0041332B" w:rsidP="00775439">
      <w:pPr>
        <w:pStyle w:val="headnote"/>
        <w:shd w:val="clear" w:color="auto" w:fill="FFFFFF"/>
        <w:spacing w:before="0" w:beforeAutospacing="0" w:after="0" w:afterAutospacing="0"/>
        <w:jc w:val="both"/>
        <w:rPr>
          <w:color w:val="000000"/>
          <w:sz w:val="22"/>
          <w:szCs w:val="22"/>
        </w:rPr>
      </w:pPr>
      <w:r>
        <w:rPr>
          <w:rStyle w:val="italic"/>
          <w:iCs/>
          <w:color w:val="000000"/>
        </w:rPr>
        <w:tab/>
      </w:r>
      <w:r w:rsidR="00A97BAC" w:rsidRPr="0041332B">
        <w:rPr>
          <w:rStyle w:val="italic"/>
          <w:iCs/>
          <w:color w:val="000000"/>
          <w:sz w:val="22"/>
          <w:szCs w:val="22"/>
        </w:rPr>
        <w:t>“</w:t>
      </w:r>
      <w:r w:rsidR="009D50B6" w:rsidRPr="0041332B">
        <w:rPr>
          <w:color w:val="000000"/>
          <w:sz w:val="22"/>
          <w:szCs w:val="22"/>
        </w:rPr>
        <w:t>any</w:t>
      </w:r>
      <w:r w:rsidR="00C9015C" w:rsidRPr="0041332B">
        <w:rPr>
          <w:color w:val="000000"/>
          <w:sz w:val="22"/>
          <w:szCs w:val="22"/>
        </w:rPr>
        <w:t xml:space="preserve"> person who acquires full juristic possession, without force and peaceably, so openly and </w:t>
      </w:r>
      <w:r>
        <w:rPr>
          <w:color w:val="000000"/>
          <w:sz w:val="22"/>
          <w:szCs w:val="22"/>
        </w:rPr>
        <w:tab/>
      </w:r>
      <w:r w:rsidR="00C9015C" w:rsidRPr="0041332B">
        <w:rPr>
          <w:color w:val="000000"/>
          <w:sz w:val="22"/>
          <w:szCs w:val="22"/>
        </w:rPr>
        <w:t xml:space="preserve">patently to the owner or another or both, and without recognizing the title of the owner, becomes </w:t>
      </w:r>
      <w:r>
        <w:rPr>
          <w:color w:val="000000"/>
          <w:sz w:val="22"/>
          <w:szCs w:val="22"/>
        </w:rPr>
        <w:tab/>
      </w:r>
      <w:r w:rsidR="00C9015C" w:rsidRPr="0041332B">
        <w:rPr>
          <w:color w:val="000000"/>
          <w:sz w:val="22"/>
          <w:szCs w:val="22"/>
        </w:rPr>
        <w:t xml:space="preserve">the true owner thereof after the passage of a period of thirty </w:t>
      </w:r>
      <w:r w:rsidR="00C8287A" w:rsidRPr="0041332B">
        <w:rPr>
          <w:color w:val="000000"/>
          <w:sz w:val="22"/>
          <w:szCs w:val="22"/>
        </w:rPr>
        <w:t>years.</w:t>
      </w:r>
      <w:r w:rsidR="00A97BAC" w:rsidRPr="0041332B">
        <w:rPr>
          <w:color w:val="000000"/>
          <w:sz w:val="22"/>
          <w:szCs w:val="22"/>
        </w:rPr>
        <w:t xml:space="preserve"> The court also observed that</w:t>
      </w:r>
      <w:r w:rsidR="00C9015C" w:rsidRPr="0041332B">
        <w:rPr>
          <w:color w:val="000000"/>
          <w:sz w:val="22"/>
          <w:szCs w:val="22"/>
        </w:rPr>
        <w:t xml:space="preserve"> </w:t>
      </w:r>
      <w:r>
        <w:rPr>
          <w:color w:val="000000"/>
          <w:sz w:val="22"/>
          <w:szCs w:val="22"/>
        </w:rPr>
        <w:tab/>
      </w:r>
      <w:r w:rsidR="00C9015C" w:rsidRPr="0041332B">
        <w:rPr>
          <w:color w:val="000000"/>
          <w:sz w:val="22"/>
          <w:szCs w:val="22"/>
        </w:rPr>
        <w:t xml:space="preserve">a possessor seeking transfer on the basis of acquisitive prescription must show that its </w:t>
      </w:r>
      <w:r>
        <w:rPr>
          <w:color w:val="000000"/>
          <w:sz w:val="22"/>
          <w:szCs w:val="22"/>
        </w:rPr>
        <w:tab/>
      </w:r>
      <w:r w:rsidR="00C9015C" w:rsidRPr="0041332B">
        <w:rPr>
          <w:color w:val="000000"/>
          <w:sz w:val="22"/>
          <w:szCs w:val="22"/>
        </w:rPr>
        <w:t xml:space="preserve">possession was adverse to the rights of the owner and that open possession was exercised </w:t>
      </w:r>
      <w:r>
        <w:rPr>
          <w:color w:val="000000"/>
          <w:sz w:val="22"/>
          <w:szCs w:val="22"/>
        </w:rPr>
        <w:tab/>
      </w:r>
      <w:r w:rsidR="00C9015C" w:rsidRPr="0041332B">
        <w:rPr>
          <w:color w:val="000000"/>
          <w:sz w:val="22"/>
          <w:szCs w:val="22"/>
        </w:rPr>
        <w:t xml:space="preserve">without recognizing the title of the </w:t>
      </w:r>
      <w:r w:rsidR="006F4754" w:rsidRPr="0041332B">
        <w:rPr>
          <w:color w:val="000000"/>
          <w:sz w:val="22"/>
          <w:szCs w:val="22"/>
        </w:rPr>
        <w:t>owner.</w:t>
      </w:r>
      <w:r w:rsidR="00E44F11">
        <w:rPr>
          <w:color w:val="000000"/>
          <w:sz w:val="22"/>
          <w:szCs w:val="22"/>
        </w:rPr>
        <w:t>”</w:t>
      </w:r>
      <w:r w:rsidR="006F4754" w:rsidRPr="0041332B">
        <w:rPr>
          <w:color w:val="000000"/>
          <w:sz w:val="22"/>
          <w:szCs w:val="22"/>
        </w:rPr>
        <w:t xml:space="preserve"> </w:t>
      </w:r>
    </w:p>
    <w:p w:rsidR="0041332B" w:rsidRPr="0041332B" w:rsidRDefault="0041332B" w:rsidP="00775439">
      <w:pPr>
        <w:pStyle w:val="headnote"/>
        <w:shd w:val="clear" w:color="auto" w:fill="FFFFFF"/>
        <w:spacing w:before="0" w:beforeAutospacing="0" w:after="0" w:afterAutospacing="0"/>
        <w:jc w:val="both"/>
        <w:rPr>
          <w:color w:val="000000"/>
          <w:sz w:val="22"/>
          <w:szCs w:val="22"/>
        </w:rPr>
      </w:pPr>
    </w:p>
    <w:p w:rsidR="00A80CB9" w:rsidRPr="005015E8" w:rsidRDefault="0041332B" w:rsidP="00775439">
      <w:pPr>
        <w:pStyle w:val="headnote"/>
        <w:shd w:val="clear" w:color="auto" w:fill="FFFFFF"/>
        <w:spacing w:before="0" w:beforeAutospacing="0" w:after="0" w:afterAutospacing="0" w:line="360" w:lineRule="auto"/>
        <w:jc w:val="both"/>
        <w:rPr>
          <w:color w:val="000000"/>
        </w:rPr>
      </w:pPr>
      <w:r>
        <w:rPr>
          <w:color w:val="000000"/>
        </w:rPr>
        <w:tab/>
      </w:r>
      <w:r w:rsidR="00CF178A">
        <w:rPr>
          <w:color w:val="000000"/>
        </w:rPr>
        <w:t xml:space="preserve">The applicant was passive for 30 years whilst the second respondents enjoyed peaceful use of the property. </w:t>
      </w:r>
      <w:r>
        <w:rPr>
          <w:color w:val="000000"/>
        </w:rPr>
        <w:t xml:space="preserve"> </w:t>
      </w:r>
      <w:r w:rsidR="00CF178A">
        <w:rPr>
          <w:color w:val="000000"/>
        </w:rPr>
        <w:t xml:space="preserve">The second respondent enjoyed 30 years of undisturbed use of this property in question and thus when the applicant </w:t>
      </w:r>
      <w:r w:rsidR="001C6363">
        <w:rPr>
          <w:color w:val="000000"/>
        </w:rPr>
        <w:t xml:space="preserve">evicted the second respondents tenant prescription had already taken effect. </w:t>
      </w:r>
      <w:r>
        <w:rPr>
          <w:color w:val="000000"/>
        </w:rPr>
        <w:t xml:space="preserve"> </w:t>
      </w:r>
      <w:r w:rsidR="001C6363">
        <w:rPr>
          <w:color w:val="000000"/>
        </w:rPr>
        <w:t>The applicant submitted that prescription had been disturbed because of the judgment obtained from the magistrate courts however what the applicant failed to realise is that the judgment from the magistrate did not have any effect on the applicant as they were not party to the legal proceedings and the applicant only effected his judgement in 2017.</w:t>
      </w:r>
      <w:r w:rsidR="00E44F11">
        <w:rPr>
          <w:color w:val="000000"/>
        </w:rPr>
        <w:t xml:space="preserve"> </w:t>
      </w:r>
      <w:r w:rsidR="001C6363">
        <w:rPr>
          <w:color w:val="000000"/>
        </w:rPr>
        <w:t xml:space="preserve">Thus </w:t>
      </w:r>
      <w:r w:rsidR="001C6363">
        <w:rPr>
          <w:color w:val="000000"/>
        </w:rPr>
        <w:lastRenderedPageBreak/>
        <w:t>this court believes that the property has prescribed an</w:t>
      </w:r>
      <w:r w:rsidR="005015E8">
        <w:rPr>
          <w:color w:val="000000"/>
        </w:rPr>
        <w:t>d it n</w:t>
      </w:r>
      <w:r w:rsidR="001C6363">
        <w:rPr>
          <w:color w:val="000000"/>
        </w:rPr>
        <w:t>ow belonged to the second respondent.</w:t>
      </w:r>
    </w:p>
    <w:p w:rsidR="00A80CB9" w:rsidRPr="0041332B" w:rsidRDefault="00A80CB9" w:rsidP="00A10FEC">
      <w:pPr>
        <w:spacing w:after="0" w:line="360" w:lineRule="auto"/>
        <w:rPr>
          <w:rFonts w:ascii="Times New Roman" w:hAnsi="Times New Roman" w:cs="Times New Roman"/>
          <w:b/>
          <w:i/>
          <w:color w:val="202020"/>
          <w:sz w:val="24"/>
          <w:shd w:val="clear" w:color="auto" w:fill="FFFFFF"/>
        </w:rPr>
      </w:pPr>
      <w:r w:rsidRPr="0041332B">
        <w:rPr>
          <w:rFonts w:ascii="Times New Roman" w:hAnsi="Times New Roman" w:cs="Times New Roman"/>
          <w:b/>
          <w:i/>
          <w:color w:val="202020"/>
          <w:sz w:val="24"/>
          <w:shd w:val="clear" w:color="auto" w:fill="FFFFFF"/>
        </w:rPr>
        <w:t>Locus Standi</w:t>
      </w:r>
    </w:p>
    <w:p w:rsidR="008627CA" w:rsidRDefault="00E44F11" w:rsidP="00A10FEC">
      <w:pPr>
        <w:spacing w:after="0" w:line="360" w:lineRule="auto"/>
        <w:rPr>
          <w:rFonts w:ascii="Times New Roman" w:hAnsi="Times New Roman" w:cs="Times New Roman"/>
          <w:color w:val="202020"/>
          <w:sz w:val="24"/>
          <w:shd w:val="clear" w:color="auto" w:fill="FFFFFF"/>
        </w:rPr>
      </w:pPr>
      <w:r>
        <w:rPr>
          <w:rFonts w:ascii="Times New Roman" w:hAnsi="Times New Roman" w:cs="Times New Roman"/>
          <w:color w:val="202020"/>
          <w:sz w:val="24"/>
          <w:shd w:val="clear" w:color="auto" w:fill="FFFFFF"/>
        </w:rPr>
        <w:tab/>
      </w:r>
      <w:r w:rsidR="0041332B">
        <w:rPr>
          <w:rFonts w:ascii="Times New Roman" w:hAnsi="Times New Roman" w:cs="Times New Roman"/>
          <w:color w:val="202020"/>
          <w:sz w:val="24"/>
          <w:shd w:val="clear" w:color="auto" w:fill="FFFFFF"/>
        </w:rPr>
        <w:t>The a</w:t>
      </w:r>
      <w:r w:rsidR="0041332B" w:rsidRPr="009158A0">
        <w:rPr>
          <w:rFonts w:ascii="Times New Roman" w:hAnsi="Times New Roman" w:cs="Times New Roman"/>
          <w:color w:val="202020"/>
          <w:sz w:val="24"/>
          <w:shd w:val="clear" w:color="auto" w:fill="FFFFFF"/>
        </w:rPr>
        <w:t>pplicant</w:t>
      </w:r>
      <w:r w:rsidR="00975DCB">
        <w:rPr>
          <w:rFonts w:ascii="Times New Roman" w:hAnsi="Times New Roman" w:cs="Times New Roman"/>
          <w:color w:val="202020"/>
          <w:sz w:val="24"/>
          <w:shd w:val="clear" w:color="auto" w:fill="FFFFFF"/>
        </w:rPr>
        <w:t>’</w:t>
      </w:r>
      <w:r w:rsidR="0041332B" w:rsidRPr="009158A0">
        <w:rPr>
          <w:rFonts w:ascii="Times New Roman" w:hAnsi="Times New Roman" w:cs="Times New Roman"/>
          <w:color w:val="202020"/>
          <w:sz w:val="24"/>
          <w:shd w:val="clear" w:color="auto" w:fill="FFFFFF"/>
        </w:rPr>
        <w:t>s</w:t>
      </w:r>
      <w:r w:rsidR="009158A0" w:rsidRPr="009158A0">
        <w:rPr>
          <w:rFonts w:ascii="Times New Roman" w:hAnsi="Times New Roman" w:cs="Times New Roman"/>
          <w:color w:val="202020"/>
          <w:sz w:val="24"/>
          <w:shd w:val="clear" w:color="auto" w:fill="FFFFFF"/>
        </w:rPr>
        <w:t xml:space="preserve"> </w:t>
      </w:r>
      <w:r w:rsidR="009158A0" w:rsidRPr="0041332B">
        <w:rPr>
          <w:rFonts w:ascii="Times New Roman" w:hAnsi="Times New Roman" w:cs="Times New Roman"/>
          <w:i/>
          <w:color w:val="202020"/>
          <w:sz w:val="24"/>
          <w:shd w:val="clear" w:color="auto" w:fill="FFFFFF"/>
        </w:rPr>
        <w:t>locus standi</w:t>
      </w:r>
      <w:r w:rsidR="009158A0" w:rsidRPr="009158A0">
        <w:rPr>
          <w:rFonts w:ascii="Times New Roman" w:hAnsi="Times New Roman" w:cs="Times New Roman"/>
          <w:color w:val="202020"/>
          <w:sz w:val="24"/>
          <w:shd w:val="clear" w:color="auto" w:fill="FFFFFF"/>
        </w:rPr>
        <w:t xml:space="preserve"> in this matter was questioned by the second respondent who stated that the applicant does not have locus standi as his tenure as Executor Dative had ended. </w:t>
      </w:r>
      <w:r w:rsidR="0041332B">
        <w:rPr>
          <w:rFonts w:ascii="Times New Roman" w:hAnsi="Times New Roman" w:cs="Times New Roman"/>
          <w:color w:val="202020"/>
          <w:sz w:val="24"/>
          <w:shd w:val="clear" w:color="auto" w:fill="FFFFFF"/>
        </w:rPr>
        <w:t xml:space="preserve"> </w:t>
      </w:r>
      <w:r w:rsidR="009158A0" w:rsidRPr="009158A0">
        <w:rPr>
          <w:rFonts w:ascii="Times New Roman" w:hAnsi="Times New Roman" w:cs="Times New Roman"/>
          <w:color w:val="202020"/>
          <w:sz w:val="24"/>
          <w:shd w:val="clear" w:color="auto" w:fill="FFFFFF"/>
        </w:rPr>
        <w:t xml:space="preserve">The court is of the view that </w:t>
      </w:r>
      <w:r w:rsidR="009158A0">
        <w:rPr>
          <w:rFonts w:ascii="Times New Roman" w:hAnsi="Times New Roman" w:cs="Times New Roman"/>
          <w:color w:val="202020"/>
          <w:sz w:val="24"/>
          <w:shd w:val="clear" w:color="auto" w:fill="FFFFFF"/>
        </w:rPr>
        <w:t>executor dative duties only come to an end when all the property is distributed</w:t>
      </w:r>
      <w:r w:rsidR="006B1E0E">
        <w:rPr>
          <w:rFonts w:ascii="Times New Roman" w:hAnsi="Times New Roman" w:cs="Times New Roman"/>
          <w:color w:val="202020"/>
          <w:sz w:val="24"/>
          <w:shd w:val="clear" w:color="auto" w:fill="FFFFFF"/>
        </w:rPr>
        <w:t xml:space="preserve"> and discharged of his duties</w:t>
      </w:r>
      <w:r w:rsidR="009158A0">
        <w:rPr>
          <w:rFonts w:ascii="Times New Roman" w:hAnsi="Times New Roman" w:cs="Times New Roman"/>
          <w:color w:val="202020"/>
          <w:sz w:val="24"/>
          <w:shd w:val="clear" w:color="auto" w:fill="FFFFFF"/>
        </w:rPr>
        <w:t xml:space="preserve">. </w:t>
      </w:r>
      <w:r w:rsidR="00766759">
        <w:rPr>
          <w:rFonts w:ascii="Times New Roman" w:hAnsi="Times New Roman" w:cs="Times New Roman"/>
          <w:color w:val="202020"/>
          <w:sz w:val="24"/>
          <w:shd w:val="clear" w:color="auto" w:fill="FFFFFF"/>
        </w:rPr>
        <w:t xml:space="preserve">This view is supported by </w:t>
      </w:r>
      <w:r w:rsidR="00975DCB">
        <w:rPr>
          <w:rFonts w:ascii="Times New Roman" w:hAnsi="Times New Roman" w:cs="Times New Roman"/>
          <w:color w:val="202020"/>
          <w:sz w:val="24"/>
          <w:shd w:val="clear" w:color="auto" w:fill="FFFFFF"/>
        </w:rPr>
        <w:t xml:space="preserve">s </w:t>
      </w:r>
      <w:r w:rsidR="00A10FEC">
        <w:rPr>
          <w:rFonts w:ascii="Times New Roman" w:hAnsi="Times New Roman" w:cs="Times New Roman"/>
          <w:color w:val="202020"/>
          <w:sz w:val="24"/>
          <w:shd w:val="clear" w:color="auto" w:fill="FFFFFF"/>
        </w:rPr>
        <w:t xml:space="preserve">52 (11) </w:t>
      </w:r>
      <w:r w:rsidR="0041332B">
        <w:rPr>
          <w:rFonts w:ascii="Times New Roman" w:hAnsi="Times New Roman" w:cs="Times New Roman"/>
          <w:color w:val="202020"/>
          <w:sz w:val="24"/>
          <w:shd w:val="clear" w:color="auto" w:fill="FFFFFF"/>
        </w:rPr>
        <w:t>[</w:t>
      </w:r>
      <w:r w:rsidR="00DA150F" w:rsidRPr="0041332B">
        <w:rPr>
          <w:rFonts w:ascii="Times New Roman" w:hAnsi="Times New Roman" w:cs="Times New Roman"/>
          <w:i/>
          <w:color w:val="202020"/>
          <w:sz w:val="24"/>
          <w:shd w:val="clear" w:color="auto" w:fill="FFFFFF"/>
        </w:rPr>
        <w:t>Chapter</w:t>
      </w:r>
      <w:r w:rsidR="008627CA">
        <w:rPr>
          <w:rFonts w:ascii="Times New Roman" w:hAnsi="Times New Roman" w:cs="Times New Roman"/>
          <w:i/>
          <w:color w:val="202020"/>
          <w:sz w:val="24"/>
          <w:shd w:val="clear" w:color="auto" w:fill="FFFFFF"/>
        </w:rPr>
        <w:t xml:space="preserve"> </w:t>
      </w:r>
      <w:r w:rsidR="00A10FEC" w:rsidRPr="0041332B">
        <w:rPr>
          <w:rFonts w:ascii="Times New Roman" w:hAnsi="Times New Roman" w:cs="Times New Roman"/>
          <w:i/>
          <w:color w:val="202020"/>
          <w:sz w:val="24"/>
          <w:shd w:val="clear" w:color="auto" w:fill="FFFFFF"/>
        </w:rPr>
        <w:t>06:01</w:t>
      </w:r>
      <w:r w:rsidR="0041332B">
        <w:rPr>
          <w:rFonts w:ascii="Times New Roman" w:hAnsi="Times New Roman" w:cs="Times New Roman"/>
          <w:color w:val="202020"/>
          <w:sz w:val="24"/>
          <w:shd w:val="clear" w:color="auto" w:fill="FFFFFF"/>
        </w:rPr>
        <w:t>]</w:t>
      </w:r>
      <w:r w:rsidR="008627CA">
        <w:rPr>
          <w:rFonts w:ascii="Times New Roman" w:hAnsi="Times New Roman" w:cs="Times New Roman"/>
          <w:color w:val="202020"/>
          <w:sz w:val="24"/>
          <w:shd w:val="clear" w:color="auto" w:fill="FFFFFF"/>
        </w:rPr>
        <w:t>:</w:t>
      </w:r>
    </w:p>
    <w:p w:rsidR="008627CA" w:rsidRDefault="008627CA" w:rsidP="008627CA">
      <w:pPr>
        <w:spacing w:after="0" w:line="240" w:lineRule="auto"/>
        <w:rPr>
          <w:rFonts w:ascii="Times New Roman" w:hAnsi="Times New Roman" w:cs="Times New Roman"/>
          <w:sz w:val="22"/>
          <w:szCs w:val="22"/>
        </w:rPr>
      </w:pPr>
      <w:r>
        <w:rPr>
          <w:rFonts w:ascii="Times New Roman" w:hAnsi="Times New Roman" w:cs="Times New Roman"/>
          <w:color w:val="202020"/>
          <w:sz w:val="24"/>
          <w:shd w:val="clear" w:color="auto" w:fill="FFFFFF"/>
        </w:rPr>
        <w:tab/>
      </w:r>
      <w:r w:rsidR="00F33704" w:rsidRPr="008627CA">
        <w:rPr>
          <w:sz w:val="22"/>
          <w:szCs w:val="22"/>
        </w:rPr>
        <w:t xml:space="preserve"> </w:t>
      </w:r>
      <w:r w:rsidR="00E44F11">
        <w:rPr>
          <w:sz w:val="22"/>
          <w:szCs w:val="22"/>
        </w:rPr>
        <w:t>“</w:t>
      </w:r>
      <w:r w:rsidR="00F33704" w:rsidRPr="008627CA">
        <w:rPr>
          <w:sz w:val="22"/>
          <w:szCs w:val="22"/>
        </w:rPr>
        <w:t>U</w:t>
      </w:r>
      <w:r w:rsidR="00F33704" w:rsidRPr="008627CA">
        <w:rPr>
          <w:rFonts w:ascii="Times New Roman" w:hAnsi="Times New Roman" w:cs="Times New Roman"/>
          <w:sz w:val="22"/>
          <w:szCs w:val="22"/>
        </w:rPr>
        <w:t xml:space="preserve">pon the final and complete liquidation of the estate to the satisfaction of the Master the </w:t>
      </w:r>
      <w:r>
        <w:rPr>
          <w:rFonts w:ascii="Times New Roman" w:hAnsi="Times New Roman" w:cs="Times New Roman"/>
          <w:sz w:val="22"/>
          <w:szCs w:val="22"/>
        </w:rPr>
        <w:tab/>
      </w:r>
      <w:r w:rsidR="00F33704" w:rsidRPr="008627CA">
        <w:rPr>
          <w:rFonts w:ascii="Times New Roman" w:hAnsi="Times New Roman" w:cs="Times New Roman"/>
          <w:sz w:val="22"/>
          <w:szCs w:val="22"/>
        </w:rPr>
        <w:t>executor shall then be entitled to obtain his discharge from the Master as such executor</w:t>
      </w:r>
      <w:r w:rsidRPr="008627CA">
        <w:rPr>
          <w:rFonts w:ascii="Times New Roman" w:hAnsi="Times New Roman" w:cs="Times New Roman"/>
          <w:sz w:val="22"/>
          <w:szCs w:val="22"/>
        </w:rPr>
        <w:t xml:space="preserve">.” </w:t>
      </w:r>
    </w:p>
    <w:p w:rsidR="00E44F11" w:rsidRDefault="00E44F11" w:rsidP="008627CA">
      <w:pPr>
        <w:spacing w:after="0" w:line="360" w:lineRule="auto"/>
        <w:rPr>
          <w:rFonts w:ascii="Times New Roman" w:hAnsi="Times New Roman" w:cs="Times New Roman"/>
          <w:color w:val="202020"/>
          <w:sz w:val="24"/>
          <w:shd w:val="clear" w:color="auto" w:fill="FFFFFF"/>
        </w:rPr>
      </w:pPr>
    </w:p>
    <w:p w:rsidR="008627CA" w:rsidRDefault="004A3D94" w:rsidP="008627CA">
      <w:pPr>
        <w:spacing w:after="0" w:line="360" w:lineRule="auto"/>
        <w:rPr>
          <w:rFonts w:ascii="Times New Roman" w:hAnsi="Times New Roman" w:cs="Times New Roman"/>
          <w:color w:val="202020"/>
          <w:sz w:val="24"/>
          <w:shd w:val="clear" w:color="auto" w:fill="FFFFFF"/>
        </w:rPr>
      </w:pPr>
      <w:r>
        <w:rPr>
          <w:rFonts w:ascii="Times New Roman" w:hAnsi="Times New Roman" w:cs="Times New Roman"/>
          <w:color w:val="202020"/>
          <w:sz w:val="24"/>
          <w:shd w:val="clear" w:color="auto" w:fill="FFFFFF"/>
        </w:rPr>
        <w:tab/>
      </w:r>
      <w:r w:rsidR="00F33704">
        <w:rPr>
          <w:rFonts w:ascii="Times New Roman" w:hAnsi="Times New Roman" w:cs="Times New Roman"/>
          <w:color w:val="202020"/>
          <w:sz w:val="24"/>
          <w:shd w:val="clear" w:color="auto" w:fill="FFFFFF"/>
        </w:rPr>
        <w:t>In</w:t>
      </w:r>
      <w:r w:rsidR="008627CA">
        <w:rPr>
          <w:rFonts w:ascii="Times New Roman" w:hAnsi="Times New Roman" w:cs="Times New Roman"/>
          <w:color w:val="202020"/>
          <w:sz w:val="24"/>
          <w:shd w:val="clear" w:color="auto" w:fill="FFFFFF"/>
        </w:rPr>
        <w:t xml:space="preserve"> this matter the a</w:t>
      </w:r>
      <w:r w:rsidR="009158A0">
        <w:rPr>
          <w:rFonts w:ascii="Times New Roman" w:hAnsi="Times New Roman" w:cs="Times New Roman"/>
          <w:color w:val="202020"/>
          <w:sz w:val="24"/>
          <w:shd w:val="clear" w:color="auto" w:fill="FFFFFF"/>
        </w:rPr>
        <w:t xml:space="preserve">pplicant </w:t>
      </w:r>
      <w:r w:rsidR="009D215B">
        <w:rPr>
          <w:rFonts w:ascii="Times New Roman" w:hAnsi="Times New Roman" w:cs="Times New Roman"/>
          <w:color w:val="202020"/>
          <w:sz w:val="24"/>
          <w:shd w:val="clear" w:color="auto" w:fill="FFFFFF"/>
        </w:rPr>
        <w:t>contends</w:t>
      </w:r>
      <w:r w:rsidR="009158A0">
        <w:rPr>
          <w:rFonts w:ascii="Times New Roman" w:hAnsi="Times New Roman" w:cs="Times New Roman"/>
          <w:color w:val="202020"/>
          <w:sz w:val="24"/>
          <w:shd w:val="clear" w:color="auto" w:fill="FFFFFF"/>
        </w:rPr>
        <w:t xml:space="preserve"> that the property belongs to the estate late Kizito Dzorwa</w:t>
      </w:r>
      <w:r w:rsidR="00267449">
        <w:rPr>
          <w:rFonts w:ascii="Times New Roman" w:hAnsi="Times New Roman" w:cs="Times New Roman"/>
          <w:color w:val="202020"/>
          <w:sz w:val="24"/>
          <w:shd w:val="clear" w:color="auto" w:fill="FFFFFF"/>
        </w:rPr>
        <w:t xml:space="preserve"> therefore he can still act in his official capacity as Executor Dative</w:t>
      </w:r>
      <w:r w:rsidR="009158A0">
        <w:rPr>
          <w:rFonts w:ascii="Times New Roman" w:hAnsi="Times New Roman" w:cs="Times New Roman"/>
          <w:color w:val="202020"/>
          <w:sz w:val="24"/>
          <w:shd w:val="clear" w:color="auto" w:fill="FFFFFF"/>
        </w:rPr>
        <w:t>.</w:t>
      </w:r>
      <w:r w:rsidR="009D215B">
        <w:rPr>
          <w:rFonts w:ascii="Times New Roman" w:hAnsi="Times New Roman" w:cs="Times New Roman"/>
          <w:color w:val="202020"/>
          <w:sz w:val="24"/>
          <w:shd w:val="clear" w:color="auto" w:fill="FFFFFF"/>
        </w:rPr>
        <w:t> </w:t>
      </w:r>
      <w:r w:rsidR="009158A0">
        <w:rPr>
          <w:rFonts w:ascii="Times New Roman" w:hAnsi="Times New Roman" w:cs="Times New Roman"/>
          <w:color w:val="202020"/>
          <w:sz w:val="24"/>
          <w:shd w:val="clear" w:color="auto" w:fill="FFFFFF"/>
        </w:rPr>
        <w:t xml:space="preserve">In </w:t>
      </w:r>
      <w:r w:rsidR="008627CA">
        <w:rPr>
          <w:rFonts w:ascii="Times New Roman" w:hAnsi="Times New Roman" w:cs="Times New Roman"/>
          <w:i/>
          <w:color w:val="202020"/>
          <w:sz w:val="24"/>
          <w:shd w:val="clear" w:color="auto" w:fill="FFFFFF"/>
        </w:rPr>
        <w:t>Clark </w:t>
      </w:r>
      <w:r w:rsidR="009158A0" w:rsidRPr="0041332B">
        <w:rPr>
          <w:rFonts w:ascii="Times New Roman" w:hAnsi="Times New Roman" w:cs="Times New Roman"/>
          <w:color w:val="202020"/>
          <w:sz w:val="24"/>
          <w:shd w:val="clear" w:color="auto" w:fill="FFFFFF"/>
        </w:rPr>
        <w:t>v</w:t>
      </w:r>
      <w:r w:rsidR="008627CA">
        <w:rPr>
          <w:rFonts w:ascii="Times New Roman" w:hAnsi="Times New Roman" w:cs="Times New Roman"/>
          <w:i/>
          <w:color w:val="202020"/>
          <w:sz w:val="24"/>
          <w:shd w:val="clear" w:color="auto" w:fill="FFFFFF"/>
        </w:rPr>
        <w:t> </w:t>
      </w:r>
      <w:r w:rsidR="009158A0" w:rsidRPr="00EA6090">
        <w:rPr>
          <w:rFonts w:ascii="Times New Roman" w:hAnsi="Times New Roman" w:cs="Times New Roman"/>
          <w:i/>
          <w:color w:val="202020"/>
          <w:sz w:val="24"/>
          <w:shd w:val="clear" w:color="auto" w:fill="FFFFFF"/>
        </w:rPr>
        <w:t>Barnacle N</w:t>
      </w:r>
      <w:r w:rsidR="0041332B">
        <w:rPr>
          <w:rFonts w:ascii="Times New Roman" w:hAnsi="Times New Roman" w:cs="Times New Roman"/>
          <w:i/>
          <w:color w:val="202020"/>
          <w:sz w:val="24"/>
          <w:shd w:val="clear" w:color="auto" w:fill="FFFFFF"/>
        </w:rPr>
        <w:t>.</w:t>
      </w:r>
      <w:r w:rsidR="009158A0" w:rsidRPr="00EA6090">
        <w:rPr>
          <w:rFonts w:ascii="Times New Roman" w:hAnsi="Times New Roman" w:cs="Times New Roman"/>
          <w:i/>
          <w:color w:val="202020"/>
          <w:sz w:val="24"/>
          <w:shd w:val="clear" w:color="auto" w:fill="FFFFFF"/>
        </w:rPr>
        <w:t>O</w:t>
      </w:r>
      <w:r w:rsidR="0041332B">
        <w:rPr>
          <w:rFonts w:ascii="Times New Roman" w:hAnsi="Times New Roman" w:cs="Times New Roman"/>
          <w:i/>
          <w:color w:val="202020"/>
          <w:sz w:val="24"/>
          <w:shd w:val="clear" w:color="auto" w:fill="FFFFFF"/>
        </w:rPr>
        <w:t xml:space="preserve">. </w:t>
      </w:r>
      <w:r w:rsidR="009158A0" w:rsidRPr="00EA6090">
        <w:rPr>
          <w:rFonts w:ascii="Times New Roman" w:hAnsi="Times New Roman" w:cs="Times New Roman"/>
          <w:i/>
          <w:color w:val="202020"/>
          <w:sz w:val="24"/>
          <w:shd w:val="clear" w:color="auto" w:fill="FFFFFF"/>
        </w:rPr>
        <w:t xml:space="preserve">&amp; 2 </w:t>
      </w:r>
      <w:r w:rsidR="00AB30B2" w:rsidRPr="00EA6090">
        <w:rPr>
          <w:rFonts w:ascii="Times New Roman" w:hAnsi="Times New Roman" w:cs="Times New Roman"/>
          <w:i/>
          <w:color w:val="202020"/>
          <w:sz w:val="24"/>
          <w:shd w:val="clear" w:color="auto" w:fill="FFFFFF"/>
        </w:rPr>
        <w:t>Ors</w:t>
      </w:r>
      <w:r w:rsidR="008627CA">
        <w:rPr>
          <w:rFonts w:ascii="Times New Roman" w:hAnsi="Times New Roman" w:cs="Times New Roman"/>
          <w:i/>
          <w:color w:val="202020"/>
          <w:sz w:val="24"/>
          <w:shd w:val="clear" w:color="auto" w:fill="FFFFFF"/>
        </w:rPr>
        <w:t xml:space="preserve"> </w:t>
      </w:r>
      <w:r w:rsidR="0041332B" w:rsidRPr="0041332B">
        <w:rPr>
          <w:rFonts w:ascii="Times New Roman" w:hAnsi="Times New Roman" w:cs="Times New Roman"/>
          <w:smallCaps/>
          <w:color w:val="202020"/>
          <w:sz w:val="24"/>
          <w:shd w:val="clear" w:color="auto" w:fill="FFFFFF"/>
        </w:rPr>
        <w:t>morton j</w:t>
      </w:r>
      <w:r w:rsidR="009158A0">
        <w:rPr>
          <w:rFonts w:ascii="Times New Roman" w:hAnsi="Times New Roman" w:cs="Times New Roman"/>
          <w:color w:val="202020"/>
          <w:sz w:val="24"/>
          <w:shd w:val="clear" w:color="auto" w:fill="FFFFFF"/>
        </w:rPr>
        <w:t xml:space="preserve"> in stating the legal position had this to say</w:t>
      </w:r>
      <w:r w:rsidR="008627CA">
        <w:rPr>
          <w:rFonts w:ascii="Times New Roman" w:hAnsi="Times New Roman" w:cs="Times New Roman"/>
          <w:color w:val="202020"/>
          <w:sz w:val="24"/>
          <w:shd w:val="clear" w:color="auto" w:fill="FFFFFF"/>
        </w:rPr>
        <w:t>:</w:t>
      </w:r>
    </w:p>
    <w:p w:rsidR="008627CA" w:rsidRPr="004A3D94" w:rsidRDefault="008627CA" w:rsidP="008627CA">
      <w:pPr>
        <w:spacing w:after="0" w:line="240" w:lineRule="auto"/>
        <w:rPr>
          <w:rFonts w:ascii="Times New Roman" w:hAnsi="Times New Roman" w:cs="Times New Roman"/>
          <w:color w:val="202020"/>
          <w:sz w:val="22"/>
          <w:szCs w:val="22"/>
          <w:shd w:val="clear" w:color="auto" w:fill="FFFFFF"/>
        </w:rPr>
      </w:pPr>
      <w:r>
        <w:rPr>
          <w:rFonts w:ascii="Times New Roman" w:hAnsi="Times New Roman" w:cs="Times New Roman"/>
          <w:color w:val="202020"/>
          <w:sz w:val="24"/>
          <w:shd w:val="clear" w:color="auto" w:fill="FFFFFF"/>
        </w:rPr>
        <w:tab/>
      </w:r>
      <w:r w:rsidR="00267449" w:rsidRPr="004A3D94">
        <w:rPr>
          <w:rFonts w:ascii="Times New Roman" w:hAnsi="Times New Roman" w:cs="Times New Roman"/>
          <w:color w:val="202020"/>
          <w:sz w:val="22"/>
          <w:szCs w:val="22"/>
          <w:shd w:val="clear" w:color="auto" w:fill="FFFFFF"/>
        </w:rPr>
        <w:t>“It</w:t>
      </w:r>
      <w:r w:rsidR="00AB30B2" w:rsidRPr="004A3D94">
        <w:rPr>
          <w:rFonts w:ascii="Times New Roman" w:hAnsi="Times New Roman" w:cs="Times New Roman"/>
          <w:color w:val="202020"/>
          <w:sz w:val="22"/>
          <w:szCs w:val="22"/>
          <w:shd w:val="clear" w:color="auto" w:fill="FFFFFF"/>
        </w:rPr>
        <w:t xml:space="preserve"> is </w:t>
      </w:r>
      <w:r w:rsidR="00766759" w:rsidRPr="004A3D94">
        <w:rPr>
          <w:rFonts w:ascii="Times New Roman" w:hAnsi="Times New Roman" w:cs="Times New Roman"/>
          <w:color w:val="202020"/>
          <w:sz w:val="22"/>
          <w:szCs w:val="22"/>
          <w:shd w:val="clear" w:color="auto" w:fill="FFFFFF"/>
        </w:rPr>
        <w:t>that, whether</w:t>
      </w:r>
      <w:r w:rsidR="00AB30B2" w:rsidRPr="004A3D94">
        <w:rPr>
          <w:rFonts w:ascii="Times New Roman" w:hAnsi="Times New Roman" w:cs="Times New Roman"/>
          <w:color w:val="202020"/>
          <w:sz w:val="22"/>
          <w:szCs w:val="22"/>
          <w:shd w:val="clear" w:color="auto" w:fill="FFFFFF"/>
        </w:rPr>
        <w:t xml:space="preserve"> testate or </w:t>
      </w:r>
      <w:r w:rsidR="00267449" w:rsidRPr="004A3D94">
        <w:rPr>
          <w:rFonts w:ascii="Times New Roman" w:hAnsi="Times New Roman" w:cs="Times New Roman"/>
          <w:color w:val="202020"/>
          <w:sz w:val="22"/>
          <w:szCs w:val="22"/>
          <w:shd w:val="clear" w:color="auto" w:fill="FFFFFF"/>
        </w:rPr>
        <w:t>intestate, an</w:t>
      </w:r>
      <w:r w:rsidR="00501C1D" w:rsidRPr="004A3D94">
        <w:rPr>
          <w:rFonts w:ascii="Times New Roman" w:hAnsi="Times New Roman" w:cs="Times New Roman"/>
          <w:color w:val="202020"/>
          <w:sz w:val="22"/>
          <w:szCs w:val="22"/>
          <w:shd w:val="clear" w:color="auto" w:fill="FFFFFF"/>
        </w:rPr>
        <w:t xml:space="preserve"> executor wither testamentary of</w:t>
      </w:r>
      <w:r w:rsidR="00AB30B2" w:rsidRPr="004A3D94">
        <w:rPr>
          <w:rFonts w:ascii="Times New Roman" w:hAnsi="Times New Roman" w:cs="Times New Roman"/>
          <w:color w:val="202020"/>
          <w:sz w:val="22"/>
          <w:szCs w:val="22"/>
          <w:shd w:val="clear" w:color="auto" w:fill="FFFFFF"/>
        </w:rPr>
        <w:t xml:space="preserve"> dative, must be </w:t>
      </w:r>
      <w:r w:rsidR="004A3D94">
        <w:rPr>
          <w:rFonts w:ascii="Times New Roman" w:hAnsi="Times New Roman" w:cs="Times New Roman"/>
          <w:color w:val="202020"/>
          <w:sz w:val="22"/>
          <w:szCs w:val="22"/>
          <w:shd w:val="clear" w:color="auto" w:fill="FFFFFF"/>
        </w:rPr>
        <w:tab/>
      </w:r>
      <w:r w:rsidR="00AB30B2" w:rsidRPr="004A3D94">
        <w:rPr>
          <w:rFonts w:ascii="Times New Roman" w:hAnsi="Times New Roman" w:cs="Times New Roman"/>
          <w:color w:val="202020"/>
          <w:sz w:val="22"/>
          <w:szCs w:val="22"/>
          <w:shd w:val="clear" w:color="auto" w:fill="FFFFFF"/>
        </w:rPr>
        <w:t xml:space="preserve">appointed so that the executor and he alone is looked upon as the person to represent the estate </w:t>
      </w:r>
      <w:r w:rsidR="004A3D94">
        <w:rPr>
          <w:rFonts w:ascii="Times New Roman" w:hAnsi="Times New Roman" w:cs="Times New Roman"/>
          <w:color w:val="202020"/>
          <w:sz w:val="22"/>
          <w:szCs w:val="22"/>
          <w:shd w:val="clear" w:color="auto" w:fill="FFFFFF"/>
        </w:rPr>
        <w:tab/>
      </w:r>
      <w:r w:rsidR="00AB30B2" w:rsidRPr="004A3D94">
        <w:rPr>
          <w:rFonts w:ascii="Times New Roman" w:hAnsi="Times New Roman" w:cs="Times New Roman"/>
          <w:color w:val="202020"/>
          <w:sz w:val="22"/>
          <w:szCs w:val="22"/>
          <w:shd w:val="clear" w:color="auto" w:fill="FFFFFF"/>
        </w:rPr>
        <w:t xml:space="preserve">of the deceased </w:t>
      </w:r>
      <w:r w:rsidRPr="004A3D94">
        <w:rPr>
          <w:rFonts w:ascii="Times New Roman" w:hAnsi="Times New Roman" w:cs="Times New Roman"/>
          <w:color w:val="202020"/>
          <w:sz w:val="22"/>
          <w:szCs w:val="22"/>
          <w:shd w:val="clear" w:color="auto" w:fill="FFFFFF"/>
        </w:rPr>
        <w:t>person.”</w:t>
      </w:r>
    </w:p>
    <w:p w:rsidR="008627CA" w:rsidRDefault="008627CA" w:rsidP="008627CA">
      <w:pPr>
        <w:spacing w:after="0" w:line="240" w:lineRule="auto"/>
        <w:rPr>
          <w:rFonts w:ascii="Times New Roman" w:hAnsi="Times New Roman" w:cs="Times New Roman"/>
          <w:color w:val="202020"/>
          <w:sz w:val="24"/>
          <w:shd w:val="clear" w:color="auto" w:fill="FFFFFF"/>
        </w:rPr>
      </w:pPr>
    </w:p>
    <w:p w:rsidR="00A80CB9" w:rsidRDefault="004A3D94" w:rsidP="00A10FEC">
      <w:pPr>
        <w:spacing w:after="0" w:line="360" w:lineRule="auto"/>
        <w:rPr>
          <w:rFonts w:ascii="Times New Roman" w:hAnsi="Times New Roman" w:cs="Times New Roman"/>
          <w:color w:val="202020"/>
          <w:sz w:val="24"/>
          <w:shd w:val="clear" w:color="auto" w:fill="FFFFFF"/>
        </w:rPr>
      </w:pPr>
      <w:r>
        <w:rPr>
          <w:rFonts w:ascii="Times New Roman" w:hAnsi="Times New Roman" w:cs="Times New Roman"/>
          <w:color w:val="202020"/>
          <w:sz w:val="24"/>
          <w:shd w:val="clear" w:color="auto" w:fill="FFFFFF"/>
        </w:rPr>
        <w:tab/>
      </w:r>
      <w:r w:rsidR="00267449">
        <w:rPr>
          <w:rFonts w:ascii="Times New Roman" w:hAnsi="Times New Roman" w:cs="Times New Roman"/>
          <w:color w:val="202020"/>
          <w:sz w:val="24"/>
          <w:shd w:val="clear" w:color="auto" w:fill="FFFFFF"/>
        </w:rPr>
        <w:t xml:space="preserve">In this matter the </w:t>
      </w:r>
      <w:r w:rsidR="008627CA">
        <w:rPr>
          <w:rFonts w:ascii="Times New Roman" w:hAnsi="Times New Roman" w:cs="Times New Roman"/>
          <w:color w:val="202020"/>
          <w:sz w:val="24"/>
          <w:shd w:val="clear" w:color="auto" w:fill="FFFFFF"/>
        </w:rPr>
        <w:t>a</w:t>
      </w:r>
      <w:r w:rsidR="00267449">
        <w:rPr>
          <w:rFonts w:ascii="Times New Roman" w:hAnsi="Times New Roman" w:cs="Times New Roman"/>
          <w:color w:val="202020"/>
          <w:sz w:val="24"/>
          <w:shd w:val="clear" w:color="auto" w:fill="FFFFFF"/>
        </w:rPr>
        <w:t xml:space="preserve">pplicant has </w:t>
      </w:r>
      <w:r w:rsidR="00267449" w:rsidRPr="00267449">
        <w:rPr>
          <w:rFonts w:ascii="Times New Roman" w:hAnsi="Times New Roman" w:cs="Times New Roman"/>
          <w:i/>
          <w:color w:val="202020"/>
          <w:sz w:val="24"/>
          <w:shd w:val="clear" w:color="auto" w:fill="FFFFFF"/>
        </w:rPr>
        <w:t>locus standi</w:t>
      </w:r>
      <w:r w:rsidR="00267449">
        <w:rPr>
          <w:rFonts w:ascii="Times New Roman" w:hAnsi="Times New Roman" w:cs="Times New Roman"/>
          <w:color w:val="202020"/>
          <w:sz w:val="24"/>
          <w:shd w:val="clear" w:color="auto" w:fill="FFFFFF"/>
        </w:rPr>
        <w:t xml:space="preserve"> and is allowed by the law to represent the interests of the estate late Kizito Dzorwa.</w:t>
      </w:r>
      <w:r w:rsidR="008627CA">
        <w:rPr>
          <w:rFonts w:ascii="Times New Roman" w:hAnsi="Times New Roman" w:cs="Times New Roman"/>
          <w:color w:val="202020"/>
          <w:sz w:val="24"/>
          <w:shd w:val="clear" w:color="auto" w:fill="FFFFFF"/>
        </w:rPr>
        <w:t xml:space="preserve"> </w:t>
      </w:r>
      <w:r w:rsidR="00461A95">
        <w:rPr>
          <w:rFonts w:ascii="Times New Roman" w:hAnsi="Times New Roman" w:cs="Times New Roman"/>
          <w:color w:val="202020"/>
          <w:sz w:val="24"/>
          <w:shd w:val="clear" w:color="auto" w:fill="FFFFFF"/>
        </w:rPr>
        <w:t>There is nothing to prove that he was discharged from his duties as an executor</w:t>
      </w:r>
      <w:r w:rsidR="00801E67">
        <w:rPr>
          <w:rFonts w:ascii="Times New Roman" w:hAnsi="Times New Roman" w:cs="Times New Roman"/>
          <w:color w:val="202020"/>
          <w:sz w:val="24"/>
          <w:shd w:val="clear" w:color="auto" w:fill="FFFFFF"/>
        </w:rPr>
        <w:t>.</w:t>
      </w:r>
      <w:r w:rsidR="00461A95">
        <w:rPr>
          <w:rFonts w:ascii="Times New Roman" w:hAnsi="Times New Roman" w:cs="Times New Roman"/>
          <w:color w:val="202020"/>
          <w:sz w:val="24"/>
          <w:shd w:val="clear" w:color="auto" w:fill="FFFFFF"/>
        </w:rPr>
        <w:t xml:space="preserve"> </w:t>
      </w:r>
    </w:p>
    <w:p w:rsidR="00A80CB9" w:rsidRDefault="00A80CB9" w:rsidP="00A10FEC">
      <w:pPr>
        <w:spacing w:after="0" w:line="360" w:lineRule="auto"/>
        <w:rPr>
          <w:rFonts w:ascii="Times New Roman" w:hAnsi="Times New Roman" w:cs="Times New Roman"/>
          <w:b/>
          <w:color w:val="202020"/>
          <w:sz w:val="24"/>
          <w:shd w:val="clear" w:color="auto" w:fill="FFFFFF"/>
        </w:rPr>
      </w:pPr>
      <w:r w:rsidRPr="00A80CB9">
        <w:rPr>
          <w:rFonts w:ascii="Times New Roman" w:hAnsi="Times New Roman" w:cs="Times New Roman"/>
          <w:b/>
          <w:color w:val="202020"/>
          <w:sz w:val="24"/>
          <w:shd w:val="clear" w:color="auto" w:fill="FFFFFF"/>
        </w:rPr>
        <w:t xml:space="preserve">Declaratory Order </w:t>
      </w:r>
    </w:p>
    <w:p w:rsidR="000E1438" w:rsidRDefault="00801E67" w:rsidP="00A10FEC">
      <w:pPr>
        <w:spacing w:after="0" w:line="360" w:lineRule="auto"/>
        <w:rPr>
          <w:rFonts w:ascii="Times New Roman" w:hAnsi="Times New Roman" w:cs="Times New Roman"/>
          <w:sz w:val="24"/>
        </w:rPr>
      </w:pPr>
      <w:r>
        <w:rPr>
          <w:rFonts w:ascii="Times New Roman" w:hAnsi="Times New Roman" w:cs="Times New Roman"/>
          <w:sz w:val="24"/>
        </w:rPr>
        <w:tab/>
      </w:r>
      <w:r w:rsidR="00EA6090" w:rsidRPr="000B59D0">
        <w:rPr>
          <w:rFonts w:ascii="Times New Roman" w:hAnsi="Times New Roman" w:cs="Times New Roman"/>
          <w:sz w:val="24"/>
        </w:rPr>
        <w:t>A Declaratory Order is gover</w:t>
      </w:r>
      <w:r w:rsidR="00146B29">
        <w:rPr>
          <w:rFonts w:ascii="Times New Roman" w:hAnsi="Times New Roman" w:cs="Times New Roman"/>
          <w:sz w:val="24"/>
        </w:rPr>
        <w:t xml:space="preserve">ned by the provisions of s </w:t>
      </w:r>
      <w:r w:rsidR="00EA6090" w:rsidRPr="000B59D0">
        <w:rPr>
          <w:rFonts w:ascii="Times New Roman" w:hAnsi="Times New Roman" w:cs="Times New Roman"/>
          <w:sz w:val="24"/>
        </w:rPr>
        <w:t>14 of the High Court Act [</w:t>
      </w:r>
      <w:r w:rsidR="00EA6090" w:rsidRPr="000B59D0">
        <w:rPr>
          <w:rFonts w:ascii="Times New Roman" w:hAnsi="Times New Roman" w:cs="Times New Roman"/>
          <w:i/>
          <w:sz w:val="24"/>
        </w:rPr>
        <w:t>Chapter</w:t>
      </w:r>
      <w:r w:rsidR="00EA6090" w:rsidRPr="000B59D0">
        <w:rPr>
          <w:rFonts w:ascii="Times New Roman" w:hAnsi="Times New Roman" w:cs="Times New Roman"/>
          <w:i/>
          <w:iCs/>
          <w:sz w:val="24"/>
        </w:rPr>
        <w:t xml:space="preserve"> 7:06</w:t>
      </w:r>
      <w:r w:rsidR="00EA6090" w:rsidRPr="000B59D0">
        <w:rPr>
          <w:rFonts w:ascii="Times New Roman" w:hAnsi="Times New Roman" w:cs="Times New Roman"/>
          <w:sz w:val="24"/>
        </w:rPr>
        <w:t xml:space="preserve">] which </w:t>
      </w:r>
      <w:r w:rsidR="007F3459" w:rsidRPr="000B59D0">
        <w:rPr>
          <w:rFonts w:ascii="Times New Roman" w:hAnsi="Times New Roman" w:cs="Times New Roman"/>
          <w:sz w:val="24"/>
        </w:rPr>
        <w:t>states as</w:t>
      </w:r>
      <w:r w:rsidR="00461A95" w:rsidRPr="000B59D0">
        <w:rPr>
          <w:rFonts w:ascii="Times New Roman" w:hAnsi="Times New Roman" w:cs="Times New Roman"/>
          <w:sz w:val="24"/>
        </w:rPr>
        <w:t xml:space="preserve"> follows</w:t>
      </w:r>
      <w:r w:rsidR="000B59D0" w:rsidRPr="000B59D0">
        <w:rPr>
          <w:rFonts w:ascii="Times New Roman" w:hAnsi="Times New Roman" w:cs="Times New Roman"/>
          <w:sz w:val="24"/>
        </w:rPr>
        <w:t>:</w:t>
      </w:r>
      <w:r w:rsidR="00461A95" w:rsidRPr="000B59D0">
        <w:rPr>
          <w:rFonts w:ascii="Times New Roman" w:hAnsi="Times New Roman" w:cs="Times New Roman"/>
          <w:sz w:val="24"/>
        </w:rPr>
        <w:t xml:space="preserve"> </w:t>
      </w:r>
    </w:p>
    <w:p w:rsidR="000E1438" w:rsidRDefault="000E1438" w:rsidP="000E1438">
      <w:pPr>
        <w:spacing w:after="0" w:line="240" w:lineRule="auto"/>
        <w:rPr>
          <w:rFonts w:ascii="Times New Roman" w:hAnsi="Times New Roman" w:cs="Times New Roman"/>
          <w:sz w:val="22"/>
          <w:szCs w:val="22"/>
        </w:rPr>
      </w:pPr>
      <w:r>
        <w:rPr>
          <w:rFonts w:ascii="Times New Roman" w:hAnsi="Times New Roman" w:cs="Times New Roman"/>
          <w:sz w:val="24"/>
        </w:rPr>
        <w:tab/>
        <w:t>“</w:t>
      </w:r>
      <w:r w:rsidR="00EA6090" w:rsidRPr="000E1438">
        <w:rPr>
          <w:rFonts w:ascii="Times New Roman" w:hAnsi="Times New Roman" w:cs="Times New Roman"/>
          <w:sz w:val="22"/>
          <w:szCs w:val="22"/>
        </w:rPr>
        <w:t xml:space="preserve">High Court may determine future or contingent rights The High Court may, in its </w:t>
      </w:r>
      <w:r w:rsidRPr="000E1438">
        <w:rPr>
          <w:rFonts w:ascii="Times New Roman" w:hAnsi="Times New Roman" w:cs="Times New Roman"/>
          <w:sz w:val="22"/>
          <w:szCs w:val="22"/>
        </w:rPr>
        <w:tab/>
      </w:r>
      <w:r w:rsidR="00EA6090" w:rsidRPr="000E1438">
        <w:rPr>
          <w:rFonts w:ascii="Times New Roman" w:hAnsi="Times New Roman" w:cs="Times New Roman"/>
          <w:sz w:val="22"/>
          <w:szCs w:val="22"/>
        </w:rPr>
        <w:t xml:space="preserve">discretion, at the instance of any interested person, inquire into and determine any existing, </w:t>
      </w:r>
      <w:r>
        <w:rPr>
          <w:rFonts w:ascii="Times New Roman" w:hAnsi="Times New Roman" w:cs="Times New Roman"/>
          <w:sz w:val="22"/>
          <w:szCs w:val="22"/>
        </w:rPr>
        <w:tab/>
      </w:r>
      <w:r w:rsidR="00EA6090" w:rsidRPr="000E1438">
        <w:rPr>
          <w:rFonts w:ascii="Times New Roman" w:hAnsi="Times New Roman" w:cs="Times New Roman"/>
          <w:sz w:val="22"/>
          <w:szCs w:val="22"/>
        </w:rPr>
        <w:t xml:space="preserve">future or contingent right or obligation, notwithstanding that such person cannot claim any </w:t>
      </w:r>
      <w:r>
        <w:rPr>
          <w:rFonts w:ascii="Times New Roman" w:hAnsi="Times New Roman" w:cs="Times New Roman"/>
          <w:sz w:val="22"/>
          <w:szCs w:val="22"/>
        </w:rPr>
        <w:tab/>
      </w:r>
      <w:r w:rsidR="00EA6090" w:rsidRPr="000E1438">
        <w:rPr>
          <w:rFonts w:ascii="Times New Roman" w:hAnsi="Times New Roman" w:cs="Times New Roman"/>
          <w:sz w:val="22"/>
          <w:szCs w:val="22"/>
        </w:rPr>
        <w:t>relief conseq</w:t>
      </w:r>
      <w:r>
        <w:rPr>
          <w:rFonts w:ascii="Times New Roman" w:hAnsi="Times New Roman" w:cs="Times New Roman"/>
          <w:sz w:val="22"/>
          <w:szCs w:val="22"/>
        </w:rPr>
        <w:t>uential upon such determination.”</w:t>
      </w:r>
      <w:r w:rsidR="00EA6090" w:rsidRPr="000E1438">
        <w:rPr>
          <w:rFonts w:ascii="Times New Roman" w:hAnsi="Times New Roman" w:cs="Times New Roman"/>
          <w:sz w:val="22"/>
          <w:szCs w:val="22"/>
        </w:rPr>
        <w:t xml:space="preserve"> </w:t>
      </w:r>
    </w:p>
    <w:p w:rsidR="000E1438" w:rsidRPr="000E1438" w:rsidRDefault="000E1438" w:rsidP="000E1438">
      <w:pPr>
        <w:spacing w:after="0" w:line="240" w:lineRule="auto"/>
        <w:rPr>
          <w:rFonts w:ascii="Times New Roman" w:hAnsi="Times New Roman" w:cs="Times New Roman"/>
          <w:sz w:val="22"/>
          <w:szCs w:val="22"/>
        </w:rPr>
      </w:pPr>
    </w:p>
    <w:p w:rsidR="000B59D0" w:rsidRDefault="004A3D94" w:rsidP="00A10FEC">
      <w:pPr>
        <w:spacing w:after="0" w:line="360" w:lineRule="auto"/>
        <w:rPr>
          <w:rFonts w:ascii="Times New Roman" w:hAnsi="Times New Roman" w:cs="Times New Roman"/>
          <w:sz w:val="24"/>
        </w:rPr>
      </w:pPr>
      <w:r>
        <w:rPr>
          <w:rFonts w:ascii="Times New Roman" w:hAnsi="Times New Roman" w:cs="Times New Roman"/>
          <w:sz w:val="24"/>
        </w:rPr>
        <w:tab/>
      </w:r>
      <w:r w:rsidR="00EA6090" w:rsidRPr="000B59D0">
        <w:rPr>
          <w:rFonts w:ascii="Times New Roman" w:hAnsi="Times New Roman" w:cs="Times New Roman"/>
          <w:sz w:val="24"/>
        </w:rPr>
        <w:t xml:space="preserve">In the case of </w:t>
      </w:r>
      <w:r w:rsidR="00EA6090" w:rsidRPr="000B59D0">
        <w:rPr>
          <w:rFonts w:ascii="Times New Roman" w:hAnsi="Times New Roman" w:cs="Times New Roman"/>
          <w:i/>
          <w:sz w:val="24"/>
        </w:rPr>
        <w:t xml:space="preserve">RK Footware Manufacturers Pvt Ltd </w:t>
      </w:r>
      <w:r w:rsidR="00EA6090" w:rsidRPr="000B59D0">
        <w:rPr>
          <w:rFonts w:ascii="Times New Roman" w:hAnsi="Times New Roman" w:cs="Times New Roman"/>
          <w:sz w:val="24"/>
        </w:rPr>
        <w:t>v</w:t>
      </w:r>
      <w:r w:rsidR="00EA6090" w:rsidRPr="000B59D0">
        <w:rPr>
          <w:rFonts w:ascii="Times New Roman" w:hAnsi="Times New Roman" w:cs="Times New Roman"/>
          <w:i/>
          <w:sz w:val="24"/>
        </w:rPr>
        <w:t xml:space="preserve"> Boka Book Sales </w:t>
      </w:r>
      <w:r w:rsidR="00EA6090" w:rsidRPr="000B59D0">
        <w:rPr>
          <w:rFonts w:ascii="Times New Roman" w:hAnsi="Times New Roman" w:cs="Times New Roman"/>
          <w:sz w:val="24"/>
        </w:rPr>
        <w:t>1986 (2) ZRL 209</w:t>
      </w:r>
      <w:r w:rsidR="00EA6090" w:rsidRPr="000B59D0">
        <w:rPr>
          <w:rFonts w:ascii="Times New Roman" w:hAnsi="Times New Roman" w:cs="Times New Roman"/>
          <w:i/>
          <w:sz w:val="24"/>
        </w:rPr>
        <w:t xml:space="preserve"> </w:t>
      </w:r>
      <w:r w:rsidR="000B59D0" w:rsidRPr="000B59D0">
        <w:rPr>
          <w:rFonts w:ascii="Times New Roman" w:hAnsi="Times New Roman" w:cs="Times New Roman"/>
          <w:smallCaps/>
          <w:sz w:val="24"/>
        </w:rPr>
        <w:t>sandura jp</w:t>
      </w:r>
      <w:r w:rsidR="000B59D0" w:rsidRPr="000B59D0">
        <w:rPr>
          <w:rFonts w:ascii="Times New Roman" w:hAnsi="Times New Roman" w:cs="Times New Roman"/>
          <w:sz w:val="24"/>
        </w:rPr>
        <w:t xml:space="preserve"> </w:t>
      </w:r>
      <w:r w:rsidR="00F07CAC" w:rsidRPr="000B59D0">
        <w:rPr>
          <w:rFonts w:ascii="Times New Roman" w:hAnsi="Times New Roman" w:cs="Times New Roman"/>
          <w:sz w:val="24"/>
        </w:rPr>
        <w:t>as he was then held and commented as follows</w:t>
      </w:r>
      <w:r w:rsidR="000B59D0">
        <w:rPr>
          <w:rFonts w:ascii="Times New Roman" w:hAnsi="Times New Roman" w:cs="Times New Roman"/>
          <w:sz w:val="24"/>
        </w:rPr>
        <w:t>:</w:t>
      </w:r>
    </w:p>
    <w:p w:rsidR="004A3D94" w:rsidRDefault="000B59D0" w:rsidP="000B59D0">
      <w:pPr>
        <w:spacing w:after="0" w:line="240" w:lineRule="auto"/>
        <w:rPr>
          <w:rFonts w:ascii="Times New Roman" w:hAnsi="Times New Roman" w:cs="Times New Roman"/>
          <w:sz w:val="24"/>
        </w:rPr>
      </w:pPr>
      <w:r>
        <w:rPr>
          <w:rFonts w:ascii="Times New Roman" w:hAnsi="Times New Roman" w:cs="Times New Roman"/>
          <w:i/>
          <w:sz w:val="24"/>
        </w:rPr>
        <w:tab/>
      </w:r>
      <w:r w:rsidRPr="00146B29">
        <w:rPr>
          <w:rFonts w:ascii="Times New Roman" w:hAnsi="Times New Roman" w:cs="Times New Roman"/>
          <w:sz w:val="24"/>
        </w:rPr>
        <w:t>“</w:t>
      </w:r>
      <w:r w:rsidR="00EA6090" w:rsidRPr="00146B29">
        <w:rPr>
          <w:rFonts w:ascii="Times New Roman" w:hAnsi="Times New Roman" w:cs="Times New Roman"/>
          <w:sz w:val="24"/>
        </w:rPr>
        <w:t xml:space="preserve">the court has to identify two considerations that the court has to look at when </w:t>
      </w:r>
      <w:r w:rsidRPr="00146B29">
        <w:rPr>
          <w:rFonts w:ascii="Times New Roman" w:hAnsi="Times New Roman" w:cs="Times New Roman"/>
          <w:sz w:val="24"/>
        </w:rPr>
        <w:tab/>
      </w:r>
      <w:r w:rsidR="00EA6090" w:rsidRPr="00146B29">
        <w:rPr>
          <w:rFonts w:ascii="Times New Roman" w:hAnsi="Times New Roman" w:cs="Times New Roman"/>
          <w:sz w:val="24"/>
        </w:rPr>
        <w:t xml:space="preserve">determining whether or not to issue a declaratory order. He stated that the court had to </w:t>
      </w:r>
      <w:r w:rsidRPr="00146B29">
        <w:rPr>
          <w:rFonts w:ascii="Times New Roman" w:hAnsi="Times New Roman" w:cs="Times New Roman"/>
          <w:sz w:val="24"/>
        </w:rPr>
        <w:tab/>
      </w:r>
      <w:r w:rsidR="00EA6090" w:rsidRPr="00146B29">
        <w:rPr>
          <w:rFonts w:ascii="Times New Roman" w:hAnsi="Times New Roman" w:cs="Times New Roman"/>
          <w:sz w:val="24"/>
        </w:rPr>
        <w:t xml:space="preserve">consider whether the applicant was an interested person in an existing future of </w:t>
      </w:r>
      <w:r w:rsidRPr="00146B29">
        <w:rPr>
          <w:rFonts w:ascii="Times New Roman" w:hAnsi="Times New Roman" w:cs="Times New Roman"/>
          <w:sz w:val="24"/>
        </w:rPr>
        <w:tab/>
      </w:r>
      <w:r w:rsidR="00EA6090" w:rsidRPr="00146B29">
        <w:rPr>
          <w:rFonts w:ascii="Times New Roman" w:hAnsi="Times New Roman" w:cs="Times New Roman"/>
          <w:sz w:val="24"/>
        </w:rPr>
        <w:t xml:space="preserve">contingent right of obligation and secondly whether the case was a proper one for the </w:t>
      </w:r>
      <w:r w:rsidRPr="00146B29">
        <w:rPr>
          <w:rFonts w:ascii="Times New Roman" w:hAnsi="Times New Roman" w:cs="Times New Roman"/>
          <w:sz w:val="24"/>
        </w:rPr>
        <w:tab/>
        <w:t>court to exercise its discretion.”</w:t>
      </w:r>
      <w:r w:rsidR="00EA6090" w:rsidRPr="00146B29">
        <w:rPr>
          <w:rFonts w:ascii="Times New Roman" w:hAnsi="Times New Roman" w:cs="Times New Roman"/>
          <w:sz w:val="24"/>
        </w:rPr>
        <w:t xml:space="preserve">  </w:t>
      </w:r>
    </w:p>
    <w:p w:rsidR="00EA6090" w:rsidRPr="00146B29" w:rsidRDefault="00EA6090" w:rsidP="000B59D0">
      <w:pPr>
        <w:spacing w:after="0" w:line="240" w:lineRule="auto"/>
        <w:rPr>
          <w:rFonts w:ascii="Times New Roman" w:hAnsi="Times New Roman" w:cs="Times New Roman"/>
          <w:sz w:val="24"/>
        </w:rPr>
      </w:pPr>
      <w:r w:rsidRPr="00146B29">
        <w:rPr>
          <w:rFonts w:ascii="Times New Roman" w:hAnsi="Times New Roman" w:cs="Times New Roman"/>
          <w:sz w:val="24"/>
        </w:rPr>
        <w:t xml:space="preserve">                       </w:t>
      </w:r>
    </w:p>
    <w:p w:rsidR="00CF178A" w:rsidRDefault="004A3D94" w:rsidP="004A3D94">
      <w:pPr>
        <w:pStyle w:val="headnote"/>
        <w:shd w:val="clear" w:color="auto" w:fill="FFFFFF"/>
        <w:spacing w:before="0" w:beforeAutospacing="0" w:after="0" w:afterAutospacing="0" w:line="360" w:lineRule="auto"/>
        <w:jc w:val="both"/>
        <w:rPr>
          <w:color w:val="000000"/>
        </w:rPr>
      </w:pPr>
      <w:r>
        <w:rPr>
          <w:i/>
        </w:rPr>
        <w:t xml:space="preserve">           </w:t>
      </w:r>
      <w:r>
        <w:t>I</w:t>
      </w:r>
      <w:r w:rsidR="00EA6090" w:rsidRPr="000B59D0">
        <w:t>n the case of</w:t>
      </w:r>
      <w:r w:rsidR="00146B29">
        <w:rPr>
          <w:i/>
        </w:rPr>
        <w:t xml:space="preserve"> Recoy I</w:t>
      </w:r>
      <w:r w:rsidR="00EA6090" w:rsidRPr="00D74FBA">
        <w:rPr>
          <w:i/>
        </w:rPr>
        <w:t xml:space="preserve">nvestments (Pvt) Ltd </w:t>
      </w:r>
      <w:r w:rsidR="00EA6090" w:rsidRPr="00DB2980">
        <w:t>v</w:t>
      </w:r>
      <w:r w:rsidR="00EA6090" w:rsidRPr="00D74FBA">
        <w:rPr>
          <w:i/>
        </w:rPr>
        <w:t xml:space="preserve"> Tarcon </w:t>
      </w:r>
      <w:r w:rsidR="00EA6090" w:rsidRPr="000B59D0">
        <w:t>2011(2) ZLR 65(H)</w:t>
      </w:r>
      <w:r w:rsidR="00EA6090" w:rsidRPr="00D74FBA">
        <w:rPr>
          <w:i/>
        </w:rPr>
        <w:t xml:space="preserve"> </w:t>
      </w:r>
      <w:r w:rsidR="00EA6090" w:rsidRPr="000B59D0">
        <w:t>the court held that for a declaratory order to succeed there a certain conditions that need to be met.</w:t>
      </w:r>
      <w:r w:rsidR="00EA6090" w:rsidRPr="00EA6090">
        <w:t xml:space="preserve"> </w:t>
      </w:r>
      <w:r w:rsidR="00EA6090">
        <w:t xml:space="preserve">This means </w:t>
      </w:r>
      <w:r w:rsidR="00EA6090">
        <w:lastRenderedPageBreak/>
        <w:t>that if the applicant fails to meet one or both of the conditions the court has to use its discretion to either grant or dismiss this order .the conditions that the applicant has to</w:t>
      </w:r>
      <w:r w:rsidR="006F64E0">
        <w:t xml:space="preserve"> meet are that t</w:t>
      </w:r>
      <w:r w:rsidR="00EA6090" w:rsidRPr="00EA6090">
        <w:t>he</w:t>
      </w:r>
      <w:r w:rsidR="00EA6090">
        <w:t xml:space="preserve"> applicant should be an interested party and </w:t>
      </w:r>
      <w:r w:rsidR="00EA6090" w:rsidRPr="00615D3C">
        <w:t>inquire into and determine any existing, future or</w:t>
      </w:r>
      <w:r w:rsidR="00EA6090">
        <w:t xml:space="preserve"> contingent right or </w:t>
      </w:r>
      <w:r w:rsidR="00CF178A">
        <w:t xml:space="preserve">obligation. The applicant has failed to show that he has an existing future or contingent right in this </w:t>
      </w:r>
      <w:r w:rsidR="005015E8">
        <w:t>matter.</w:t>
      </w:r>
      <w:r w:rsidR="005015E8">
        <w:rPr>
          <w:color w:val="000000"/>
        </w:rPr>
        <w:t xml:space="preserve"> This</w:t>
      </w:r>
      <w:r w:rsidR="003408EA">
        <w:rPr>
          <w:color w:val="000000"/>
        </w:rPr>
        <w:t xml:space="preserve"> shows that the applicant has</w:t>
      </w:r>
      <w:r w:rsidR="00CF178A">
        <w:rPr>
          <w:color w:val="000000"/>
        </w:rPr>
        <w:t xml:space="preserve"> no interest in realising this right. The property in question is on close proximity with the applicants other properties</w:t>
      </w:r>
      <w:r w:rsidR="009D215B">
        <w:rPr>
          <w:color w:val="000000"/>
        </w:rPr>
        <w:t>. T</w:t>
      </w:r>
      <w:r w:rsidR="00CF178A">
        <w:rPr>
          <w:color w:val="000000"/>
        </w:rPr>
        <w:t xml:space="preserve">he fact that the applicant failed to even </w:t>
      </w:r>
      <w:r w:rsidR="009D215B">
        <w:rPr>
          <w:color w:val="000000"/>
        </w:rPr>
        <w:t>collect rent</w:t>
      </w:r>
      <w:r w:rsidR="00CF178A">
        <w:rPr>
          <w:color w:val="000000"/>
        </w:rPr>
        <w:t xml:space="preserve"> or claim occupation of his property shows that</w:t>
      </w:r>
      <w:r w:rsidR="000A3675">
        <w:rPr>
          <w:color w:val="000000"/>
        </w:rPr>
        <w:t xml:space="preserve"> applicant had no</w:t>
      </w:r>
      <w:r w:rsidR="00980F3C">
        <w:rPr>
          <w:color w:val="000000"/>
        </w:rPr>
        <w:t xml:space="preserve">, </w:t>
      </w:r>
      <w:r w:rsidR="000A3675">
        <w:rPr>
          <w:color w:val="000000"/>
        </w:rPr>
        <w:t>existing interest in the property</w:t>
      </w:r>
      <w:r w:rsidR="005015E8">
        <w:rPr>
          <w:color w:val="000000"/>
        </w:rPr>
        <w:t>. The</w:t>
      </w:r>
      <w:r w:rsidR="00146B29">
        <w:rPr>
          <w:color w:val="000000"/>
        </w:rPr>
        <w:t xml:space="preserve"> a</w:t>
      </w:r>
      <w:r w:rsidR="001C6363">
        <w:rPr>
          <w:color w:val="000000"/>
        </w:rPr>
        <w:t>pplicant waited ten years to evict the second respondent</w:t>
      </w:r>
      <w:r w:rsidR="009D215B">
        <w:rPr>
          <w:color w:val="000000"/>
        </w:rPr>
        <w:t>’</w:t>
      </w:r>
      <w:r w:rsidR="001C6363">
        <w:rPr>
          <w:color w:val="000000"/>
        </w:rPr>
        <w:t xml:space="preserve">s tenant </w:t>
      </w:r>
      <w:r w:rsidR="009D215B">
        <w:rPr>
          <w:color w:val="000000"/>
        </w:rPr>
        <w:t xml:space="preserve">which is </w:t>
      </w:r>
      <w:r w:rsidR="001C6363">
        <w:rPr>
          <w:color w:val="000000"/>
        </w:rPr>
        <w:t xml:space="preserve">clear </w:t>
      </w:r>
      <w:r w:rsidR="009D215B">
        <w:rPr>
          <w:color w:val="000000"/>
        </w:rPr>
        <w:t>indication</w:t>
      </w:r>
      <w:r w:rsidR="001C6363">
        <w:rPr>
          <w:color w:val="000000"/>
        </w:rPr>
        <w:t xml:space="preserve"> that the applicant </w:t>
      </w:r>
      <w:r w:rsidR="005015E8">
        <w:rPr>
          <w:color w:val="000000"/>
        </w:rPr>
        <w:t xml:space="preserve">did not have an interest in the </w:t>
      </w:r>
      <w:r w:rsidR="003408EA">
        <w:rPr>
          <w:color w:val="000000"/>
        </w:rPr>
        <w:t xml:space="preserve">property. </w:t>
      </w:r>
    </w:p>
    <w:p w:rsidR="00561876" w:rsidRPr="004A3D94" w:rsidRDefault="004A3D94" w:rsidP="000B59D0">
      <w:pPr>
        <w:pStyle w:val="headnote"/>
        <w:shd w:val="clear" w:color="auto" w:fill="FFFFFF"/>
        <w:spacing w:before="84" w:beforeAutospacing="0" w:after="0" w:afterAutospacing="0" w:line="360" w:lineRule="auto"/>
        <w:jc w:val="both"/>
        <w:rPr>
          <w:b/>
          <w:color w:val="000000"/>
        </w:rPr>
      </w:pPr>
      <w:r w:rsidRPr="004A3D94">
        <w:rPr>
          <w:b/>
          <w:color w:val="000000"/>
        </w:rPr>
        <w:t>In the result the court concludes as follows:</w:t>
      </w:r>
    </w:p>
    <w:p w:rsidR="005015E8" w:rsidRDefault="00561876" w:rsidP="000B59D0">
      <w:pPr>
        <w:pStyle w:val="headnote"/>
        <w:shd w:val="clear" w:color="auto" w:fill="FFFFFF"/>
        <w:spacing w:before="84" w:beforeAutospacing="0" w:after="0" w:afterAutospacing="0" w:line="360" w:lineRule="auto"/>
        <w:jc w:val="both"/>
      </w:pPr>
      <w:r>
        <w:t>Having perused the papers and listening to both counsels the court orders as follows-:</w:t>
      </w:r>
    </w:p>
    <w:p w:rsidR="00561876" w:rsidRDefault="00C705C7" w:rsidP="00A10FEC">
      <w:pPr>
        <w:pStyle w:val="headnote"/>
        <w:numPr>
          <w:ilvl w:val="0"/>
          <w:numId w:val="3"/>
        </w:numPr>
        <w:shd w:val="clear" w:color="auto" w:fill="FFFFFF"/>
        <w:spacing w:before="84" w:beforeAutospacing="0" w:after="0" w:afterAutospacing="0" w:line="360" w:lineRule="auto"/>
        <w:jc w:val="both"/>
      </w:pPr>
      <w:r>
        <w:t xml:space="preserve">Application for declaratory order be and is hereby dismissed </w:t>
      </w:r>
    </w:p>
    <w:p w:rsidR="00C705C7" w:rsidRDefault="00C705C7" w:rsidP="00A10FEC">
      <w:pPr>
        <w:pStyle w:val="headnote"/>
        <w:numPr>
          <w:ilvl w:val="0"/>
          <w:numId w:val="3"/>
        </w:numPr>
        <w:shd w:val="clear" w:color="auto" w:fill="FFFFFF"/>
        <w:spacing w:before="84" w:beforeAutospacing="0" w:after="0" w:afterAutospacing="0" w:line="360" w:lineRule="auto"/>
        <w:jc w:val="both"/>
      </w:pPr>
      <w:r>
        <w:t xml:space="preserve">No order </w:t>
      </w:r>
      <w:r w:rsidR="003408EA">
        <w:t>as to costs</w:t>
      </w:r>
    </w:p>
    <w:p w:rsidR="00561876" w:rsidRDefault="00561876" w:rsidP="00A10FEC">
      <w:pPr>
        <w:pStyle w:val="headnote"/>
        <w:shd w:val="clear" w:color="auto" w:fill="FFFFFF"/>
        <w:spacing w:before="84" w:beforeAutospacing="0" w:after="0" w:afterAutospacing="0" w:line="360" w:lineRule="auto"/>
        <w:ind w:left="285"/>
        <w:jc w:val="both"/>
        <w:rPr>
          <w:color w:val="000000"/>
        </w:rPr>
      </w:pPr>
    </w:p>
    <w:p w:rsidR="00775439" w:rsidRDefault="00775439" w:rsidP="00A10FEC">
      <w:pPr>
        <w:pStyle w:val="headnote"/>
        <w:shd w:val="clear" w:color="auto" w:fill="FFFFFF"/>
        <w:spacing w:before="84" w:beforeAutospacing="0" w:after="0" w:afterAutospacing="0" w:line="360" w:lineRule="auto"/>
        <w:ind w:left="285"/>
        <w:jc w:val="both"/>
        <w:rPr>
          <w:color w:val="000000"/>
        </w:rPr>
      </w:pPr>
    </w:p>
    <w:p w:rsidR="00EA6090" w:rsidRPr="00561876" w:rsidRDefault="00561876" w:rsidP="00146B29">
      <w:pPr>
        <w:spacing w:after="0" w:line="240" w:lineRule="auto"/>
        <w:rPr>
          <w:rFonts w:ascii="Times New Roman" w:hAnsi="Times New Roman" w:cs="Times New Roman"/>
          <w:sz w:val="24"/>
        </w:rPr>
      </w:pPr>
      <w:r w:rsidRPr="00561876">
        <w:rPr>
          <w:rFonts w:ascii="Times New Roman" w:hAnsi="Times New Roman" w:cs="Times New Roman"/>
          <w:i/>
          <w:sz w:val="24"/>
        </w:rPr>
        <w:t>Govere Law Chambers</w:t>
      </w:r>
      <w:r w:rsidRPr="00561876">
        <w:rPr>
          <w:rFonts w:ascii="Times New Roman" w:hAnsi="Times New Roman" w:cs="Times New Roman"/>
          <w:sz w:val="24"/>
        </w:rPr>
        <w:t xml:space="preserve">, applicant’s legal practitioners </w:t>
      </w:r>
    </w:p>
    <w:p w:rsidR="00561876" w:rsidRPr="00561876" w:rsidRDefault="00561876" w:rsidP="00146B29">
      <w:pPr>
        <w:spacing w:after="0" w:line="240" w:lineRule="auto"/>
        <w:rPr>
          <w:rFonts w:ascii="Times New Roman" w:hAnsi="Times New Roman" w:cs="Times New Roman"/>
          <w:sz w:val="24"/>
        </w:rPr>
      </w:pPr>
      <w:r w:rsidRPr="00561876">
        <w:rPr>
          <w:rFonts w:ascii="Times New Roman" w:hAnsi="Times New Roman" w:cs="Times New Roman"/>
          <w:i/>
          <w:sz w:val="24"/>
        </w:rPr>
        <w:t>Hove and Associates</w:t>
      </w:r>
      <w:r w:rsidRPr="00561876">
        <w:rPr>
          <w:rFonts w:ascii="Times New Roman" w:hAnsi="Times New Roman" w:cs="Times New Roman"/>
          <w:sz w:val="24"/>
        </w:rPr>
        <w:t>, second</w:t>
      </w:r>
      <w:r>
        <w:rPr>
          <w:rFonts w:ascii="Times New Roman" w:hAnsi="Times New Roman" w:cs="Times New Roman"/>
          <w:sz w:val="24"/>
        </w:rPr>
        <w:t xml:space="preserve"> respondent’s le</w:t>
      </w:r>
      <w:r w:rsidRPr="00561876">
        <w:rPr>
          <w:rFonts w:ascii="Times New Roman" w:hAnsi="Times New Roman" w:cs="Times New Roman"/>
          <w:sz w:val="24"/>
        </w:rPr>
        <w:t xml:space="preserve">gal practitioners </w:t>
      </w:r>
    </w:p>
    <w:sectPr w:rsidR="00561876" w:rsidRPr="0056187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22F" w:rsidRDefault="0067122F" w:rsidP="00BA5C3F">
      <w:pPr>
        <w:spacing w:after="0" w:line="240" w:lineRule="auto"/>
      </w:pPr>
      <w:r>
        <w:separator/>
      </w:r>
    </w:p>
  </w:endnote>
  <w:endnote w:type="continuationSeparator" w:id="0">
    <w:p w:rsidR="0067122F" w:rsidRDefault="0067122F" w:rsidP="00BA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22F" w:rsidRDefault="0067122F" w:rsidP="00BA5C3F">
      <w:pPr>
        <w:spacing w:after="0" w:line="240" w:lineRule="auto"/>
      </w:pPr>
      <w:r>
        <w:separator/>
      </w:r>
    </w:p>
  </w:footnote>
  <w:footnote w:type="continuationSeparator" w:id="0">
    <w:p w:rsidR="0067122F" w:rsidRDefault="0067122F" w:rsidP="00BA5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905575"/>
      <w:docPartObj>
        <w:docPartGallery w:val="Page Numbers (Top of Page)"/>
        <w:docPartUnique/>
      </w:docPartObj>
    </w:sdtPr>
    <w:sdtEndPr>
      <w:rPr>
        <w:noProof/>
      </w:rPr>
    </w:sdtEndPr>
    <w:sdtContent>
      <w:p w:rsidR="00CB6158" w:rsidRDefault="00CB6158">
        <w:pPr>
          <w:pStyle w:val="Header"/>
          <w:jc w:val="right"/>
          <w:rPr>
            <w:noProof/>
          </w:rPr>
        </w:pPr>
        <w:r>
          <w:fldChar w:fldCharType="begin"/>
        </w:r>
        <w:r>
          <w:instrText xml:space="preserve"> PAGE   \* MERGEFORMAT </w:instrText>
        </w:r>
        <w:r>
          <w:fldChar w:fldCharType="separate"/>
        </w:r>
        <w:r w:rsidR="00292505">
          <w:rPr>
            <w:noProof/>
          </w:rPr>
          <w:t>1</w:t>
        </w:r>
        <w:r>
          <w:rPr>
            <w:noProof/>
          </w:rPr>
          <w:fldChar w:fldCharType="end"/>
        </w:r>
      </w:p>
      <w:p w:rsidR="008D5318" w:rsidRDefault="008D5318">
        <w:pPr>
          <w:pStyle w:val="Header"/>
          <w:jc w:val="right"/>
          <w:rPr>
            <w:noProof/>
          </w:rPr>
        </w:pPr>
        <w:r>
          <w:rPr>
            <w:noProof/>
          </w:rPr>
          <w:t>HH 499-22</w:t>
        </w:r>
      </w:p>
      <w:p w:rsidR="00CB6158" w:rsidRDefault="009030BE">
        <w:pPr>
          <w:pStyle w:val="Header"/>
          <w:jc w:val="right"/>
        </w:pPr>
        <w:r>
          <w:rPr>
            <w:noProof/>
          </w:rPr>
          <w:t>HC 3482/21</w:t>
        </w:r>
      </w:p>
    </w:sdtContent>
  </w:sdt>
  <w:p w:rsidR="00BA5C3F" w:rsidRDefault="00BA5C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3960"/>
    <w:multiLevelType w:val="hybridMultilevel"/>
    <w:tmpl w:val="A8125594"/>
    <w:lvl w:ilvl="0" w:tplc="3009000F">
      <w:start w:val="1"/>
      <w:numFmt w:val="decimal"/>
      <w:lvlText w:val="%1."/>
      <w:lvlJc w:val="left"/>
      <w:pPr>
        <w:ind w:left="1005" w:hanging="360"/>
      </w:pPr>
    </w:lvl>
    <w:lvl w:ilvl="1" w:tplc="30090019" w:tentative="1">
      <w:start w:val="1"/>
      <w:numFmt w:val="lowerLetter"/>
      <w:lvlText w:val="%2."/>
      <w:lvlJc w:val="left"/>
      <w:pPr>
        <w:ind w:left="1725" w:hanging="360"/>
      </w:pPr>
    </w:lvl>
    <w:lvl w:ilvl="2" w:tplc="3009001B" w:tentative="1">
      <w:start w:val="1"/>
      <w:numFmt w:val="lowerRoman"/>
      <w:lvlText w:val="%3."/>
      <w:lvlJc w:val="right"/>
      <w:pPr>
        <w:ind w:left="2445" w:hanging="180"/>
      </w:pPr>
    </w:lvl>
    <w:lvl w:ilvl="3" w:tplc="3009000F" w:tentative="1">
      <w:start w:val="1"/>
      <w:numFmt w:val="decimal"/>
      <w:lvlText w:val="%4."/>
      <w:lvlJc w:val="left"/>
      <w:pPr>
        <w:ind w:left="3165" w:hanging="360"/>
      </w:pPr>
    </w:lvl>
    <w:lvl w:ilvl="4" w:tplc="30090019" w:tentative="1">
      <w:start w:val="1"/>
      <w:numFmt w:val="lowerLetter"/>
      <w:lvlText w:val="%5."/>
      <w:lvlJc w:val="left"/>
      <w:pPr>
        <w:ind w:left="3885" w:hanging="360"/>
      </w:pPr>
    </w:lvl>
    <w:lvl w:ilvl="5" w:tplc="3009001B" w:tentative="1">
      <w:start w:val="1"/>
      <w:numFmt w:val="lowerRoman"/>
      <w:lvlText w:val="%6."/>
      <w:lvlJc w:val="right"/>
      <w:pPr>
        <w:ind w:left="4605" w:hanging="180"/>
      </w:pPr>
    </w:lvl>
    <w:lvl w:ilvl="6" w:tplc="3009000F" w:tentative="1">
      <w:start w:val="1"/>
      <w:numFmt w:val="decimal"/>
      <w:lvlText w:val="%7."/>
      <w:lvlJc w:val="left"/>
      <w:pPr>
        <w:ind w:left="5325" w:hanging="360"/>
      </w:pPr>
    </w:lvl>
    <w:lvl w:ilvl="7" w:tplc="30090019" w:tentative="1">
      <w:start w:val="1"/>
      <w:numFmt w:val="lowerLetter"/>
      <w:lvlText w:val="%8."/>
      <w:lvlJc w:val="left"/>
      <w:pPr>
        <w:ind w:left="6045" w:hanging="360"/>
      </w:pPr>
    </w:lvl>
    <w:lvl w:ilvl="8" w:tplc="3009001B" w:tentative="1">
      <w:start w:val="1"/>
      <w:numFmt w:val="lowerRoman"/>
      <w:lvlText w:val="%9."/>
      <w:lvlJc w:val="right"/>
      <w:pPr>
        <w:ind w:left="6765" w:hanging="180"/>
      </w:pPr>
    </w:lvl>
  </w:abstractNum>
  <w:abstractNum w:abstractNumId="1" w15:restartNumberingAfterBreak="0">
    <w:nsid w:val="445839B3"/>
    <w:multiLevelType w:val="hybridMultilevel"/>
    <w:tmpl w:val="87FAF98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E7F02C8"/>
    <w:multiLevelType w:val="hybridMultilevel"/>
    <w:tmpl w:val="D1FA080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A41"/>
    <w:rsid w:val="00046B36"/>
    <w:rsid w:val="00087053"/>
    <w:rsid w:val="00093D1E"/>
    <w:rsid w:val="000A3675"/>
    <w:rsid w:val="000A6F94"/>
    <w:rsid w:val="000B59D0"/>
    <w:rsid w:val="000E1438"/>
    <w:rsid w:val="00122FA5"/>
    <w:rsid w:val="00146B29"/>
    <w:rsid w:val="00161A39"/>
    <w:rsid w:val="00175B8B"/>
    <w:rsid w:val="001C6363"/>
    <w:rsid w:val="00222904"/>
    <w:rsid w:val="00232A41"/>
    <w:rsid w:val="00232F39"/>
    <w:rsid w:val="00267449"/>
    <w:rsid w:val="00292505"/>
    <w:rsid w:val="00296D53"/>
    <w:rsid w:val="002C3803"/>
    <w:rsid w:val="002D0475"/>
    <w:rsid w:val="002E0D73"/>
    <w:rsid w:val="003408EA"/>
    <w:rsid w:val="00375ABD"/>
    <w:rsid w:val="00400886"/>
    <w:rsid w:val="0041332B"/>
    <w:rsid w:val="00461A95"/>
    <w:rsid w:val="00474461"/>
    <w:rsid w:val="00483EA7"/>
    <w:rsid w:val="004A3D94"/>
    <w:rsid w:val="004A7BBB"/>
    <w:rsid w:val="004B112C"/>
    <w:rsid w:val="005015E8"/>
    <w:rsid w:val="00501C1D"/>
    <w:rsid w:val="00516C46"/>
    <w:rsid w:val="00561876"/>
    <w:rsid w:val="006614F3"/>
    <w:rsid w:val="0067122F"/>
    <w:rsid w:val="00694C6C"/>
    <w:rsid w:val="006B1E0E"/>
    <w:rsid w:val="006F4754"/>
    <w:rsid w:val="006F64E0"/>
    <w:rsid w:val="00736D39"/>
    <w:rsid w:val="00766759"/>
    <w:rsid w:val="00775439"/>
    <w:rsid w:val="007D06C0"/>
    <w:rsid w:val="007F3459"/>
    <w:rsid w:val="00801E67"/>
    <w:rsid w:val="008627CA"/>
    <w:rsid w:val="008B2A71"/>
    <w:rsid w:val="008D5318"/>
    <w:rsid w:val="00902CED"/>
    <w:rsid w:val="009030BE"/>
    <w:rsid w:val="009158A0"/>
    <w:rsid w:val="00975DCB"/>
    <w:rsid w:val="00980F3C"/>
    <w:rsid w:val="009C0ECA"/>
    <w:rsid w:val="009D215B"/>
    <w:rsid w:val="009D50B6"/>
    <w:rsid w:val="00A10FEC"/>
    <w:rsid w:val="00A53CDD"/>
    <w:rsid w:val="00A621AC"/>
    <w:rsid w:val="00A80CB9"/>
    <w:rsid w:val="00A849D2"/>
    <w:rsid w:val="00A97BAC"/>
    <w:rsid w:val="00AB30B2"/>
    <w:rsid w:val="00AB7B52"/>
    <w:rsid w:val="00AC7E5E"/>
    <w:rsid w:val="00B008BB"/>
    <w:rsid w:val="00B65BFE"/>
    <w:rsid w:val="00B81F7C"/>
    <w:rsid w:val="00BA5C3F"/>
    <w:rsid w:val="00BD4377"/>
    <w:rsid w:val="00BF0B67"/>
    <w:rsid w:val="00C10A61"/>
    <w:rsid w:val="00C618DF"/>
    <w:rsid w:val="00C705C7"/>
    <w:rsid w:val="00C7406A"/>
    <w:rsid w:val="00C74FE5"/>
    <w:rsid w:val="00C8287A"/>
    <w:rsid w:val="00C9015C"/>
    <w:rsid w:val="00CB358C"/>
    <w:rsid w:val="00CB6158"/>
    <w:rsid w:val="00CF178A"/>
    <w:rsid w:val="00D40213"/>
    <w:rsid w:val="00D95CC3"/>
    <w:rsid w:val="00DA150F"/>
    <w:rsid w:val="00E12B95"/>
    <w:rsid w:val="00E33ACE"/>
    <w:rsid w:val="00E44325"/>
    <w:rsid w:val="00E44F11"/>
    <w:rsid w:val="00EA6090"/>
    <w:rsid w:val="00F07CAC"/>
    <w:rsid w:val="00F33704"/>
    <w:rsid w:val="00F81D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CC026-FF3F-47A1-A263-A82A7B23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A41"/>
    <w:pPr>
      <w:widowControl w:val="0"/>
      <w:jc w:val="both"/>
    </w:pPr>
    <w:rPr>
      <w:rFonts w:eastAsiaTheme="minorEastAsia"/>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8DF"/>
    <w:pPr>
      <w:ind w:left="720"/>
      <w:contextualSpacing/>
    </w:pPr>
  </w:style>
  <w:style w:type="paragraph" w:customStyle="1" w:styleId="headnote">
    <w:name w:val="headnote"/>
    <w:basedOn w:val="Normal"/>
    <w:rsid w:val="00C9015C"/>
    <w:pPr>
      <w:widowControl/>
      <w:spacing w:before="100" w:beforeAutospacing="1" w:after="100" w:afterAutospacing="1" w:line="240" w:lineRule="auto"/>
      <w:jc w:val="left"/>
    </w:pPr>
    <w:rPr>
      <w:rFonts w:ascii="Times New Roman" w:eastAsia="Times New Roman" w:hAnsi="Times New Roman" w:cs="Times New Roman"/>
      <w:kern w:val="0"/>
      <w:sz w:val="24"/>
      <w:lang w:val="en-ZW" w:eastAsia="en-ZW"/>
    </w:rPr>
  </w:style>
  <w:style w:type="character" w:customStyle="1" w:styleId="italic">
    <w:name w:val="italic"/>
    <w:basedOn w:val="DefaultParagraphFont"/>
    <w:rsid w:val="00C9015C"/>
  </w:style>
  <w:style w:type="paragraph" w:styleId="Header">
    <w:name w:val="header"/>
    <w:basedOn w:val="Normal"/>
    <w:link w:val="HeaderChar"/>
    <w:uiPriority w:val="99"/>
    <w:unhideWhenUsed/>
    <w:rsid w:val="00BA5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C3F"/>
    <w:rPr>
      <w:rFonts w:eastAsiaTheme="minorEastAsia"/>
      <w:kern w:val="2"/>
      <w:sz w:val="21"/>
      <w:szCs w:val="24"/>
      <w:lang w:val="en-US" w:eastAsia="zh-CN"/>
    </w:rPr>
  </w:style>
  <w:style w:type="paragraph" w:styleId="Footer">
    <w:name w:val="footer"/>
    <w:basedOn w:val="Normal"/>
    <w:link w:val="FooterChar"/>
    <w:uiPriority w:val="99"/>
    <w:unhideWhenUsed/>
    <w:rsid w:val="00BA5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C3F"/>
    <w:rPr>
      <w:rFonts w:eastAsiaTheme="minorEastAsia"/>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dc:creator>
  <cp:keywords/>
  <dc:description/>
  <cp:lastModifiedBy>JSC</cp:lastModifiedBy>
  <cp:revision>2</cp:revision>
  <cp:lastPrinted>2022-07-20T13:41:00Z</cp:lastPrinted>
  <dcterms:created xsi:type="dcterms:W3CDTF">2022-07-22T09:32:00Z</dcterms:created>
  <dcterms:modified xsi:type="dcterms:W3CDTF">2022-07-22T09:32:00Z</dcterms:modified>
</cp:coreProperties>
</file>