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9B" w:rsidRDefault="0012229B" w:rsidP="00037D40">
      <w:pPr>
        <w:spacing w:line="240" w:lineRule="auto"/>
        <w:rPr>
          <w:rFonts w:ascii="Tahoma" w:hAnsi="Tahoma" w:cs="Tahoma"/>
          <w:b/>
          <w:sz w:val="24"/>
          <w:szCs w:val="24"/>
        </w:rPr>
      </w:pPr>
    </w:p>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B33A48">
        <w:rPr>
          <w:rFonts w:ascii="Tahoma" w:hAnsi="Tahoma" w:cs="Tahoma"/>
          <w:b/>
          <w:sz w:val="24"/>
          <w:szCs w:val="24"/>
        </w:rPr>
        <w:t xml:space="preserve">       </w:t>
      </w:r>
      <w:r w:rsidR="00A649E8">
        <w:rPr>
          <w:rFonts w:ascii="Tahoma" w:hAnsi="Tahoma" w:cs="Tahoma"/>
          <w:b/>
          <w:sz w:val="24"/>
          <w:szCs w:val="24"/>
        </w:rPr>
        <w:t>JUDGMEN</w:t>
      </w:r>
      <w:r w:rsidR="00405AE3">
        <w:rPr>
          <w:rFonts w:ascii="Tahoma" w:hAnsi="Tahoma" w:cs="Tahoma"/>
          <w:b/>
          <w:sz w:val="24"/>
          <w:szCs w:val="24"/>
        </w:rPr>
        <w:t xml:space="preserve">T </w:t>
      </w:r>
      <w:r w:rsidR="0099394C">
        <w:rPr>
          <w:rFonts w:ascii="Tahoma" w:hAnsi="Tahoma" w:cs="Tahoma"/>
          <w:b/>
          <w:sz w:val="24"/>
          <w:szCs w:val="24"/>
        </w:rPr>
        <w:t>NO.</w:t>
      </w:r>
      <w:r w:rsidR="002F10D6">
        <w:rPr>
          <w:rFonts w:ascii="Tahoma" w:hAnsi="Tahoma" w:cs="Tahoma"/>
          <w:b/>
          <w:sz w:val="24"/>
          <w:szCs w:val="24"/>
        </w:rPr>
        <w:t>LC/H/</w:t>
      </w:r>
      <w:r w:rsidR="00E921C5">
        <w:rPr>
          <w:rFonts w:ascii="Tahoma" w:hAnsi="Tahoma" w:cs="Tahoma"/>
          <w:b/>
          <w:sz w:val="24"/>
          <w:szCs w:val="24"/>
        </w:rPr>
        <w:t>27</w:t>
      </w:r>
      <w:r w:rsidR="00B33A48">
        <w:rPr>
          <w:rFonts w:ascii="Tahoma" w:hAnsi="Tahoma" w:cs="Tahoma"/>
          <w:b/>
          <w:sz w:val="24"/>
          <w:szCs w:val="24"/>
        </w:rPr>
        <w:t>/</w:t>
      </w:r>
      <w:r w:rsidR="00E921C5">
        <w:rPr>
          <w:rFonts w:ascii="Tahoma" w:hAnsi="Tahoma" w:cs="Tahoma"/>
          <w:b/>
          <w:sz w:val="24"/>
          <w:szCs w:val="24"/>
        </w:rPr>
        <w:t>22</w:t>
      </w:r>
    </w:p>
    <w:p w:rsidR="003A6EEC"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2868CF">
        <w:rPr>
          <w:rFonts w:ascii="Tahoma" w:hAnsi="Tahoma" w:cs="Tahoma"/>
          <w:b/>
          <w:sz w:val="24"/>
          <w:szCs w:val="24"/>
        </w:rPr>
        <w:t xml:space="preserve"> 01</w:t>
      </w:r>
      <w:r w:rsidR="00F6073E">
        <w:rPr>
          <w:rFonts w:ascii="Tahoma" w:hAnsi="Tahoma" w:cs="Tahoma"/>
          <w:b/>
          <w:sz w:val="24"/>
          <w:szCs w:val="24"/>
        </w:rPr>
        <w:t xml:space="preserve"> FEBRUARY</w:t>
      </w:r>
      <w:r w:rsidR="0090208E">
        <w:rPr>
          <w:rFonts w:ascii="Tahoma" w:hAnsi="Tahoma" w:cs="Tahoma"/>
          <w:b/>
          <w:sz w:val="24"/>
          <w:szCs w:val="24"/>
        </w:rPr>
        <w:t>,</w:t>
      </w:r>
      <w:r w:rsidR="00B33A48">
        <w:rPr>
          <w:rFonts w:ascii="Tahoma" w:hAnsi="Tahoma" w:cs="Tahoma"/>
          <w:b/>
          <w:sz w:val="24"/>
          <w:szCs w:val="24"/>
        </w:rPr>
        <w:t xml:space="preserve"> 2022</w:t>
      </w:r>
      <w:r w:rsidR="00741A7F">
        <w:rPr>
          <w:rFonts w:ascii="Tahoma" w:hAnsi="Tahoma" w:cs="Tahoma"/>
          <w:b/>
          <w:sz w:val="24"/>
          <w:szCs w:val="24"/>
        </w:rPr>
        <w:t xml:space="preserve"> </w:t>
      </w:r>
      <w:r w:rsidR="00F6073E">
        <w:rPr>
          <w:rFonts w:ascii="Tahoma" w:hAnsi="Tahoma" w:cs="Tahoma"/>
          <w:b/>
          <w:sz w:val="24"/>
          <w:szCs w:val="24"/>
        </w:rPr>
        <w:t xml:space="preserve">        </w:t>
      </w:r>
      <w:r w:rsidR="00741A7F">
        <w:rPr>
          <w:rFonts w:ascii="Tahoma" w:hAnsi="Tahoma" w:cs="Tahoma"/>
          <w:b/>
          <w:sz w:val="24"/>
          <w:szCs w:val="24"/>
        </w:rPr>
        <w:t xml:space="preserve">   </w:t>
      </w:r>
      <w:r w:rsidR="008401EE">
        <w:rPr>
          <w:rFonts w:ascii="Tahoma" w:hAnsi="Tahoma" w:cs="Tahoma"/>
          <w:b/>
          <w:sz w:val="24"/>
          <w:szCs w:val="24"/>
        </w:rPr>
        <w:t xml:space="preserve">             </w:t>
      </w:r>
      <w:r w:rsidR="00EE69D6">
        <w:rPr>
          <w:rFonts w:ascii="Tahoma" w:hAnsi="Tahoma" w:cs="Tahoma"/>
          <w:b/>
          <w:sz w:val="24"/>
          <w:szCs w:val="24"/>
        </w:rPr>
        <w:t xml:space="preserve">  </w:t>
      </w:r>
      <w:bookmarkStart w:id="0" w:name="_GoBack"/>
      <w:bookmarkEnd w:id="0"/>
      <w:r w:rsidR="008401EE">
        <w:rPr>
          <w:rFonts w:ascii="Tahoma" w:hAnsi="Tahoma" w:cs="Tahoma"/>
          <w:b/>
          <w:sz w:val="24"/>
          <w:szCs w:val="24"/>
        </w:rPr>
        <w:t>CASE NO. LC/H/397</w:t>
      </w:r>
      <w:r w:rsidR="00741A7F">
        <w:rPr>
          <w:rFonts w:ascii="Tahoma" w:hAnsi="Tahoma" w:cs="Tahoma"/>
          <w:b/>
          <w:sz w:val="24"/>
          <w:szCs w:val="24"/>
        </w:rPr>
        <w:t>/21</w:t>
      </w:r>
    </w:p>
    <w:p w:rsidR="00446DC5" w:rsidRPr="004708FE" w:rsidRDefault="002868CF" w:rsidP="00037D40">
      <w:pPr>
        <w:spacing w:line="240" w:lineRule="auto"/>
        <w:jc w:val="both"/>
        <w:rPr>
          <w:rFonts w:ascii="Tahoma" w:hAnsi="Tahoma" w:cs="Tahoma"/>
          <w:b/>
          <w:sz w:val="24"/>
          <w:szCs w:val="24"/>
        </w:rPr>
      </w:pPr>
      <w:r>
        <w:rPr>
          <w:rFonts w:ascii="Tahoma" w:hAnsi="Tahoma" w:cs="Tahoma"/>
          <w:b/>
          <w:sz w:val="24"/>
          <w:szCs w:val="24"/>
        </w:rPr>
        <w:t>AND 11 FEBRUARY, 2022</w:t>
      </w:r>
      <w:r w:rsidR="003A6EEC">
        <w:rPr>
          <w:rFonts w:ascii="Tahoma" w:hAnsi="Tahoma" w:cs="Tahoma"/>
          <w:b/>
          <w:sz w:val="24"/>
          <w:szCs w:val="24"/>
        </w:rPr>
        <w:t xml:space="preserve">                  </w:t>
      </w:r>
      <w:r w:rsidR="00BA1F25">
        <w:rPr>
          <w:rFonts w:ascii="Tahoma" w:hAnsi="Tahoma" w:cs="Tahoma"/>
          <w:b/>
          <w:sz w:val="24"/>
          <w:szCs w:val="24"/>
        </w:rPr>
        <w:t xml:space="preserve">  </w:t>
      </w:r>
      <w:r w:rsidR="006438AB">
        <w:rPr>
          <w:rFonts w:ascii="Tahoma" w:hAnsi="Tahoma" w:cs="Tahoma"/>
          <w:b/>
          <w:sz w:val="24"/>
          <w:szCs w:val="24"/>
        </w:rPr>
        <w:t xml:space="preserve">                  </w:t>
      </w:r>
      <w:r w:rsidR="0090208E">
        <w:rPr>
          <w:rFonts w:ascii="Tahoma" w:hAnsi="Tahoma" w:cs="Tahoma"/>
          <w:b/>
          <w:sz w:val="24"/>
          <w:szCs w:val="24"/>
        </w:rPr>
        <w:t xml:space="preserve">  </w:t>
      </w:r>
      <w:r w:rsidR="00B33A48">
        <w:rPr>
          <w:rFonts w:ascii="Tahoma" w:hAnsi="Tahoma" w:cs="Tahoma"/>
          <w:b/>
          <w:sz w:val="24"/>
          <w:szCs w:val="24"/>
        </w:rPr>
        <w:t xml:space="preserve"> </w:t>
      </w:r>
      <w:r w:rsidR="009050A5">
        <w:rPr>
          <w:rFonts w:ascii="Tahoma" w:hAnsi="Tahoma" w:cs="Tahoma"/>
          <w:b/>
          <w:sz w:val="24"/>
          <w:szCs w:val="24"/>
        </w:rPr>
        <w:t xml:space="preserve"> </w:t>
      </w:r>
      <w:r w:rsidR="005B56E6">
        <w:rPr>
          <w:rFonts w:ascii="Tahoma" w:hAnsi="Tahoma" w:cs="Tahoma"/>
          <w:b/>
          <w:sz w:val="24"/>
          <w:szCs w:val="24"/>
        </w:rPr>
        <w:t xml:space="preserve"> </w:t>
      </w:r>
    </w:p>
    <w:p w:rsidR="00BA1F25" w:rsidRDefault="00BA1F25" w:rsidP="00446DC5">
      <w:pPr>
        <w:jc w:val="both"/>
        <w:rPr>
          <w:rFonts w:ascii="Tahoma" w:hAnsi="Tahoma" w:cs="Tahoma"/>
          <w:sz w:val="24"/>
          <w:szCs w:val="24"/>
        </w:rPr>
      </w:pPr>
    </w:p>
    <w:p w:rsidR="00446DC5" w:rsidRDefault="00B06F69" w:rsidP="00037D40">
      <w:pPr>
        <w:spacing w:line="240" w:lineRule="auto"/>
        <w:jc w:val="both"/>
        <w:rPr>
          <w:rFonts w:ascii="Tahoma" w:hAnsi="Tahoma" w:cs="Tahoma"/>
          <w:b/>
          <w:sz w:val="24"/>
          <w:szCs w:val="24"/>
        </w:rPr>
      </w:pPr>
      <w:r>
        <w:rPr>
          <w:rFonts w:ascii="Tahoma" w:hAnsi="Tahoma" w:cs="Tahoma"/>
          <w:b/>
          <w:sz w:val="24"/>
          <w:szCs w:val="24"/>
        </w:rPr>
        <w:t>TIKO CHANDIGE</w:t>
      </w:r>
      <w:r w:rsidR="008B5399">
        <w:rPr>
          <w:rFonts w:ascii="Tahoma" w:hAnsi="Tahoma" w:cs="Tahoma"/>
          <w:b/>
          <w:sz w:val="24"/>
          <w:szCs w:val="24"/>
        </w:rPr>
        <w:t>RE</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F6073E">
        <w:rPr>
          <w:rFonts w:ascii="Tahoma" w:hAnsi="Tahoma" w:cs="Tahoma"/>
          <w:b/>
          <w:sz w:val="24"/>
          <w:szCs w:val="24"/>
        </w:rPr>
        <w:t xml:space="preserve">      </w:t>
      </w:r>
      <w:r w:rsidR="0026011E">
        <w:rPr>
          <w:rFonts w:ascii="Tahoma" w:hAnsi="Tahoma" w:cs="Tahoma"/>
          <w:b/>
          <w:sz w:val="24"/>
          <w:szCs w:val="24"/>
        </w:rPr>
        <w:t xml:space="preserve"> </w:t>
      </w:r>
      <w:r w:rsidR="00A93F01">
        <w:rPr>
          <w:rFonts w:ascii="Tahoma" w:hAnsi="Tahoma" w:cs="Tahoma"/>
          <w:b/>
          <w:sz w:val="24"/>
          <w:szCs w:val="24"/>
        </w:rPr>
        <w:t xml:space="preserve">  </w:t>
      </w:r>
      <w:r w:rsidR="00875054">
        <w:rPr>
          <w:rFonts w:ascii="Tahoma" w:hAnsi="Tahoma" w:cs="Tahoma"/>
          <w:b/>
          <w:sz w:val="24"/>
          <w:szCs w:val="24"/>
        </w:rPr>
        <w:t>App</w:t>
      </w:r>
      <w:r w:rsidR="0090208E">
        <w:rPr>
          <w:rFonts w:ascii="Tahoma" w:hAnsi="Tahoma" w:cs="Tahoma"/>
          <w:b/>
          <w:sz w:val="24"/>
          <w:szCs w:val="24"/>
        </w:rPr>
        <w:t>licant</w:t>
      </w:r>
    </w:p>
    <w:p w:rsidR="0026011E" w:rsidRDefault="0026011E" w:rsidP="00037D40">
      <w:pPr>
        <w:spacing w:line="240" w:lineRule="auto"/>
        <w:jc w:val="both"/>
        <w:rPr>
          <w:rFonts w:ascii="Tahoma" w:hAnsi="Tahoma" w:cs="Tahoma"/>
          <w:b/>
          <w:sz w:val="24"/>
          <w:szCs w:val="24"/>
        </w:rPr>
      </w:pP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b/>
      </w:r>
    </w:p>
    <w:p w:rsidR="00E10230" w:rsidRDefault="008B5399" w:rsidP="00906CB1">
      <w:pPr>
        <w:spacing w:line="240" w:lineRule="auto"/>
        <w:jc w:val="both"/>
        <w:rPr>
          <w:rFonts w:ascii="Tahoma" w:hAnsi="Tahoma" w:cs="Tahoma"/>
          <w:b/>
          <w:sz w:val="24"/>
          <w:szCs w:val="24"/>
        </w:rPr>
      </w:pPr>
      <w:r>
        <w:rPr>
          <w:rFonts w:ascii="Tahoma" w:hAnsi="Tahoma" w:cs="Tahoma"/>
          <w:b/>
          <w:sz w:val="24"/>
          <w:szCs w:val="24"/>
        </w:rPr>
        <w:t>CARGO CARRIERS INTERNATIONAL HAULIERS</w:t>
      </w:r>
      <w:r w:rsidR="00B33A48">
        <w:rPr>
          <w:rFonts w:ascii="Tahoma" w:hAnsi="Tahoma" w:cs="Tahoma"/>
          <w:b/>
          <w:sz w:val="24"/>
          <w:szCs w:val="24"/>
        </w:rPr>
        <w:t xml:space="preserve">   </w:t>
      </w:r>
      <w:r w:rsidR="00054830">
        <w:rPr>
          <w:rFonts w:ascii="Tahoma" w:hAnsi="Tahoma" w:cs="Tahoma"/>
          <w:b/>
          <w:sz w:val="24"/>
          <w:szCs w:val="24"/>
        </w:rPr>
        <w:t xml:space="preserve">      </w:t>
      </w:r>
      <w:r w:rsidR="00B57477">
        <w:rPr>
          <w:rFonts w:ascii="Tahoma" w:hAnsi="Tahoma" w:cs="Tahoma"/>
          <w:b/>
          <w:sz w:val="24"/>
          <w:szCs w:val="24"/>
        </w:rPr>
        <w:tab/>
      </w:r>
      <w:r>
        <w:rPr>
          <w:rFonts w:ascii="Tahoma" w:hAnsi="Tahoma" w:cs="Tahoma"/>
          <w:b/>
          <w:sz w:val="24"/>
          <w:szCs w:val="24"/>
        </w:rPr>
        <w:t xml:space="preserve">         </w:t>
      </w:r>
      <w:r w:rsidR="00F6073E">
        <w:rPr>
          <w:rFonts w:ascii="Tahoma" w:hAnsi="Tahoma" w:cs="Tahoma"/>
          <w:b/>
          <w:sz w:val="24"/>
          <w:szCs w:val="24"/>
        </w:rPr>
        <w:t>Res</w:t>
      </w:r>
      <w:r w:rsidR="00E10230">
        <w:rPr>
          <w:rFonts w:ascii="Tahoma" w:hAnsi="Tahoma" w:cs="Tahoma"/>
          <w:b/>
          <w:sz w:val="24"/>
          <w:szCs w:val="24"/>
        </w:rPr>
        <w:t>pondent</w:t>
      </w:r>
    </w:p>
    <w:p w:rsidR="00446DC5" w:rsidRDefault="008B5399" w:rsidP="00906CB1">
      <w:pPr>
        <w:spacing w:line="240" w:lineRule="auto"/>
        <w:jc w:val="both"/>
        <w:rPr>
          <w:rFonts w:ascii="Tahoma" w:hAnsi="Tahoma" w:cs="Tahoma"/>
          <w:b/>
          <w:sz w:val="24"/>
          <w:szCs w:val="24"/>
        </w:rPr>
      </w:pPr>
      <w:r>
        <w:rPr>
          <w:rFonts w:ascii="Tahoma" w:hAnsi="Tahoma" w:cs="Tahoma"/>
          <w:b/>
          <w:sz w:val="24"/>
          <w:szCs w:val="24"/>
        </w:rPr>
        <w:t>(PVT) LTD</w:t>
      </w:r>
      <w:r w:rsidR="00A93F01">
        <w:rPr>
          <w:rFonts w:ascii="Tahoma" w:hAnsi="Tahoma" w:cs="Tahoma"/>
          <w:b/>
          <w:sz w:val="24"/>
          <w:szCs w:val="24"/>
        </w:rPr>
        <w:t xml:space="preserve">           </w:t>
      </w:r>
      <w:r w:rsidR="00054830">
        <w:rPr>
          <w:rFonts w:ascii="Tahoma" w:hAnsi="Tahoma" w:cs="Tahoma"/>
          <w:b/>
          <w:sz w:val="24"/>
          <w:szCs w:val="24"/>
        </w:rPr>
        <w:t xml:space="preserve">     </w:t>
      </w:r>
      <w:r w:rsidR="00741A7F">
        <w:rPr>
          <w:rFonts w:ascii="Tahoma" w:hAnsi="Tahoma" w:cs="Tahoma"/>
          <w:b/>
          <w:sz w:val="24"/>
          <w:szCs w:val="24"/>
        </w:rPr>
        <w:t xml:space="preserve">          </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r>
      <w:proofErr w:type="gramStart"/>
      <w:r w:rsidR="001365AA">
        <w:rPr>
          <w:rFonts w:ascii="Tahoma" w:hAnsi="Tahoma" w:cs="Tahoma"/>
          <w:b/>
          <w:sz w:val="24"/>
          <w:szCs w:val="24"/>
        </w:rPr>
        <w:t>:</w:t>
      </w:r>
      <w:r w:rsidR="00E10230">
        <w:rPr>
          <w:rFonts w:ascii="Tahoma" w:hAnsi="Tahoma" w:cs="Tahoma"/>
          <w:b/>
          <w:sz w:val="24"/>
          <w:szCs w:val="24"/>
        </w:rPr>
        <w:t>Mr</w:t>
      </w:r>
      <w:proofErr w:type="gramEnd"/>
      <w:r w:rsidR="00E10230">
        <w:rPr>
          <w:rFonts w:ascii="Tahoma" w:hAnsi="Tahoma" w:cs="Tahoma"/>
          <w:b/>
          <w:sz w:val="24"/>
          <w:szCs w:val="24"/>
        </w:rPr>
        <w:t xml:space="preserve"> C. </w:t>
      </w:r>
      <w:proofErr w:type="spellStart"/>
      <w:r w:rsidR="00E10230">
        <w:rPr>
          <w:rFonts w:ascii="Tahoma" w:hAnsi="Tahoma" w:cs="Tahoma"/>
          <w:b/>
          <w:sz w:val="24"/>
          <w:szCs w:val="24"/>
        </w:rPr>
        <w:t>Chigwada</w:t>
      </w:r>
      <w:proofErr w:type="spellEnd"/>
      <w:r w:rsidR="00E10230">
        <w:rPr>
          <w:rFonts w:ascii="Tahoma" w:hAnsi="Tahoma" w:cs="Tahoma"/>
          <w:b/>
          <w:sz w:val="24"/>
          <w:szCs w:val="24"/>
        </w:rPr>
        <w:t xml:space="preserve"> (Unionist)</w:t>
      </w:r>
    </w:p>
    <w:p w:rsidR="0026011E" w:rsidRDefault="0026011E"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r>
      <w:proofErr w:type="gramStart"/>
      <w:r w:rsidR="001365AA">
        <w:rPr>
          <w:rFonts w:ascii="Tahoma" w:hAnsi="Tahoma" w:cs="Tahoma"/>
          <w:b/>
          <w:sz w:val="24"/>
          <w:szCs w:val="24"/>
        </w:rPr>
        <w:t>:</w:t>
      </w:r>
      <w:r w:rsidR="00E10230">
        <w:rPr>
          <w:rFonts w:ascii="Tahoma" w:hAnsi="Tahoma" w:cs="Tahoma"/>
          <w:b/>
          <w:sz w:val="24"/>
          <w:szCs w:val="24"/>
        </w:rPr>
        <w:t>Ms</w:t>
      </w:r>
      <w:proofErr w:type="gramEnd"/>
      <w:r w:rsidR="00E10230">
        <w:rPr>
          <w:rFonts w:ascii="Tahoma" w:hAnsi="Tahoma" w:cs="Tahoma"/>
          <w:b/>
          <w:sz w:val="24"/>
          <w:szCs w:val="24"/>
        </w:rPr>
        <w:t xml:space="preserve"> N. Zhou (</w:t>
      </w:r>
      <w:r w:rsidR="00741A7F">
        <w:rPr>
          <w:rFonts w:ascii="Tahoma" w:hAnsi="Tahoma" w:cs="Tahoma"/>
          <w:b/>
          <w:sz w:val="24"/>
          <w:szCs w:val="24"/>
        </w:rPr>
        <w:t xml:space="preserve"> Attorney</w:t>
      </w:r>
      <w:r w:rsidR="00E10230">
        <w:rPr>
          <w:rFonts w:ascii="Tahoma" w:hAnsi="Tahoma" w:cs="Tahoma"/>
          <w:b/>
          <w:sz w:val="24"/>
          <w:szCs w:val="24"/>
        </w:rPr>
        <w:t>)</w:t>
      </w:r>
      <w:r w:rsidR="00987FE3">
        <w:rPr>
          <w:rFonts w:ascii="Tahoma" w:hAnsi="Tahoma" w:cs="Tahoma"/>
          <w:b/>
          <w:sz w:val="24"/>
          <w:szCs w:val="24"/>
        </w:rPr>
        <w:tab/>
      </w:r>
    </w:p>
    <w:p w:rsidR="003047D5" w:rsidRPr="008C4120" w:rsidRDefault="003047D5" w:rsidP="00446DC5">
      <w:pPr>
        <w:pStyle w:val="NoSpacing"/>
        <w:spacing w:line="360" w:lineRule="auto"/>
        <w:rPr>
          <w:rFonts w:ascii="Tahoma" w:hAnsi="Tahoma" w:cs="Tahoma"/>
          <w:b/>
          <w:sz w:val="24"/>
          <w:szCs w:val="24"/>
        </w:rPr>
      </w:pPr>
    </w:p>
    <w:p w:rsidR="00446DC5" w:rsidRPr="004708FE" w:rsidRDefault="00446DC5" w:rsidP="00037D40">
      <w:pPr>
        <w:spacing w:line="240" w:lineRule="auto"/>
        <w:jc w:val="both"/>
        <w:rPr>
          <w:rFonts w:ascii="Tahoma" w:hAnsi="Tahoma" w:cs="Tahoma"/>
          <w:b/>
          <w:sz w:val="24"/>
          <w:szCs w:val="24"/>
        </w:rPr>
      </w:pPr>
    </w:p>
    <w:p w:rsidR="00446DC5"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D12278" w:rsidRDefault="00D12278" w:rsidP="00446DC5">
      <w:pPr>
        <w:spacing w:line="360" w:lineRule="auto"/>
        <w:jc w:val="both"/>
        <w:rPr>
          <w:rFonts w:ascii="Tahoma" w:hAnsi="Tahoma" w:cs="Tahoma"/>
          <w:sz w:val="24"/>
          <w:szCs w:val="24"/>
        </w:rPr>
      </w:pPr>
      <w:r>
        <w:rPr>
          <w:rFonts w:ascii="Tahoma" w:hAnsi="Tahoma" w:cs="Tahoma"/>
          <w:b/>
          <w:sz w:val="24"/>
          <w:szCs w:val="24"/>
        </w:rPr>
        <w:tab/>
      </w:r>
      <w:r>
        <w:rPr>
          <w:rFonts w:ascii="Tahoma" w:hAnsi="Tahoma" w:cs="Tahoma"/>
          <w:sz w:val="24"/>
          <w:szCs w:val="24"/>
        </w:rPr>
        <w:t xml:space="preserve">Applicant filed an application in this Court for the review of his dismissal from employment by Respondent.  </w:t>
      </w:r>
      <w:r w:rsidR="00D21BE1">
        <w:rPr>
          <w:rFonts w:ascii="Tahoma" w:hAnsi="Tahoma" w:cs="Tahoma"/>
          <w:sz w:val="24"/>
          <w:szCs w:val="24"/>
        </w:rPr>
        <w:t xml:space="preserve">The </w:t>
      </w:r>
      <w:r>
        <w:rPr>
          <w:rFonts w:ascii="Tahoma" w:hAnsi="Tahoma" w:cs="Tahoma"/>
          <w:sz w:val="24"/>
          <w:szCs w:val="24"/>
        </w:rPr>
        <w:t>Respondent oppose</w:t>
      </w:r>
      <w:r w:rsidR="00D21BE1">
        <w:rPr>
          <w:rFonts w:ascii="Tahoma" w:hAnsi="Tahoma" w:cs="Tahoma"/>
          <w:sz w:val="24"/>
          <w:szCs w:val="24"/>
        </w:rPr>
        <w:t>d</w:t>
      </w:r>
      <w:r>
        <w:rPr>
          <w:rFonts w:ascii="Tahoma" w:hAnsi="Tahoma" w:cs="Tahoma"/>
          <w:sz w:val="24"/>
          <w:szCs w:val="24"/>
        </w:rPr>
        <w:t xml:space="preserve"> the application.  The two (2) grounds for review were worded rather in elegantly.  The relevant parts of the grounds declaimed as follows,</w:t>
      </w:r>
    </w:p>
    <w:p w:rsidR="00D12278" w:rsidRPr="00A875AD" w:rsidRDefault="00D12278" w:rsidP="00A875AD">
      <w:pPr>
        <w:spacing w:line="240" w:lineRule="auto"/>
        <w:ind w:left="1440" w:hanging="720"/>
        <w:jc w:val="both"/>
        <w:rPr>
          <w:rFonts w:ascii="Tahoma" w:hAnsi="Tahoma" w:cs="Tahoma"/>
          <w:i/>
        </w:rPr>
      </w:pPr>
      <w:r w:rsidRPr="00A875AD">
        <w:rPr>
          <w:rFonts w:ascii="Tahoma" w:hAnsi="Tahoma" w:cs="Tahoma"/>
          <w:i/>
        </w:rPr>
        <w:t>“1.</w:t>
      </w:r>
      <w:r w:rsidRPr="00A875AD">
        <w:rPr>
          <w:rFonts w:ascii="Tahoma" w:hAnsi="Tahoma" w:cs="Tahoma"/>
          <w:i/>
        </w:rPr>
        <w:tab/>
        <w:t>Cementing the fact that the charge of gross negligence in this case is a serious misdirection on Respondent’s part, failing to meet the expected standards/set targets which are calculated on a kilometre per litre basis will never culminate to Gross Negligence by definition, in some instances present what Respondent term diesel short may only or invite call for a charge such as incompetence as ap</w:t>
      </w:r>
      <w:r w:rsidR="00C92E06">
        <w:rPr>
          <w:rFonts w:ascii="Tahoma" w:hAnsi="Tahoma" w:cs="Tahoma"/>
          <w:i/>
        </w:rPr>
        <w:t>propriate charge/ offence; ………</w:t>
      </w:r>
    </w:p>
    <w:p w:rsidR="00D12278" w:rsidRDefault="00D12278" w:rsidP="00D12278">
      <w:pPr>
        <w:spacing w:line="360" w:lineRule="auto"/>
        <w:ind w:left="1440" w:hanging="720"/>
        <w:jc w:val="both"/>
        <w:rPr>
          <w:rFonts w:ascii="Tahoma" w:hAnsi="Tahoma" w:cs="Tahoma"/>
          <w:sz w:val="24"/>
          <w:szCs w:val="24"/>
        </w:rPr>
      </w:pPr>
    </w:p>
    <w:p w:rsidR="00A875AD" w:rsidRDefault="00A875AD" w:rsidP="00D12278">
      <w:pPr>
        <w:spacing w:line="360" w:lineRule="auto"/>
        <w:ind w:left="1440"/>
        <w:jc w:val="both"/>
        <w:rPr>
          <w:rFonts w:ascii="Tahoma" w:hAnsi="Tahoma" w:cs="Tahoma"/>
          <w:sz w:val="24"/>
          <w:szCs w:val="24"/>
        </w:rPr>
      </w:pPr>
    </w:p>
    <w:p w:rsidR="00A875AD" w:rsidRDefault="00A875AD" w:rsidP="00D12278">
      <w:pPr>
        <w:spacing w:line="360" w:lineRule="auto"/>
        <w:ind w:left="1440"/>
        <w:jc w:val="both"/>
        <w:rPr>
          <w:rFonts w:ascii="Tahoma" w:hAnsi="Tahoma" w:cs="Tahoma"/>
          <w:sz w:val="24"/>
          <w:szCs w:val="24"/>
        </w:rPr>
      </w:pPr>
    </w:p>
    <w:p w:rsidR="00ED5D6E" w:rsidRPr="00A875AD" w:rsidRDefault="00D12278" w:rsidP="00A875AD">
      <w:pPr>
        <w:spacing w:line="240" w:lineRule="auto"/>
        <w:ind w:left="1440"/>
        <w:jc w:val="both"/>
        <w:rPr>
          <w:rFonts w:ascii="Tahoma" w:hAnsi="Tahoma" w:cs="Tahoma"/>
          <w:i/>
        </w:rPr>
      </w:pPr>
      <w:r w:rsidRPr="00A875AD">
        <w:rPr>
          <w:rFonts w:ascii="Tahoma" w:hAnsi="Tahoma" w:cs="Tahoma"/>
          <w:i/>
        </w:rPr>
        <w:t xml:space="preserve">Yet in this matter Respondent preferred on inappropriate charge of Gross Negligence for </w:t>
      </w:r>
      <w:r w:rsidR="00ED5D6E" w:rsidRPr="00A875AD">
        <w:rPr>
          <w:rFonts w:ascii="Tahoma" w:hAnsi="Tahoma" w:cs="Tahoma"/>
          <w:i/>
        </w:rPr>
        <w:t>conspicuous reasons that it carried a severe penal</w:t>
      </w:r>
      <w:r w:rsidR="00C92E06">
        <w:rPr>
          <w:rFonts w:ascii="Tahoma" w:hAnsi="Tahoma" w:cs="Tahoma"/>
          <w:i/>
        </w:rPr>
        <w:t xml:space="preserve">ty, such as dismissal.  </w:t>
      </w:r>
      <w:proofErr w:type="gramStart"/>
      <w:r w:rsidR="00C92E06">
        <w:rPr>
          <w:rFonts w:ascii="Tahoma" w:hAnsi="Tahoma" w:cs="Tahoma"/>
          <w:i/>
        </w:rPr>
        <w:t xml:space="preserve">Totally </w:t>
      </w:r>
      <w:r w:rsidR="00ED5D6E" w:rsidRPr="00A875AD">
        <w:rPr>
          <w:rFonts w:ascii="Tahoma" w:hAnsi="Tahoma" w:cs="Tahoma"/>
          <w:i/>
        </w:rPr>
        <w:t>disreg</w:t>
      </w:r>
      <w:r w:rsidR="00A875AD" w:rsidRPr="00A875AD">
        <w:rPr>
          <w:rFonts w:ascii="Tahoma" w:hAnsi="Tahoma" w:cs="Tahoma"/>
          <w:i/>
        </w:rPr>
        <w:t xml:space="preserve">arding the nature of the matter </w:t>
      </w:r>
      <w:r w:rsidR="00C838C2">
        <w:rPr>
          <w:rFonts w:ascii="Tahoma" w:hAnsi="Tahoma" w:cs="Tahoma"/>
          <w:i/>
        </w:rPr>
        <w:t xml:space="preserve">at </w:t>
      </w:r>
      <w:r w:rsidR="00ED5D6E" w:rsidRPr="00A875AD">
        <w:rPr>
          <w:rFonts w:ascii="Tahoma" w:hAnsi="Tahoma" w:cs="Tahoma"/>
          <w:i/>
        </w:rPr>
        <w:t>hand.</w:t>
      </w:r>
      <w:proofErr w:type="gramEnd"/>
    </w:p>
    <w:p w:rsidR="005E0780" w:rsidRPr="00A875AD" w:rsidRDefault="00ED5D6E" w:rsidP="00A875AD">
      <w:pPr>
        <w:spacing w:line="240" w:lineRule="auto"/>
        <w:ind w:left="1440" w:hanging="720"/>
        <w:jc w:val="both"/>
        <w:rPr>
          <w:rFonts w:ascii="Tahoma" w:hAnsi="Tahoma" w:cs="Tahoma"/>
          <w:i/>
        </w:rPr>
      </w:pPr>
      <w:r w:rsidRPr="00A875AD">
        <w:rPr>
          <w:rFonts w:ascii="Tahoma" w:hAnsi="Tahoma" w:cs="Tahoma"/>
          <w:i/>
        </w:rPr>
        <w:t>2.</w:t>
      </w:r>
      <w:r w:rsidRPr="00A875AD">
        <w:rPr>
          <w:rFonts w:ascii="Tahoma" w:hAnsi="Tahoma" w:cs="Tahoma"/>
          <w:i/>
        </w:rPr>
        <w:tab/>
        <w:t>Respondent stands in serious gross procedural</w:t>
      </w:r>
      <w:r w:rsidR="00182B02" w:rsidRPr="00A875AD">
        <w:rPr>
          <w:rFonts w:ascii="Tahoma" w:hAnsi="Tahoma" w:cs="Tahoma"/>
          <w:i/>
        </w:rPr>
        <w:t xml:space="preserve"> irregularity by his actions of referring matter</w:t>
      </w:r>
      <w:r w:rsidR="005E0780" w:rsidRPr="00A875AD">
        <w:rPr>
          <w:rFonts w:ascii="Tahoma" w:hAnsi="Tahoma" w:cs="Tahoma"/>
          <w:i/>
        </w:rPr>
        <w:t xml:space="preserve"> to the director for breaking of the said Dead Lock, _ _ _</w:t>
      </w:r>
    </w:p>
    <w:p w:rsidR="00D12278" w:rsidRPr="00A875AD" w:rsidRDefault="005E0780" w:rsidP="00A875AD">
      <w:pPr>
        <w:spacing w:line="240" w:lineRule="auto"/>
        <w:ind w:left="1440" w:hanging="720"/>
        <w:jc w:val="both"/>
        <w:rPr>
          <w:rFonts w:ascii="Tahoma" w:hAnsi="Tahoma" w:cs="Tahoma"/>
          <w:i/>
        </w:rPr>
      </w:pPr>
      <w:r w:rsidRPr="00A875AD">
        <w:rPr>
          <w:rFonts w:ascii="Tahoma" w:hAnsi="Tahoma" w:cs="Tahoma"/>
          <w:i/>
        </w:rPr>
        <w:tab/>
        <w:t xml:space="preserve">It should be noted that in terms of the appropriate and relevant </w:t>
      </w:r>
      <w:proofErr w:type="spellStart"/>
      <w:r w:rsidRPr="00A875AD">
        <w:rPr>
          <w:rFonts w:ascii="Tahoma" w:hAnsi="Tahoma" w:cs="Tahoma"/>
          <w:i/>
        </w:rPr>
        <w:t>S.l.</w:t>
      </w:r>
      <w:proofErr w:type="spellEnd"/>
      <w:r w:rsidRPr="00A875AD">
        <w:rPr>
          <w:rFonts w:ascii="Tahoma" w:hAnsi="Tahoma" w:cs="Tahoma"/>
          <w:i/>
        </w:rPr>
        <w:t xml:space="preserve"> 26 of 2017, sixth schedule there exist No provision of redressing/ treating ‘deadlocks’ at all, _ _ _</w:t>
      </w:r>
      <w:r w:rsidR="00A875AD" w:rsidRPr="00A875AD">
        <w:rPr>
          <w:rFonts w:ascii="Tahoma" w:hAnsi="Tahoma" w:cs="Tahoma"/>
          <w:i/>
        </w:rPr>
        <w:t>”</w:t>
      </w:r>
      <w:r w:rsidR="00D12278" w:rsidRPr="00A875AD">
        <w:rPr>
          <w:rFonts w:ascii="Tahoma" w:hAnsi="Tahoma" w:cs="Tahoma"/>
          <w:i/>
        </w:rPr>
        <w:t xml:space="preserve"> </w:t>
      </w:r>
    </w:p>
    <w:p w:rsidR="005E0780" w:rsidRDefault="005E0780" w:rsidP="005E0780">
      <w:pPr>
        <w:spacing w:line="360" w:lineRule="auto"/>
        <w:jc w:val="both"/>
        <w:rPr>
          <w:rFonts w:ascii="Tahoma" w:hAnsi="Tahoma" w:cs="Tahoma"/>
          <w:sz w:val="24"/>
          <w:szCs w:val="24"/>
        </w:rPr>
      </w:pPr>
      <w:r w:rsidRPr="00D21BE1">
        <w:rPr>
          <w:rFonts w:ascii="Tahoma" w:hAnsi="Tahoma" w:cs="Tahoma"/>
          <w:sz w:val="24"/>
          <w:szCs w:val="24"/>
          <w:u w:val="single"/>
        </w:rPr>
        <w:t>Per</w:t>
      </w:r>
      <w:r>
        <w:rPr>
          <w:rFonts w:ascii="Tahoma" w:hAnsi="Tahoma" w:cs="Tahoma"/>
          <w:sz w:val="24"/>
          <w:szCs w:val="24"/>
        </w:rPr>
        <w:t xml:space="preserve"> </w:t>
      </w:r>
      <w:r w:rsidRPr="00D21BE1">
        <w:rPr>
          <w:rFonts w:ascii="Tahoma" w:hAnsi="Tahoma" w:cs="Tahoma"/>
          <w:sz w:val="24"/>
          <w:szCs w:val="24"/>
          <w:u w:val="single"/>
        </w:rPr>
        <w:t>contra</w:t>
      </w:r>
      <w:r>
        <w:rPr>
          <w:rFonts w:ascii="Tahoma" w:hAnsi="Tahoma" w:cs="Tahoma"/>
          <w:sz w:val="24"/>
          <w:szCs w:val="24"/>
        </w:rPr>
        <w:t xml:space="preserve"> Respondent in its Response averred that </w:t>
      </w:r>
    </w:p>
    <w:p w:rsidR="005E0780" w:rsidRPr="00A875AD" w:rsidRDefault="00A875AD" w:rsidP="00A875AD">
      <w:pPr>
        <w:spacing w:line="240" w:lineRule="auto"/>
        <w:ind w:left="1440" w:hanging="720"/>
        <w:jc w:val="both"/>
        <w:rPr>
          <w:rFonts w:ascii="Tahoma" w:hAnsi="Tahoma" w:cs="Tahoma"/>
          <w:i/>
        </w:rPr>
      </w:pPr>
      <w:r w:rsidRPr="00A875AD">
        <w:rPr>
          <w:rFonts w:ascii="Tahoma" w:hAnsi="Tahoma" w:cs="Tahoma"/>
          <w:i/>
        </w:rPr>
        <w:t>“</w:t>
      </w:r>
      <w:r w:rsidR="00C838C2">
        <w:rPr>
          <w:rFonts w:ascii="Tahoma" w:hAnsi="Tahoma" w:cs="Tahoma"/>
          <w:i/>
        </w:rPr>
        <w:t>5.</w:t>
      </w:r>
      <w:r w:rsidR="00C838C2">
        <w:rPr>
          <w:rFonts w:ascii="Tahoma" w:hAnsi="Tahoma" w:cs="Tahoma"/>
          <w:i/>
        </w:rPr>
        <w:tab/>
        <w:t>….</w:t>
      </w:r>
      <w:r w:rsidR="00C92E06">
        <w:rPr>
          <w:rFonts w:ascii="Tahoma" w:hAnsi="Tahoma" w:cs="Tahoma"/>
          <w:i/>
        </w:rPr>
        <w:t xml:space="preserve">The </w:t>
      </w:r>
      <w:r w:rsidR="005E0780" w:rsidRPr="00A875AD">
        <w:rPr>
          <w:rFonts w:ascii="Tahoma" w:hAnsi="Tahoma" w:cs="Tahoma"/>
          <w:i/>
        </w:rPr>
        <w:t>Respondent had determined the correct charge of gross negligence and the Applicant was correctly charged with this offence.  The Applicant has no legal or factual basis to determine the charge, as the charge is determined by the Employer and not the Employee.  In addition, the determination of the Charge most certainly cannot be a ground for Review …….</w:t>
      </w:r>
    </w:p>
    <w:p w:rsidR="002018A9" w:rsidRPr="00A875AD" w:rsidRDefault="005E0780" w:rsidP="00A875AD">
      <w:pPr>
        <w:spacing w:line="240" w:lineRule="auto"/>
        <w:ind w:left="1440" w:hanging="720"/>
        <w:jc w:val="both"/>
        <w:rPr>
          <w:rFonts w:ascii="Tahoma" w:hAnsi="Tahoma" w:cs="Tahoma"/>
          <w:i/>
        </w:rPr>
      </w:pPr>
      <w:proofErr w:type="gramStart"/>
      <w:r w:rsidRPr="00A875AD">
        <w:rPr>
          <w:rFonts w:ascii="Tahoma" w:hAnsi="Tahoma" w:cs="Tahoma"/>
          <w:i/>
        </w:rPr>
        <w:t>b</w:t>
      </w:r>
      <w:proofErr w:type="gramEnd"/>
      <w:r w:rsidRPr="00A875AD">
        <w:rPr>
          <w:rFonts w:ascii="Tahoma" w:hAnsi="Tahoma" w:cs="Tahoma"/>
          <w:i/>
        </w:rPr>
        <w:t>.</w:t>
      </w:r>
      <w:r w:rsidRPr="00A875AD">
        <w:rPr>
          <w:rFonts w:ascii="Tahoma" w:hAnsi="Tahoma" w:cs="Tahoma"/>
          <w:i/>
        </w:rPr>
        <w:tab/>
        <w:t xml:space="preserve">…… It is reiterated that the deadlock that occurred at the </w:t>
      </w:r>
      <w:r w:rsidR="002018A9" w:rsidRPr="00A875AD">
        <w:rPr>
          <w:rFonts w:ascii="Tahoma" w:hAnsi="Tahoma" w:cs="Tahoma"/>
          <w:i/>
        </w:rPr>
        <w:t>Disciplinary</w:t>
      </w:r>
      <w:r w:rsidRPr="00A875AD">
        <w:rPr>
          <w:rFonts w:ascii="Tahoma" w:hAnsi="Tahoma" w:cs="Tahoma"/>
          <w:i/>
        </w:rPr>
        <w:t xml:space="preserve"> Committee Hearing was properly and correctly referred to the CEO in terms of the clear provisions of the Code of Conduct.  Since it has established that the deadl</w:t>
      </w:r>
      <w:r w:rsidR="002018A9" w:rsidRPr="00A875AD">
        <w:rPr>
          <w:rFonts w:ascii="Tahoma" w:hAnsi="Tahoma" w:cs="Tahoma"/>
          <w:i/>
        </w:rPr>
        <w:t>ock was referred to the CEO in terms of the Code of Conduct, there can be no question of the purported and alleged gross irregularity. ......“</w:t>
      </w:r>
    </w:p>
    <w:p w:rsidR="002018A9" w:rsidRDefault="002018A9" w:rsidP="00C92E06">
      <w:pPr>
        <w:spacing w:line="360" w:lineRule="auto"/>
        <w:ind w:firstLine="720"/>
        <w:jc w:val="both"/>
        <w:rPr>
          <w:rFonts w:ascii="Tahoma" w:hAnsi="Tahoma" w:cs="Tahoma"/>
          <w:sz w:val="24"/>
          <w:szCs w:val="24"/>
        </w:rPr>
      </w:pPr>
      <w:r>
        <w:rPr>
          <w:rFonts w:ascii="Tahoma" w:hAnsi="Tahoma" w:cs="Tahoma"/>
          <w:sz w:val="24"/>
          <w:szCs w:val="24"/>
        </w:rPr>
        <w:t>The 1</w:t>
      </w:r>
      <w:r w:rsidRPr="002018A9">
        <w:rPr>
          <w:rFonts w:ascii="Tahoma" w:hAnsi="Tahoma" w:cs="Tahoma"/>
          <w:sz w:val="24"/>
          <w:szCs w:val="24"/>
          <w:vertAlign w:val="superscript"/>
        </w:rPr>
        <w:t>st</w:t>
      </w:r>
      <w:r>
        <w:rPr>
          <w:rFonts w:ascii="Tahoma" w:hAnsi="Tahoma" w:cs="Tahoma"/>
          <w:sz w:val="24"/>
          <w:szCs w:val="24"/>
        </w:rPr>
        <w:t xml:space="preserve"> ground for review refers.  Applicant argued that the charge of misconduct was laid as gross negligence instead of incompetence.  The relevant Code of Conduct was produced during oral arguments.  Clause C.2.5 empowers the employer to notify </w:t>
      </w:r>
      <w:r w:rsidR="00C92E06">
        <w:rPr>
          <w:rFonts w:ascii="Tahoma" w:hAnsi="Tahoma" w:cs="Tahoma"/>
          <w:sz w:val="24"/>
          <w:szCs w:val="24"/>
        </w:rPr>
        <w:t xml:space="preserve">the employee of </w:t>
      </w:r>
      <w:proofErr w:type="gramStart"/>
      <w:r w:rsidR="00C92E06">
        <w:rPr>
          <w:rFonts w:ascii="Tahoma" w:hAnsi="Tahoma" w:cs="Tahoma"/>
          <w:sz w:val="24"/>
          <w:szCs w:val="24"/>
        </w:rPr>
        <w:t>“ the</w:t>
      </w:r>
      <w:proofErr w:type="gramEnd"/>
      <w:r w:rsidR="00C92E06">
        <w:rPr>
          <w:rFonts w:ascii="Tahoma" w:hAnsi="Tahoma" w:cs="Tahoma"/>
          <w:sz w:val="24"/>
          <w:szCs w:val="24"/>
        </w:rPr>
        <w:t xml:space="preserve"> </w:t>
      </w:r>
      <w:r>
        <w:rPr>
          <w:rFonts w:ascii="Tahoma" w:hAnsi="Tahoma" w:cs="Tahoma"/>
          <w:sz w:val="24"/>
          <w:szCs w:val="24"/>
        </w:rPr>
        <w:t xml:space="preserve">particulars of the alleged offence.”  In other words the Code allows the employer to lay the charge/s of misconduct.  In any event it is trite law that the employer has the right to choose which charges to prefer.  In this case the employer preferred the charge of gross negligence.  The offence is provided in paragraph 2.3.1 of </w:t>
      </w:r>
      <w:proofErr w:type="spellStart"/>
      <w:r>
        <w:rPr>
          <w:rFonts w:ascii="Tahoma" w:hAnsi="Tahoma" w:cs="Tahoma"/>
          <w:sz w:val="24"/>
          <w:szCs w:val="24"/>
        </w:rPr>
        <w:t>Annexture</w:t>
      </w:r>
      <w:proofErr w:type="spellEnd"/>
      <w:r>
        <w:rPr>
          <w:rFonts w:ascii="Tahoma" w:hAnsi="Tahoma" w:cs="Tahoma"/>
          <w:sz w:val="24"/>
          <w:szCs w:val="24"/>
        </w:rPr>
        <w:t xml:space="preserve"> 2 to the Code of Conduct.  It therefore follows that the 1</w:t>
      </w:r>
      <w:r w:rsidRPr="002018A9">
        <w:rPr>
          <w:rFonts w:ascii="Tahoma" w:hAnsi="Tahoma" w:cs="Tahoma"/>
          <w:sz w:val="24"/>
          <w:szCs w:val="24"/>
          <w:vertAlign w:val="superscript"/>
        </w:rPr>
        <w:t>st</w:t>
      </w:r>
      <w:r>
        <w:rPr>
          <w:rFonts w:ascii="Tahoma" w:hAnsi="Tahoma" w:cs="Tahoma"/>
          <w:sz w:val="24"/>
          <w:szCs w:val="24"/>
        </w:rPr>
        <w:t xml:space="preserve"> ground for review lacks merit.</w:t>
      </w:r>
    </w:p>
    <w:p w:rsidR="002018A9" w:rsidRDefault="002018A9" w:rsidP="00A875AD">
      <w:pPr>
        <w:spacing w:line="360" w:lineRule="auto"/>
        <w:ind w:firstLine="720"/>
        <w:jc w:val="both"/>
        <w:rPr>
          <w:rFonts w:ascii="Tahoma" w:hAnsi="Tahoma" w:cs="Tahoma"/>
          <w:sz w:val="24"/>
          <w:szCs w:val="24"/>
        </w:rPr>
      </w:pPr>
      <w:r w:rsidRPr="00D21BE1">
        <w:rPr>
          <w:rFonts w:ascii="Tahoma" w:hAnsi="Tahoma" w:cs="Tahoma"/>
          <w:sz w:val="24"/>
          <w:szCs w:val="24"/>
          <w:u w:val="single"/>
        </w:rPr>
        <w:t xml:space="preserve">Apropos </w:t>
      </w:r>
      <w:r>
        <w:rPr>
          <w:rFonts w:ascii="Tahoma" w:hAnsi="Tahoma" w:cs="Tahoma"/>
          <w:sz w:val="24"/>
          <w:szCs w:val="24"/>
        </w:rPr>
        <w:t>the 2</w:t>
      </w:r>
      <w:r w:rsidRPr="002018A9">
        <w:rPr>
          <w:rFonts w:ascii="Tahoma" w:hAnsi="Tahoma" w:cs="Tahoma"/>
          <w:sz w:val="24"/>
          <w:szCs w:val="24"/>
          <w:vertAlign w:val="superscript"/>
        </w:rPr>
        <w:t>nd</w:t>
      </w:r>
      <w:r>
        <w:rPr>
          <w:rFonts w:ascii="Tahoma" w:hAnsi="Tahoma" w:cs="Tahoma"/>
          <w:sz w:val="24"/>
          <w:szCs w:val="24"/>
        </w:rPr>
        <w:t xml:space="preserve"> ground for review the relevant provision is Clause E.7 of the Code which reads</w:t>
      </w:r>
    </w:p>
    <w:p w:rsidR="005660AE" w:rsidRPr="00A875AD" w:rsidRDefault="002018A9" w:rsidP="00A875AD">
      <w:pPr>
        <w:spacing w:line="240" w:lineRule="auto"/>
        <w:ind w:left="720"/>
        <w:jc w:val="both"/>
        <w:rPr>
          <w:rFonts w:ascii="Tahoma" w:hAnsi="Tahoma" w:cs="Tahoma"/>
          <w:i/>
        </w:rPr>
      </w:pPr>
      <w:r w:rsidRPr="00A875AD">
        <w:rPr>
          <w:rFonts w:ascii="Tahoma" w:hAnsi="Tahoma" w:cs="Tahoma"/>
          <w:i/>
        </w:rPr>
        <w:t>“</w:t>
      </w:r>
      <w:proofErr w:type="gramStart"/>
      <w:r w:rsidRPr="00A875AD">
        <w:rPr>
          <w:rFonts w:ascii="Tahoma" w:hAnsi="Tahoma" w:cs="Tahoma"/>
          <w:i/>
        </w:rPr>
        <w:t>in</w:t>
      </w:r>
      <w:proofErr w:type="gramEnd"/>
      <w:r w:rsidRPr="00A875AD">
        <w:rPr>
          <w:rFonts w:ascii="Tahoma" w:hAnsi="Tahoma" w:cs="Tahoma"/>
          <w:i/>
        </w:rPr>
        <w:t xml:space="preserve"> the event of  a deadlock by the Disciplinary Committee it shall forward a copy </w:t>
      </w:r>
      <w:r w:rsidR="005660AE" w:rsidRPr="00A875AD">
        <w:rPr>
          <w:rFonts w:ascii="Tahoma" w:hAnsi="Tahoma" w:cs="Tahoma"/>
          <w:i/>
        </w:rPr>
        <w:t>of the signal record of proceedings to the Chief Executive for a final decision …. Where the Chief Executive Officer makes a decision because of a deadlock, any appeal lies directly to the Labour Court.”</w:t>
      </w:r>
    </w:p>
    <w:p w:rsidR="009D0A47" w:rsidRDefault="009D0A47" w:rsidP="00A875AD">
      <w:pPr>
        <w:spacing w:line="360" w:lineRule="auto"/>
        <w:ind w:firstLine="720"/>
        <w:jc w:val="both"/>
        <w:rPr>
          <w:rFonts w:ascii="Tahoma" w:hAnsi="Tahoma" w:cs="Tahoma"/>
          <w:sz w:val="24"/>
          <w:szCs w:val="24"/>
        </w:rPr>
      </w:pPr>
    </w:p>
    <w:p w:rsidR="009D0A47" w:rsidRDefault="009D0A47" w:rsidP="00A875AD">
      <w:pPr>
        <w:spacing w:line="360" w:lineRule="auto"/>
        <w:ind w:firstLine="720"/>
        <w:jc w:val="both"/>
        <w:rPr>
          <w:rFonts w:ascii="Tahoma" w:hAnsi="Tahoma" w:cs="Tahoma"/>
          <w:sz w:val="24"/>
          <w:szCs w:val="24"/>
        </w:rPr>
      </w:pPr>
    </w:p>
    <w:p w:rsidR="005660AE" w:rsidRDefault="005660AE" w:rsidP="00A875AD">
      <w:pPr>
        <w:spacing w:line="360" w:lineRule="auto"/>
        <w:ind w:firstLine="720"/>
        <w:jc w:val="both"/>
        <w:rPr>
          <w:rFonts w:ascii="Tahoma" w:hAnsi="Tahoma" w:cs="Tahoma"/>
          <w:sz w:val="24"/>
          <w:szCs w:val="24"/>
        </w:rPr>
      </w:pPr>
      <w:r>
        <w:rPr>
          <w:rFonts w:ascii="Tahoma" w:hAnsi="Tahoma" w:cs="Tahoma"/>
          <w:sz w:val="24"/>
          <w:szCs w:val="24"/>
        </w:rPr>
        <w:t>In the pre</w:t>
      </w:r>
      <w:r w:rsidR="0007682F">
        <w:rPr>
          <w:rFonts w:ascii="Tahoma" w:hAnsi="Tahoma" w:cs="Tahoma"/>
          <w:sz w:val="24"/>
          <w:szCs w:val="24"/>
        </w:rPr>
        <w:t>sent</w:t>
      </w:r>
      <w:r w:rsidR="00A64C1D">
        <w:rPr>
          <w:rFonts w:ascii="Tahoma" w:hAnsi="Tahoma" w:cs="Tahoma"/>
          <w:sz w:val="24"/>
          <w:szCs w:val="24"/>
        </w:rPr>
        <w:t xml:space="preserve"> case</w:t>
      </w:r>
      <w:r w:rsidR="0007682F">
        <w:rPr>
          <w:rFonts w:ascii="Tahoma" w:hAnsi="Tahoma" w:cs="Tahoma"/>
          <w:sz w:val="24"/>
          <w:szCs w:val="24"/>
        </w:rPr>
        <w:t xml:space="preserve"> there was a deadlock which was referred to the Director of Respondent</w:t>
      </w:r>
      <w:r>
        <w:rPr>
          <w:rFonts w:ascii="Tahoma" w:hAnsi="Tahoma" w:cs="Tahoma"/>
          <w:sz w:val="24"/>
          <w:szCs w:val="24"/>
        </w:rPr>
        <w:t>.</w:t>
      </w:r>
      <w:r w:rsidR="0007682F">
        <w:rPr>
          <w:rFonts w:ascii="Tahoma" w:hAnsi="Tahoma" w:cs="Tahoma"/>
          <w:sz w:val="24"/>
          <w:szCs w:val="24"/>
        </w:rPr>
        <w:t xml:space="preserve">  The Code defines a Chief Executive to include “Management Director,</w:t>
      </w:r>
      <w:r w:rsidR="008F568D">
        <w:rPr>
          <w:rFonts w:ascii="Tahoma" w:hAnsi="Tahoma" w:cs="Tahoma"/>
          <w:sz w:val="24"/>
          <w:szCs w:val="24"/>
        </w:rPr>
        <w:t xml:space="preserve"> Partner or Proprietor.”   The </w:t>
      </w:r>
      <w:r w:rsidR="0007682F">
        <w:rPr>
          <w:rFonts w:ascii="Tahoma" w:hAnsi="Tahoma" w:cs="Tahoma"/>
          <w:sz w:val="24"/>
          <w:szCs w:val="24"/>
        </w:rPr>
        <w:t>Director</w:t>
      </w:r>
      <w:r>
        <w:rPr>
          <w:rFonts w:ascii="Tahoma" w:hAnsi="Tahoma" w:cs="Tahoma"/>
          <w:sz w:val="24"/>
          <w:szCs w:val="24"/>
        </w:rPr>
        <w:t xml:space="preserve"> made a final decision which Applicant sought to be reviewed.  The referral</w:t>
      </w:r>
      <w:r w:rsidR="0007682F">
        <w:rPr>
          <w:rFonts w:ascii="Tahoma" w:hAnsi="Tahoma" w:cs="Tahoma"/>
          <w:sz w:val="24"/>
          <w:szCs w:val="24"/>
        </w:rPr>
        <w:t xml:space="preserve"> to the Director</w:t>
      </w:r>
      <w:r>
        <w:rPr>
          <w:rFonts w:ascii="Tahoma" w:hAnsi="Tahoma" w:cs="Tahoma"/>
          <w:sz w:val="24"/>
          <w:szCs w:val="24"/>
        </w:rPr>
        <w:t xml:space="preserve"> w</w:t>
      </w:r>
      <w:r w:rsidR="0007682F">
        <w:rPr>
          <w:rFonts w:ascii="Tahoma" w:hAnsi="Tahoma" w:cs="Tahoma"/>
          <w:sz w:val="24"/>
          <w:szCs w:val="24"/>
        </w:rPr>
        <w:t>as compliant with Clause E.7</w:t>
      </w:r>
      <w:r>
        <w:rPr>
          <w:rFonts w:ascii="Tahoma" w:hAnsi="Tahoma" w:cs="Tahoma"/>
          <w:sz w:val="24"/>
          <w:szCs w:val="24"/>
        </w:rPr>
        <w:t xml:space="preserve"> of the Code.  </w:t>
      </w:r>
      <w:r w:rsidR="009D0A47">
        <w:rPr>
          <w:rFonts w:ascii="Tahoma" w:hAnsi="Tahoma" w:cs="Tahoma"/>
          <w:sz w:val="24"/>
          <w:szCs w:val="24"/>
        </w:rPr>
        <w:t>Therefore the</w:t>
      </w:r>
      <w:r>
        <w:rPr>
          <w:rFonts w:ascii="Tahoma" w:hAnsi="Tahoma" w:cs="Tahoma"/>
          <w:sz w:val="24"/>
          <w:szCs w:val="24"/>
        </w:rPr>
        <w:t xml:space="preserve"> 2</w:t>
      </w:r>
      <w:r w:rsidRPr="005660AE">
        <w:rPr>
          <w:rFonts w:ascii="Tahoma" w:hAnsi="Tahoma" w:cs="Tahoma"/>
          <w:sz w:val="24"/>
          <w:szCs w:val="24"/>
          <w:vertAlign w:val="superscript"/>
        </w:rPr>
        <w:t>nd</w:t>
      </w:r>
      <w:r w:rsidR="0007682F">
        <w:rPr>
          <w:rFonts w:ascii="Tahoma" w:hAnsi="Tahoma" w:cs="Tahoma"/>
          <w:sz w:val="24"/>
          <w:szCs w:val="24"/>
        </w:rPr>
        <w:t xml:space="preserve"> ground </w:t>
      </w:r>
      <w:r>
        <w:rPr>
          <w:rFonts w:ascii="Tahoma" w:hAnsi="Tahoma" w:cs="Tahoma"/>
          <w:sz w:val="24"/>
          <w:szCs w:val="24"/>
        </w:rPr>
        <w:t>for review also lacks merit.</w:t>
      </w:r>
    </w:p>
    <w:p w:rsidR="005660AE" w:rsidRDefault="005660AE" w:rsidP="00A875AD">
      <w:pPr>
        <w:spacing w:line="360" w:lineRule="auto"/>
        <w:ind w:firstLine="720"/>
        <w:jc w:val="both"/>
        <w:rPr>
          <w:rFonts w:ascii="Tahoma" w:hAnsi="Tahoma" w:cs="Tahoma"/>
          <w:sz w:val="24"/>
          <w:szCs w:val="24"/>
        </w:rPr>
      </w:pPr>
      <w:r>
        <w:rPr>
          <w:rFonts w:ascii="Tahoma" w:hAnsi="Tahoma" w:cs="Tahoma"/>
          <w:sz w:val="24"/>
          <w:szCs w:val="24"/>
        </w:rPr>
        <w:t>The Code of Conduct referred to above was registered by the Registrar of Labour on the 26</w:t>
      </w:r>
      <w:r w:rsidRPr="005660AE">
        <w:rPr>
          <w:rFonts w:ascii="Tahoma" w:hAnsi="Tahoma" w:cs="Tahoma"/>
          <w:sz w:val="24"/>
          <w:szCs w:val="24"/>
          <w:vertAlign w:val="superscript"/>
        </w:rPr>
        <w:t>th</w:t>
      </w:r>
      <w:r>
        <w:rPr>
          <w:rFonts w:ascii="Tahoma" w:hAnsi="Tahoma" w:cs="Tahoma"/>
          <w:sz w:val="24"/>
          <w:szCs w:val="24"/>
        </w:rPr>
        <w:t xml:space="preserve"> November 2022.  Apparently Applicant relied on the Code embodied in the Statutory Instrument 26 of 2017.  Clearly Applicant was misguided in basing his application on a Code that has been replaced by the current one.  Having found no merit in the both of his grounds</w:t>
      </w:r>
      <w:r w:rsidR="00A63F56">
        <w:rPr>
          <w:rFonts w:ascii="Tahoma" w:hAnsi="Tahoma" w:cs="Tahoma"/>
          <w:sz w:val="24"/>
          <w:szCs w:val="24"/>
        </w:rPr>
        <w:t xml:space="preserve"> for review</w:t>
      </w:r>
      <w:r>
        <w:rPr>
          <w:rFonts w:ascii="Tahoma" w:hAnsi="Tahoma" w:cs="Tahoma"/>
          <w:sz w:val="24"/>
          <w:szCs w:val="24"/>
        </w:rPr>
        <w:t xml:space="preserve"> his application stands to be dismissed.</w:t>
      </w:r>
    </w:p>
    <w:p w:rsidR="005E0780" w:rsidRPr="00D12278" w:rsidRDefault="005E0780" w:rsidP="005660AE">
      <w:pPr>
        <w:spacing w:line="360" w:lineRule="auto"/>
        <w:jc w:val="both"/>
        <w:rPr>
          <w:rFonts w:ascii="Tahoma" w:hAnsi="Tahoma" w:cs="Tahoma"/>
          <w:sz w:val="24"/>
          <w:szCs w:val="24"/>
        </w:rPr>
      </w:pPr>
      <w:r>
        <w:rPr>
          <w:rFonts w:ascii="Tahoma" w:hAnsi="Tahoma" w:cs="Tahoma"/>
          <w:sz w:val="24"/>
          <w:szCs w:val="24"/>
        </w:rPr>
        <w:t xml:space="preserve">                                       </w:t>
      </w:r>
    </w:p>
    <w:p w:rsidR="00A875AD" w:rsidRDefault="00A875AD" w:rsidP="005660AE">
      <w:pPr>
        <w:spacing w:line="360" w:lineRule="auto"/>
        <w:jc w:val="both"/>
        <w:rPr>
          <w:rFonts w:ascii="Tahoma" w:hAnsi="Tahoma" w:cs="Tahoma"/>
          <w:b/>
          <w:sz w:val="24"/>
          <w:szCs w:val="24"/>
        </w:rPr>
      </w:pPr>
    </w:p>
    <w:p w:rsidR="00517EF0" w:rsidRDefault="005660AE" w:rsidP="005660AE">
      <w:pPr>
        <w:spacing w:line="360" w:lineRule="auto"/>
        <w:jc w:val="both"/>
        <w:rPr>
          <w:rFonts w:ascii="Tahoma" w:hAnsi="Tahoma" w:cs="Tahoma"/>
          <w:b/>
          <w:sz w:val="24"/>
          <w:szCs w:val="24"/>
        </w:rPr>
      </w:pPr>
      <w:r>
        <w:rPr>
          <w:rFonts w:ascii="Tahoma" w:hAnsi="Tahoma" w:cs="Tahoma"/>
          <w:b/>
          <w:sz w:val="24"/>
          <w:szCs w:val="24"/>
        </w:rPr>
        <w:t xml:space="preserve">WHEREFORE </w:t>
      </w:r>
      <w:r w:rsidR="00517EF0" w:rsidRPr="0026011E">
        <w:rPr>
          <w:rFonts w:ascii="Tahoma" w:hAnsi="Tahoma" w:cs="Tahoma"/>
          <w:b/>
          <w:sz w:val="24"/>
          <w:szCs w:val="24"/>
        </w:rPr>
        <w:t>I</w:t>
      </w:r>
      <w:r>
        <w:rPr>
          <w:rFonts w:ascii="Tahoma" w:hAnsi="Tahoma" w:cs="Tahoma"/>
          <w:b/>
          <w:sz w:val="24"/>
          <w:szCs w:val="24"/>
        </w:rPr>
        <w:t xml:space="preserve">T IS ORERED THAT: </w:t>
      </w:r>
    </w:p>
    <w:p w:rsidR="00A63F56" w:rsidRPr="005660AE" w:rsidRDefault="00A63F56" w:rsidP="005660AE">
      <w:pPr>
        <w:spacing w:line="360" w:lineRule="auto"/>
        <w:jc w:val="both"/>
        <w:rPr>
          <w:rFonts w:ascii="Tahoma" w:hAnsi="Tahoma" w:cs="Tahoma"/>
          <w:sz w:val="24"/>
          <w:szCs w:val="24"/>
        </w:rPr>
      </w:pPr>
    </w:p>
    <w:p w:rsidR="00517EF0" w:rsidRDefault="00A875AD" w:rsidP="005D05E0">
      <w:pPr>
        <w:spacing w:line="360" w:lineRule="auto"/>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The application for review be and is hereby dismissed; and</w:t>
      </w:r>
    </w:p>
    <w:p w:rsidR="00A63F56" w:rsidRDefault="00A63F56" w:rsidP="005D05E0">
      <w:pPr>
        <w:spacing w:line="360" w:lineRule="auto"/>
        <w:jc w:val="both"/>
        <w:rPr>
          <w:rFonts w:ascii="Tahoma" w:hAnsi="Tahoma" w:cs="Tahoma"/>
          <w:sz w:val="24"/>
          <w:szCs w:val="24"/>
        </w:rPr>
      </w:pPr>
    </w:p>
    <w:p w:rsidR="005E4E23" w:rsidRDefault="00A875AD" w:rsidP="00A875AD">
      <w:pPr>
        <w:spacing w:line="360" w:lineRule="auto"/>
        <w:ind w:left="720" w:hanging="72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Each party shall bear its own costs.</w:t>
      </w:r>
    </w:p>
    <w:p w:rsidR="005E4E23" w:rsidRDefault="005E4E23" w:rsidP="005E4E23">
      <w:pPr>
        <w:spacing w:line="360" w:lineRule="auto"/>
        <w:ind w:left="720" w:hanging="720"/>
        <w:jc w:val="both"/>
        <w:rPr>
          <w:rFonts w:ascii="Tahoma" w:hAnsi="Tahoma" w:cs="Tahoma"/>
          <w:sz w:val="24"/>
          <w:szCs w:val="24"/>
        </w:rPr>
      </w:pPr>
    </w:p>
    <w:p w:rsidR="00517EF0" w:rsidRDefault="00517EF0" w:rsidP="005E4E23">
      <w:pPr>
        <w:spacing w:line="360" w:lineRule="auto"/>
        <w:ind w:left="720" w:hanging="720"/>
        <w:jc w:val="both"/>
        <w:rPr>
          <w:rFonts w:ascii="Tahoma" w:hAnsi="Tahoma" w:cs="Tahoma"/>
          <w:sz w:val="24"/>
          <w:szCs w:val="24"/>
        </w:rPr>
      </w:pPr>
      <w:r>
        <w:rPr>
          <w:rFonts w:ascii="Tahoma" w:hAnsi="Tahoma" w:cs="Tahoma"/>
          <w:sz w:val="24"/>
          <w:szCs w:val="24"/>
        </w:rPr>
        <w:t xml:space="preserve"> </w:t>
      </w:r>
      <w:r w:rsidR="005E4E23">
        <w:rPr>
          <w:rFonts w:ascii="Tahoma" w:hAnsi="Tahoma" w:cs="Tahoma"/>
          <w:sz w:val="24"/>
          <w:szCs w:val="24"/>
        </w:rPr>
        <w:t xml:space="preserve">   </w:t>
      </w:r>
    </w:p>
    <w:p w:rsidR="00113CD4" w:rsidRDefault="00113CD4" w:rsidP="00113CD4">
      <w:pPr>
        <w:spacing w:line="240" w:lineRule="auto"/>
        <w:rPr>
          <w:rFonts w:ascii="Tahoma" w:hAnsi="Tahoma" w:cs="Tahoma"/>
          <w:sz w:val="24"/>
          <w:szCs w:val="24"/>
        </w:rPr>
      </w:pPr>
      <w:r>
        <w:rPr>
          <w:rFonts w:ascii="Tahoma" w:hAnsi="Tahoma" w:cs="Tahoma"/>
          <w:sz w:val="24"/>
          <w:szCs w:val="24"/>
        </w:rPr>
        <w:t xml:space="preserve">                                               </w:t>
      </w:r>
    </w:p>
    <w:p w:rsidR="00FA66AB" w:rsidRPr="00C31C91" w:rsidRDefault="00113CD4" w:rsidP="00113CD4">
      <w:pPr>
        <w:spacing w:line="240" w:lineRule="auto"/>
        <w:rPr>
          <w:rFonts w:ascii="Tahoma" w:hAnsi="Tahoma" w:cs="Tahoma"/>
          <w:b/>
          <w:sz w:val="24"/>
          <w:szCs w:val="24"/>
        </w:rPr>
      </w:pPr>
      <w:r>
        <w:rPr>
          <w:rFonts w:ascii="Tahoma" w:hAnsi="Tahoma" w:cs="Tahoma"/>
          <w:sz w:val="24"/>
          <w:szCs w:val="24"/>
        </w:rPr>
        <w:t xml:space="preserve">                                               </w:t>
      </w:r>
      <w:r w:rsidR="00C31C91" w:rsidRPr="00C31C91">
        <w:rPr>
          <w:rFonts w:ascii="Tahoma" w:hAnsi="Tahoma" w:cs="Tahoma"/>
          <w:b/>
          <w:sz w:val="24"/>
          <w:szCs w:val="24"/>
        </w:rPr>
        <w:t>G. MUSARIRI</w:t>
      </w:r>
    </w:p>
    <w:p w:rsidR="00C31C91"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J-U-D-G-E</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C2" w:rsidRDefault="003B7FC2" w:rsidP="00CB145F">
      <w:pPr>
        <w:spacing w:after="0" w:line="240" w:lineRule="auto"/>
      </w:pPr>
      <w:r>
        <w:separator/>
      </w:r>
    </w:p>
  </w:endnote>
  <w:endnote w:type="continuationSeparator" w:id="0">
    <w:p w:rsidR="003B7FC2" w:rsidRDefault="003B7FC2"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92" w:rsidRDefault="0073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EE69D6">
          <w:rPr>
            <w:noProof/>
          </w:rPr>
          <w:t>3</w:t>
        </w:r>
        <w:r>
          <w:rPr>
            <w:noProof/>
          </w:rPr>
          <w:fldChar w:fldCharType="end"/>
        </w:r>
      </w:p>
    </w:sdtContent>
  </w:sdt>
  <w:p w:rsidR="00CB145F" w:rsidRDefault="00CB1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92" w:rsidRDefault="0073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C2" w:rsidRDefault="003B7FC2" w:rsidP="00CB145F">
      <w:pPr>
        <w:spacing w:after="0" w:line="240" w:lineRule="auto"/>
      </w:pPr>
      <w:r>
        <w:separator/>
      </w:r>
    </w:p>
  </w:footnote>
  <w:footnote w:type="continuationSeparator" w:id="0">
    <w:p w:rsidR="003B7FC2" w:rsidRDefault="003B7FC2"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92" w:rsidRDefault="00736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00736D92">
      <w:rPr>
        <w:rFonts w:ascii="Tahoma" w:hAnsi="Tahoma" w:cs="Tahoma"/>
        <w:sz w:val="24"/>
        <w:szCs w:val="24"/>
      </w:rPr>
      <w:t xml:space="preserve"> </w:t>
    </w:r>
    <w:r>
      <w:rPr>
        <w:rFonts w:ascii="Tahoma" w:hAnsi="Tahoma" w:cs="Tahoma"/>
        <w:sz w:val="24"/>
        <w:szCs w:val="24"/>
      </w:rPr>
      <w:t>JUDGMENT NO. LC/H/</w:t>
    </w:r>
    <w:r w:rsidR="00736D92">
      <w:rPr>
        <w:rFonts w:ascii="Tahoma" w:hAnsi="Tahoma" w:cs="Tahoma"/>
        <w:sz w:val="24"/>
        <w:szCs w:val="24"/>
      </w:rPr>
      <w:t>27</w:t>
    </w:r>
    <w:r w:rsidR="00517EF0">
      <w:rPr>
        <w:rFonts w:ascii="Tahoma" w:hAnsi="Tahoma" w:cs="Tahoma"/>
        <w:sz w:val="24"/>
        <w:szCs w:val="24"/>
      </w:rPr>
      <w:t>/</w:t>
    </w:r>
    <w:r w:rsidR="00736D92">
      <w:rPr>
        <w:rFonts w:ascii="Tahoma" w:hAnsi="Tahoma" w:cs="Tahoma"/>
        <w:sz w:val="24"/>
        <w:szCs w:val="24"/>
      </w:rPr>
      <w:t>22</w:t>
    </w:r>
  </w:p>
  <w:p w:rsidR="00525115" w:rsidRPr="00CB145F" w:rsidRDefault="00E10230">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LC/H/397</w:t>
    </w:r>
    <w:r w:rsidR="00034F32">
      <w:rPr>
        <w:rFonts w:ascii="Tahoma" w:hAnsi="Tahoma" w:cs="Tahoma"/>
        <w:sz w:val="24"/>
        <w:szCs w:val="24"/>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92" w:rsidRDefault="00736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4F32"/>
    <w:rsid w:val="00037D40"/>
    <w:rsid w:val="00041E71"/>
    <w:rsid w:val="000532B6"/>
    <w:rsid w:val="00054830"/>
    <w:rsid w:val="00063264"/>
    <w:rsid w:val="00065D2D"/>
    <w:rsid w:val="0007682F"/>
    <w:rsid w:val="00097A81"/>
    <w:rsid w:val="000A096C"/>
    <w:rsid w:val="000A2A9E"/>
    <w:rsid w:val="000C2C87"/>
    <w:rsid w:val="000C6221"/>
    <w:rsid w:val="000F08CA"/>
    <w:rsid w:val="001004AC"/>
    <w:rsid w:val="0010711F"/>
    <w:rsid w:val="00112D49"/>
    <w:rsid w:val="00112D82"/>
    <w:rsid w:val="00113CD4"/>
    <w:rsid w:val="0012229B"/>
    <w:rsid w:val="001365AA"/>
    <w:rsid w:val="00151A29"/>
    <w:rsid w:val="00156544"/>
    <w:rsid w:val="00173D10"/>
    <w:rsid w:val="00182B02"/>
    <w:rsid w:val="001830E8"/>
    <w:rsid w:val="001929EF"/>
    <w:rsid w:val="001A1337"/>
    <w:rsid w:val="001A45C3"/>
    <w:rsid w:val="001B05A4"/>
    <w:rsid w:val="001E64FA"/>
    <w:rsid w:val="001F5FA3"/>
    <w:rsid w:val="002018A9"/>
    <w:rsid w:val="002019F4"/>
    <w:rsid w:val="00220242"/>
    <w:rsid w:val="002223F9"/>
    <w:rsid w:val="002411DC"/>
    <w:rsid w:val="002436D4"/>
    <w:rsid w:val="00244498"/>
    <w:rsid w:val="0026011E"/>
    <w:rsid w:val="00274B7B"/>
    <w:rsid w:val="00275981"/>
    <w:rsid w:val="00277C76"/>
    <w:rsid w:val="002868CF"/>
    <w:rsid w:val="00286A0B"/>
    <w:rsid w:val="002875B6"/>
    <w:rsid w:val="0029084A"/>
    <w:rsid w:val="002A36A9"/>
    <w:rsid w:val="002A4BC6"/>
    <w:rsid w:val="002F10D6"/>
    <w:rsid w:val="003047D5"/>
    <w:rsid w:val="00324C07"/>
    <w:rsid w:val="0032514B"/>
    <w:rsid w:val="00332591"/>
    <w:rsid w:val="00367162"/>
    <w:rsid w:val="00375B5D"/>
    <w:rsid w:val="003765C1"/>
    <w:rsid w:val="003A5D5F"/>
    <w:rsid w:val="003A6EEC"/>
    <w:rsid w:val="003B7FC2"/>
    <w:rsid w:val="00403FEA"/>
    <w:rsid w:val="00405AE3"/>
    <w:rsid w:val="00413059"/>
    <w:rsid w:val="00414B04"/>
    <w:rsid w:val="00444017"/>
    <w:rsid w:val="00446DC5"/>
    <w:rsid w:val="00452ACF"/>
    <w:rsid w:val="00467D1F"/>
    <w:rsid w:val="00471935"/>
    <w:rsid w:val="00473215"/>
    <w:rsid w:val="00473EF5"/>
    <w:rsid w:val="00480FF0"/>
    <w:rsid w:val="00485AE7"/>
    <w:rsid w:val="004A6633"/>
    <w:rsid w:val="004B632E"/>
    <w:rsid w:val="004C5E43"/>
    <w:rsid w:val="004D7C05"/>
    <w:rsid w:val="004E4AF9"/>
    <w:rsid w:val="004E63FC"/>
    <w:rsid w:val="004F3805"/>
    <w:rsid w:val="00517EF0"/>
    <w:rsid w:val="00525115"/>
    <w:rsid w:val="00534886"/>
    <w:rsid w:val="005660AE"/>
    <w:rsid w:val="00590F0E"/>
    <w:rsid w:val="005A74B7"/>
    <w:rsid w:val="005B56E6"/>
    <w:rsid w:val="005C6174"/>
    <w:rsid w:val="005D002D"/>
    <w:rsid w:val="005D05E0"/>
    <w:rsid w:val="005E0780"/>
    <w:rsid w:val="005E4E23"/>
    <w:rsid w:val="005E6E86"/>
    <w:rsid w:val="005F502F"/>
    <w:rsid w:val="005F7946"/>
    <w:rsid w:val="006034E3"/>
    <w:rsid w:val="0060430A"/>
    <w:rsid w:val="006116B3"/>
    <w:rsid w:val="00612355"/>
    <w:rsid w:val="006438AB"/>
    <w:rsid w:val="00670EB4"/>
    <w:rsid w:val="00694247"/>
    <w:rsid w:val="00695F58"/>
    <w:rsid w:val="006D48EA"/>
    <w:rsid w:val="006E705B"/>
    <w:rsid w:val="006F3D62"/>
    <w:rsid w:val="00702132"/>
    <w:rsid w:val="00704139"/>
    <w:rsid w:val="00736D92"/>
    <w:rsid w:val="007402C8"/>
    <w:rsid w:val="00741A7F"/>
    <w:rsid w:val="00742E06"/>
    <w:rsid w:val="0074307F"/>
    <w:rsid w:val="00743D04"/>
    <w:rsid w:val="007509A0"/>
    <w:rsid w:val="00761FA3"/>
    <w:rsid w:val="00763A12"/>
    <w:rsid w:val="00765392"/>
    <w:rsid w:val="00770B2B"/>
    <w:rsid w:val="0077793E"/>
    <w:rsid w:val="007809E1"/>
    <w:rsid w:val="0078646D"/>
    <w:rsid w:val="007B068D"/>
    <w:rsid w:val="007B581D"/>
    <w:rsid w:val="007C4535"/>
    <w:rsid w:val="007F1CE3"/>
    <w:rsid w:val="00812686"/>
    <w:rsid w:val="00812F76"/>
    <w:rsid w:val="008401EE"/>
    <w:rsid w:val="00844DC6"/>
    <w:rsid w:val="00854C01"/>
    <w:rsid w:val="008627D8"/>
    <w:rsid w:val="00865CD7"/>
    <w:rsid w:val="00875054"/>
    <w:rsid w:val="008815D8"/>
    <w:rsid w:val="00883CB7"/>
    <w:rsid w:val="00886972"/>
    <w:rsid w:val="00896729"/>
    <w:rsid w:val="008B5399"/>
    <w:rsid w:val="008C3229"/>
    <w:rsid w:val="008C3D84"/>
    <w:rsid w:val="008C474B"/>
    <w:rsid w:val="008C5317"/>
    <w:rsid w:val="008E4A44"/>
    <w:rsid w:val="008F568D"/>
    <w:rsid w:val="0090208E"/>
    <w:rsid w:val="009050A5"/>
    <w:rsid w:val="00906CB1"/>
    <w:rsid w:val="009335BC"/>
    <w:rsid w:val="00933AF7"/>
    <w:rsid w:val="00951A42"/>
    <w:rsid w:val="0095437A"/>
    <w:rsid w:val="00965CF6"/>
    <w:rsid w:val="00983005"/>
    <w:rsid w:val="00987FE3"/>
    <w:rsid w:val="0099394C"/>
    <w:rsid w:val="00995B68"/>
    <w:rsid w:val="009A2932"/>
    <w:rsid w:val="009C2BF9"/>
    <w:rsid w:val="009D0A47"/>
    <w:rsid w:val="009E56ED"/>
    <w:rsid w:val="009F0B2D"/>
    <w:rsid w:val="009F39DD"/>
    <w:rsid w:val="00A0161F"/>
    <w:rsid w:val="00A25045"/>
    <w:rsid w:val="00A27083"/>
    <w:rsid w:val="00A31E59"/>
    <w:rsid w:val="00A55384"/>
    <w:rsid w:val="00A63F56"/>
    <w:rsid w:val="00A649E8"/>
    <w:rsid w:val="00A64C1D"/>
    <w:rsid w:val="00A65F03"/>
    <w:rsid w:val="00A71605"/>
    <w:rsid w:val="00A875AD"/>
    <w:rsid w:val="00A9014D"/>
    <w:rsid w:val="00A91C6D"/>
    <w:rsid w:val="00A93F01"/>
    <w:rsid w:val="00A96C8A"/>
    <w:rsid w:val="00AB0179"/>
    <w:rsid w:val="00AC045F"/>
    <w:rsid w:val="00AD2800"/>
    <w:rsid w:val="00AD4092"/>
    <w:rsid w:val="00AF53A9"/>
    <w:rsid w:val="00B01B53"/>
    <w:rsid w:val="00B02893"/>
    <w:rsid w:val="00B06F69"/>
    <w:rsid w:val="00B33A48"/>
    <w:rsid w:val="00B56AFC"/>
    <w:rsid w:val="00B57477"/>
    <w:rsid w:val="00B71FD0"/>
    <w:rsid w:val="00BA1470"/>
    <w:rsid w:val="00BA1F25"/>
    <w:rsid w:val="00BA573B"/>
    <w:rsid w:val="00BA76FA"/>
    <w:rsid w:val="00BB7F81"/>
    <w:rsid w:val="00BC46F6"/>
    <w:rsid w:val="00BF022F"/>
    <w:rsid w:val="00BF76D5"/>
    <w:rsid w:val="00C15E1D"/>
    <w:rsid w:val="00C175B6"/>
    <w:rsid w:val="00C31C91"/>
    <w:rsid w:val="00C3649E"/>
    <w:rsid w:val="00C3707F"/>
    <w:rsid w:val="00C3739F"/>
    <w:rsid w:val="00C43D12"/>
    <w:rsid w:val="00C4529C"/>
    <w:rsid w:val="00C47CDE"/>
    <w:rsid w:val="00C754FC"/>
    <w:rsid w:val="00C838C2"/>
    <w:rsid w:val="00C919B2"/>
    <w:rsid w:val="00C92E06"/>
    <w:rsid w:val="00C964EE"/>
    <w:rsid w:val="00CA52B4"/>
    <w:rsid w:val="00CB145F"/>
    <w:rsid w:val="00CB1766"/>
    <w:rsid w:val="00CC4853"/>
    <w:rsid w:val="00CE0983"/>
    <w:rsid w:val="00CE200B"/>
    <w:rsid w:val="00D12278"/>
    <w:rsid w:val="00D127D7"/>
    <w:rsid w:val="00D214A2"/>
    <w:rsid w:val="00D21BE1"/>
    <w:rsid w:val="00D32166"/>
    <w:rsid w:val="00D61550"/>
    <w:rsid w:val="00D66950"/>
    <w:rsid w:val="00D83928"/>
    <w:rsid w:val="00D86C8A"/>
    <w:rsid w:val="00DF02B4"/>
    <w:rsid w:val="00DF7301"/>
    <w:rsid w:val="00E10230"/>
    <w:rsid w:val="00E25396"/>
    <w:rsid w:val="00E25EA0"/>
    <w:rsid w:val="00E427CE"/>
    <w:rsid w:val="00E50F67"/>
    <w:rsid w:val="00E712D3"/>
    <w:rsid w:val="00E82F40"/>
    <w:rsid w:val="00E8415C"/>
    <w:rsid w:val="00E921C5"/>
    <w:rsid w:val="00EB40ED"/>
    <w:rsid w:val="00ED5D6E"/>
    <w:rsid w:val="00EE5830"/>
    <w:rsid w:val="00EE69D6"/>
    <w:rsid w:val="00EF1C31"/>
    <w:rsid w:val="00EF30DD"/>
    <w:rsid w:val="00F02F2E"/>
    <w:rsid w:val="00F03814"/>
    <w:rsid w:val="00F06D72"/>
    <w:rsid w:val="00F12B2D"/>
    <w:rsid w:val="00F35F0F"/>
    <w:rsid w:val="00F3741E"/>
    <w:rsid w:val="00F50555"/>
    <w:rsid w:val="00F55310"/>
    <w:rsid w:val="00F575E6"/>
    <w:rsid w:val="00F606E8"/>
    <w:rsid w:val="00F6073E"/>
    <w:rsid w:val="00F60AB6"/>
    <w:rsid w:val="00F63036"/>
    <w:rsid w:val="00F71F3E"/>
    <w:rsid w:val="00F76AC1"/>
    <w:rsid w:val="00FA66AB"/>
    <w:rsid w:val="00FB0FE8"/>
    <w:rsid w:val="00FB7C78"/>
    <w:rsid w:val="00FC6DB6"/>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386E5BF-DB86-40CF-9516-8D902A89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28</cp:revision>
  <cp:lastPrinted>2022-02-08T10:28:00Z</cp:lastPrinted>
  <dcterms:created xsi:type="dcterms:W3CDTF">2022-02-03T07:14:00Z</dcterms:created>
  <dcterms:modified xsi:type="dcterms:W3CDTF">2022-02-08T10:29:00Z</dcterms:modified>
</cp:coreProperties>
</file>