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C3CC4" w14:textId="58EFD512" w:rsidR="00F95555" w:rsidRPr="00775261" w:rsidRDefault="00914C15" w:rsidP="00D05F51">
      <w:pPr>
        <w:jc w:val="both"/>
        <w:rPr>
          <w:sz w:val="24"/>
          <w:szCs w:val="24"/>
        </w:rPr>
      </w:pPr>
      <w:bookmarkStart w:id="0" w:name="_Hlk146262155"/>
      <w:bookmarkStart w:id="1" w:name="_Hlk149723841"/>
      <w:bookmarkStart w:id="2" w:name="_Hlk152505341"/>
      <w:bookmarkStart w:id="3" w:name="_Hlk150434823"/>
      <w:bookmarkStart w:id="4" w:name="_Hlk153988295"/>
      <w:bookmarkStart w:id="5" w:name="_GoBack"/>
      <w:bookmarkEnd w:id="5"/>
      <w:r>
        <w:rPr>
          <w:sz w:val="24"/>
          <w:szCs w:val="24"/>
        </w:rPr>
        <w:t>TICHAONA MUZANENHAMO</w:t>
      </w:r>
    </w:p>
    <w:p w14:paraId="5A043047" w14:textId="082D4321" w:rsidR="00F95555" w:rsidRPr="00775261" w:rsidRDefault="00D05F51" w:rsidP="00D05F51">
      <w:pPr>
        <w:jc w:val="both"/>
        <w:rPr>
          <w:sz w:val="24"/>
          <w:szCs w:val="24"/>
        </w:rPr>
      </w:pPr>
      <w:r>
        <w:rPr>
          <w:sz w:val="24"/>
          <w:szCs w:val="24"/>
        </w:rPr>
        <w:t>v</w:t>
      </w:r>
      <w:r w:rsidR="00F95555" w:rsidRPr="00775261">
        <w:rPr>
          <w:sz w:val="24"/>
          <w:szCs w:val="24"/>
        </w:rPr>
        <w:t>ersus</w:t>
      </w:r>
    </w:p>
    <w:p w14:paraId="0B620973" w14:textId="10693DF9" w:rsidR="00371B86" w:rsidRPr="00775261" w:rsidRDefault="00914C15" w:rsidP="00D05F51">
      <w:pPr>
        <w:jc w:val="both"/>
        <w:rPr>
          <w:sz w:val="24"/>
          <w:szCs w:val="24"/>
        </w:rPr>
      </w:pPr>
      <w:r>
        <w:rPr>
          <w:sz w:val="24"/>
          <w:szCs w:val="24"/>
        </w:rPr>
        <w:t xml:space="preserve">MANYAME RURAL DISTRICT COUNCIL </w:t>
      </w:r>
    </w:p>
    <w:p w14:paraId="4E4E2AC3" w14:textId="64A9B482" w:rsidR="00371B86" w:rsidRPr="00775261" w:rsidRDefault="00D05F51" w:rsidP="00D05F51">
      <w:pPr>
        <w:jc w:val="both"/>
        <w:rPr>
          <w:sz w:val="24"/>
          <w:szCs w:val="24"/>
        </w:rPr>
      </w:pPr>
      <w:r>
        <w:rPr>
          <w:sz w:val="24"/>
          <w:szCs w:val="24"/>
        </w:rPr>
        <w:t>a</w:t>
      </w:r>
      <w:r w:rsidR="00371B86" w:rsidRPr="00775261">
        <w:rPr>
          <w:sz w:val="24"/>
          <w:szCs w:val="24"/>
        </w:rPr>
        <w:t>nd</w:t>
      </w:r>
    </w:p>
    <w:p w14:paraId="3993679A" w14:textId="77777777" w:rsidR="00914C15" w:rsidRDefault="00914C15" w:rsidP="00BB4BA2">
      <w:pPr>
        <w:jc w:val="both"/>
        <w:rPr>
          <w:sz w:val="24"/>
          <w:szCs w:val="24"/>
        </w:rPr>
      </w:pPr>
      <w:r>
        <w:rPr>
          <w:sz w:val="24"/>
          <w:szCs w:val="24"/>
        </w:rPr>
        <w:t xml:space="preserve">THE REGISTRAR OF DEEDS, COMPANIES </w:t>
      </w:r>
    </w:p>
    <w:p w14:paraId="01BB4E98" w14:textId="66FA606D" w:rsidR="005822E9" w:rsidRDefault="00914C15" w:rsidP="00BB4BA2">
      <w:pPr>
        <w:jc w:val="both"/>
        <w:rPr>
          <w:sz w:val="24"/>
          <w:szCs w:val="24"/>
        </w:rPr>
      </w:pPr>
      <w:r>
        <w:rPr>
          <w:sz w:val="24"/>
          <w:szCs w:val="24"/>
        </w:rPr>
        <w:t xml:space="preserve">AND INTELLECTUAL PROPERTIES </w:t>
      </w:r>
    </w:p>
    <w:p w14:paraId="1F6D5402" w14:textId="77777777" w:rsidR="00BB4BA2" w:rsidRDefault="00BB4BA2" w:rsidP="00BB4BA2">
      <w:pPr>
        <w:jc w:val="both"/>
        <w:rPr>
          <w:sz w:val="24"/>
          <w:szCs w:val="24"/>
        </w:rPr>
      </w:pPr>
    </w:p>
    <w:p w14:paraId="5F5674B2" w14:textId="77777777" w:rsidR="003E2430" w:rsidRDefault="003E2430" w:rsidP="00BB4BA2">
      <w:pPr>
        <w:jc w:val="both"/>
        <w:rPr>
          <w:sz w:val="24"/>
          <w:szCs w:val="24"/>
        </w:rPr>
      </w:pPr>
    </w:p>
    <w:p w14:paraId="12E09B41" w14:textId="77777777" w:rsidR="00F95555" w:rsidRPr="00775261" w:rsidRDefault="00F95555" w:rsidP="003E2430">
      <w:pPr>
        <w:jc w:val="both"/>
        <w:rPr>
          <w:sz w:val="24"/>
          <w:szCs w:val="24"/>
        </w:rPr>
      </w:pPr>
      <w:r w:rsidRPr="00775261">
        <w:rPr>
          <w:sz w:val="24"/>
          <w:szCs w:val="24"/>
        </w:rPr>
        <w:t>HIGH COURT OF ZIMBABWE</w:t>
      </w:r>
    </w:p>
    <w:p w14:paraId="4DB0BBD1" w14:textId="0B9E630E" w:rsidR="00F95555" w:rsidRPr="00E4743F" w:rsidRDefault="00914C15" w:rsidP="003E2430">
      <w:pPr>
        <w:jc w:val="both"/>
        <w:rPr>
          <w:b/>
          <w:bCs/>
          <w:sz w:val="24"/>
          <w:szCs w:val="24"/>
        </w:rPr>
      </w:pPr>
      <w:r w:rsidRPr="00E4743F">
        <w:rPr>
          <w:b/>
          <w:bCs/>
          <w:sz w:val="24"/>
          <w:szCs w:val="24"/>
        </w:rPr>
        <w:t>TAKUVA</w:t>
      </w:r>
      <w:r w:rsidR="00F95555" w:rsidRPr="00E4743F">
        <w:rPr>
          <w:b/>
          <w:bCs/>
          <w:sz w:val="24"/>
          <w:szCs w:val="24"/>
        </w:rPr>
        <w:t xml:space="preserve"> J</w:t>
      </w:r>
    </w:p>
    <w:p w14:paraId="10222B67" w14:textId="620BCEB7" w:rsidR="00F95555" w:rsidRPr="00775261" w:rsidRDefault="00F95555" w:rsidP="003E2430">
      <w:pPr>
        <w:jc w:val="both"/>
        <w:rPr>
          <w:sz w:val="24"/>
          <w:szCs w:val="24"/>
        </w:rPr>
      </w:pPr>
      <w:r w:rsidRPr="00775261">
        <w:rPr>
          <w:sz w:val="24"/>
          <w:szCs w:val="24"/>
        </w:rPr>
        <w:t xml:space="preserve">HARARE, </w:t>
      </w:r>
      <w:r w:rsidR="00914C15">
        <w:rPr>
          <w:sz w:val="24"/>
          <w:szCs w:val="24"/>
        </w:rPr>
        <w:t>26 July 2024</w:t>
      </w:r>
      <w:r w:rsidR="00072E18" w:rsidRPr="00775261">
        <w:rPr>
          <w:sz w:val="24"/>
          <w:szCs w:val="24"/>
        </w:rPr>
        <w:t xml:space="preserve"> and </w:t>
      </w:r>
      <w:r w:rsidR="00DB1A98">
        <w:rPr>
          <w:sz w:val="24"/>
          <w:szCs w:val="24"/>
        </w:rPr>
        <w:t>1</w:t>
      </w:r>
      <w:r w:rsidR="008E4A2C">
        <w:rPr>
          <w:sz w:val="24"/>
          <w:szCs w:val="24"/>
        </w:rPr>
        <w:t xml:space="preserve"> November </w:t>
      </w:r>
      <w:r w:rsidR="00914C15">
        <w:rPr>
          <w:sz w:val="24"/>
          <w:szCs w:val="24"/>
        </w:rPr>
        <w:t>2024</w:t>
      </w:r>
    </w:p>
    <w:p w14:paraId="09E7C62B" w14:textId="77777777" w:rsidR="00F95555" w:rsidRDefault="00F95555" w:rsidP="00BB4BA2">
      <w:pPr>
        <w:jc w:val="both"/>
        <w:rPr>
          <w:sz w:val="24"/>
          <w:szCs w:val="24"/>
        </w:rPr>
      </w:pPr>
    </w:p>
    <w:p w14:paraId="55046EA1" w14:textId="77777777" w:rsidR="00BB4BA2" w:rsidRPr="00775261" w:rsidRDefault="00BB4BA2" w:rsidP="00BB4BA2">
      <w:pPr>
        <w:jc w:val="both"/>
        <w:rPr>
          <w:sz w:val="24"/>
          <w:szCs w:val="24"/>
        </w:rPr>
      </w:pPr>
    </w:p>
    <w:p w14:paraId="1BAA187F" w14:textId="36F11BEE" w:rsidR="00F95555" w:rsidRPr="00E4743F" w:rsidRDefault="00914C15" w:rsidP="00BB4BA2">
      <w:pPr>
        <w:jc w:val="both"/>
        <w:rPr>
          <w:b/>
          <w:i/>
          <w:iCs/>
          <w:sz w:val="24"/>
          <w:szCs w:val="24"/>
        </w:rPr>
      </w:pPr>
      <w:r w:rsidRPr="00E4743F">
        <w:rPr>
          <w:b/>
          <w:i/>
          <w:iCs/>
          <w:sz w:val="24"/>
          <w:szCs w:val="24"/>
        </w:rPr>
        <w:t>Court application for a compelling order</w:t>
      </w:r>
    </w:p>
    <w:p w14:paraId="677A6E71" w14:textId="77777777" w:rsidR="00F95555" w:rsidRDefault="00F95555" w:rsidP="003E2430">
      <w:pPr>
        <w:jc w:val="both"/>
        <w:rPr>
          <w:b/>
          <w:sz w:val="24"/>
          <w:szCs w:val="24"/>
        </w:rPr>
      </w:pPr>
    </w:p>
    <w:p w14:paraId="705A8A33" w14:textId="77777777" w:rsidR="003E2430" w:rsidRPr="00775261" w:rsidRDefault="003E2430" w:rsidP="003E2430">
      <w:pPr>
        <w:jc w:val="both"/>
        <w:rPr>
          <w:b/>
          <w:sz w:val="24"/>
          <w:szCs w:val="24"/>
        </w:rPr>
      </w:pPr>
    </w:p>
    <w:p w14:paraId="5EEBC8A1" w14:textId="46B561F1" w:rsidR="00F95555" w:rsidRPr="00775261" w:rsidRDefault="00914C15" w:rsidP="00D05F51">
      <w:pPr>
        <w:jc w:val="both"/>
        <w:rPr>
          <w:sz w:val="24"/>
          <w:szCs w:val="24"/>
        </w:rPr>
      </w:pPr>
      <w:r>
        <w:rPr>
          <w:i/>
          <w:sz w:val="24"/>
          <w:szCs w:val="24"/>
        </w:rPr>
        <w:t>P Tsimba</w:t>
      </w:r>
      <w:r w:rsidR="00D05F51">
        <w:rPr>
          <w:i/>
          <w:sz w:val="24"/>
          <w:szCs w:val="24"/>
        </w:rPr>
        <w:t>,</w:t>
      </w:r>
      <w:r w:rsidR="00B24B60" w:rsidRPr="00775261">
        <w:rPr>
          <w:i/>
          <w:sz w:val="24"/>
          <w:szCs w:val="24"/>
        </w:rPr>
        <w:t xml:space="preserve"> </w:t>
      </w:r>
      <w:r w:rsidR="00F95555" w:rsidRPr="00775261">
        <w:rPr>
          <w:sz w:val="24"/>
          <w:szCs w:val="24"/>
        </w:rPr>
        <w:t xml:space="preserve">for the </w:t>
      </w:r>
      <w:r>
        <w:rPr>
          <w:sz w:val="24"/>
          <w:szCs w:val="24"/>
        </w:rPr>
        <w:t>applicant</w:t>
      </w:r>
    </w:p>
    <w:p w14:paraId="1096D06B" w14:textId="2805A78C" w:rsidR="00F95555" w:rsidRDefault="00914C15" w:rsidP="00D05F51">
      <w:pPr>
        <w:jc w:val="both"/>
        <w:rPr>
          <w:sz w:val="24"/>
          <w:szCs w:val="24"/>
        </w:rPr>
      </w:pPr>
      <w:r>
        <w:rPr>
          <w:i/>
          <w:sz w:val="24"/>
          <w:szCs w:val="24"/>
        </w:rPr>
        <w:t>G Madzoka</w:t>
      </w:r>
      <w:r w:rsidR="00D05F51">
        <w:rPr>
          <w:i/>
          <w:sz w:val="24"/>
          <w:szCs w:val="24"/>
        </w:rPr>
        <w:t>,</w:t>
      </w:r>
      <w:r w:rsidR="00B24B60" w:rsidRPr="00775261">
        <w:rPr>
          <w:i/>
          <w:sz w:val="24"/>
          <w:szCs w:val="24"/>
        </w:rPr>
        <w:t xml:space="preserve"> </w:t>
      </w:r>
      <w:r w:rsidR="00B24B60" w:rsidRPr="00D05F51">
        <w:rPr>
          <w:sz w:val="24"/>
          <w:szCs w:val="24"/>
        </w:rPr>
        <w:t xml:space="preserve">for the </w:t>
      </w:r>
      <w:r>
        <w:rPr>
          <w:sz w:val="24"/>
          <w:szCs w:val="24"/>
        </w:rPr>
        <w:t>first respondent</w:t>
      </w:r>
    </w:p>
    <w:p w14:paraId="7BF95F07" w14:textId="6E3A0EBF" w:rsidR="00914C15" w:rsidRPr="00914C15" w:rsidRDefault="00914C15" w:rsidP="00D05F51">
      <w:pPr>
        <w:jc w:val="both"/>
        <w:rPr>
          <w:i/>
          <w:sz w:val="24"/>
          <w:szCs w:val="24"/>
        </w:rPr>
      </w:pPr>
      <w:r w:rsidRPr="00914C15">
        <w:rPr>
          <w:i/>
          <w:sz w:val="24"/>
          <w:szCs w:val="24"/>
        </w:rPr>
        <w:t>No appearance for the second respondent</w:t>
      </w:r>
    </w:p>
    <w:p w14:paraId="1D894016" w14:textId="77777777" w:rsidR="00D05F51" w:rsidRPr="00775261" w:rsidRDefault="00D05F51" w:rsidP="00D05F51">
      <w:pPr>
        <w:jc w:val="both"/>
        <w:rPr>
          <w:sz w:val="24"/>
          <w:szCs w:val="24"/>
        </w:rPr>
      </w:pPr>
    </w:p>
    <w:p w14:paraId="04C640D0" w14:textId="77777777" w:rsidR="00F95555" w:rsidRPr="00775261" w:rsidRDefault="00F95555" w:rsidP="00D05F51">
      <w:pPr>
        <w:jc w:val="both"/>
        <w:rPr>
          <w:sz w:val="24"/>
          <w:szCs w:val="24"/>
        </w:rPr>
      </w:pPr>
    </w:p>
    <w:p w14:paraId="6F66E0B9" w14:textId="0F6F83BA" w:rsidR="003E2430" w:rsidRDefault="003E2430" w:rsidP="003E2430">
      <w:pPr>
        <w:spacing w:line="360" w:lineRule="auto"/>
        <w:jc w:val="both"/>
        <w:rPr>
          <w:sz w:val="24"/>
          <w:szCs w:val="24"/>
        </w:rPr>
      </w:pPr>
      <w:r>
        <w:rPr>
          <w:sz w:val="24"/>
          <w:szCs w:val="24"/>
        </w:rPr>
        <w:tab/>
      </w:r>
      <w:r w:rsidR="00914C15">
        <w:rPr>
          <w:sz w:val="24"/>
          <w:szCs w:val="24"/>
        </w:rPr>
        <w:t>TAKUVA</w:t>
      </w:r>
      <w:r w:rsidR="00F95555" w:rsidRPr="00775261">
        <w:rPr>
          <w:sz w:val="24"/>
          <w:szCs w:val="24"/>
        </w:rPr>
        <w:t xml:space="preserve"> J:</w:t>
      </w:r>
      <w:r w:rsidR="00371B86" w:rsidRPr="00775261">
        <w:rPr>
          <w:sz w:val="24"/>
          <w:szCs w:val="24"/>
        </w:rPr>
        <w:t xml:space="preserve"> </w:t>
      </w:r>
      <w:r w:rsidR="00D2497A">
        <w:rPr>
          <w:sz w:val="24"/>
          <w:szCs w:val="24"/>
        </w:rPr>
        <w:t xml:space="preserve"> </w:t>
      </w:r>
      <w:bookmarkEnd w:id="0"/>
    </w:p>
    <w:p w14:paraId="3E51B556" w14:textId="58C818E2" w:rsidR="004D2114" w:rsidRPr="003E2430" w:rsidRDefault="003E2430" w:rsidP="003E2430">
      <w:pPr>
        <w:spacing w:line="360" w:lineRule="auto"/>
        <w:jc w:val="both"/>
        <w:rPr>
          <w:sz w:val="24"/>
          <w:szCs w:val="24"/>
          <w:u w:val="single"/>
        </w:rPr>
      </w:pPr>
      <w:r>
        <w:rPr>
          <w:sz w:val="24"/>
          <w:szCs w:val="24"/>
        </w:rPr>
        <w:tab/>
      </w:r>
      <w:r w:rsidR="004D2114" w:rsidRPr="003E2430">
        <w:rPr>
          <w:b/>
          <w:sz w:val="24"/>
          <w:szCs w:val="24"/>
          <w:u w:val="single"/>
        </w:rPr>
        <w:t>INTRODUCTION</w:t>
      </w:r>
    </w:p>
    <w:p w14:paraId="0464750D" w14:textId="5FA68952" w:rsidR="00A53BA1" w:rsidRPr="00112923" w:rsidRDefault="00112923" w:rsidP="00112923">
      <w:pPr>
        <w:pStyle w:val="ListParagraph"/>
        <w:numPr>
          <w:ilvl w:val="0"/>
          <w:numId w:val="3"/>
        </w:numPr>
        <w:spacing w:line="360" w:lineRule="auto"/>
        <w:jc w:val="both"/>
        <w:rPr>
          <w:sz w:val="24"/>
          <w:szCs w:val="24"/>
        </w:rPr>
      </w:pPr>
      <w:r>
        <w:rPr>
          <w:sz w:val="24"/>
          <w:szCs w:val="24"/>
        </w:rPr>
        <w:t xml:space="preserve">This is a court application to </w:t>
      </w:r>
      <w:r w:rsidR="00A31CFE" w:rsidRPr="00112923">
        <w:rPr>
          <w:sz w:val="24"/>
          <w:szCs w:val="24"/>
        </w:rPr>
        <w:t>compel t</w:t>
      </w:r>
      <w:r>
        <w:rPr>
          <w:sz w:val="24"/>
          <w:szCs w:val="24"/>
        </w:rPr>
        <w:t>he first respondent to issue a rates clearance certificate to the applicant. The application is opposed by the first respondent.</w:t>
      </w:r>
    </w:p>
    <w:p w14:paraId="657C5068" w14:textId="709F4FAA" w:rsidR="00CC4A4E" w:rsidRDefault="00A53BA1" w:rsidP="00775261">
      <w:pPr>
        <w:pStyle w:val="ListParagraph"/>
        <w:numPr>
          <w:ilvl w:val="0"/>
          <w:numId w:val="3"/>
        </w:numPr>
        <w:spacing w:line="360" w:lineRule="auto"/>
        <w:jc w:val="both"/>
        <w:rPr>
          <w:sz w:val="24"/>
          <w:szCs w:val="24"/>
        </w:rPr>
      </w:pPr>
      <w:r>
        <w:rPr>
          <w:sz w:val="24"/>
          <w:szCs w:val="24"/>
        </w:rPr>
        <w:t>The factual conspectus leading to the current</w:t>
      </w:r>
      <w:r w:rsidR="00A31CFE">
        <w:rPr>
          <w:sz w:val="24"/>
          <w:szCs w:val="24"/>
        </w:rPr>
        <w:t xml:space="preserve"> application is that on 9 January 2023, the applicant </w:t>
      </w:r>
      <w:r w:rsidR="00221829">
        <w:rPr>
          <w:sz w:val="24"/>
          <w:szCs w:val="24"/>
        </w:rPr>
        <w:t>entered into an agreement of sale with Tinashe Muchivete Zenda, who was acting in his capacity as the Executor Dative of the Estate Late Sydney Kundishona.</w:t>
      </w:r>
      <w:r w:rsidR="007C5C1C">
        <w:rPr>
          <w:sz w:val="24"/>
          <w:szCs w:val="24"/>
        </w:rPr>
        <w:t xml:space="preserve"> The agreement was for the sale of an immovable property, known as stand number 1090 Dema Township, situate in the District of Goromonzi measuring 1554 square metres, held under Deed of Grant 10722/2000 in the name of Sydney Kundishora</w:t>
      </w:r>
      <w:r w:rsidR="004D2114">
        <w:rPr>
          <w:sz w:val="24"/>
          <w:szCs w:val="24"/>
        </w:rPr>
        <w:t xml:space="preserve"> (the stand)</w:t>
      </w:r>
      <w:r w:rsidR="007C5C1C">
        <w:rPr>
          <w:sz w:val="24"/>
          <w:szCs w:val="24"/>
        </w:rPr>
        <w:t xml:space="preserve">. </w:t>
      </w:r>
    </w:p>
    <w:p w14:paraId="6438E6BF" w14:textId="350F07B4" w:rsidR="00CC4A4E" w:rsidRDefault="007C5C1C" w:rsidP="00775261">
      <w:pPr>
        <w:pStyle w:val="ListParagraph"/>
        <w:numPr>
          <w:ilvl w:val="0"/>
          <w:numId w:val="3"/>
        </w:numPr>
        <w:spacing w:line="360" w:lineRule="auto"/>
        <w:jc w:val="both"/>
        <w:rPr>
          <w:sz w:val="24"/>
          <w:szCs w:val="24"/>
        </w:rPr>
      </w:pPr>
      <w:r>
        <w:rPr>
          <w:sz w:val="24"/>
          <w:szCs w:val="24"/>
        </w:rPr>
        <w:t xml:space="preserve">The </w:t>
      </w:r>
      <w:r w:rsidR="004D2114">
        <w:rPr>
          <w:sz w:val="24"/>
          <w:szCs w:val="24"/>
        </w:rPr>
        <w:t xml:space="preserve">stand </w:t>
      </w:r>
      <w:r w:rsidR="00253AA2">
        <w:rPr>
          <w:sz w:val="24"/>
          <w:szCs w:val="24"/>
        </w:rPr>
        <w:t>was valued at USD$6</w:t>
      </w:r>
      <w:r w:rsidR="00CC4A4E">
        <w:rPr>
          <w:sz w:val="24"/>
          <w:szCs w:val="24"/>
        </w:rPr>
        <w:t>5</w:t>
      </w:r>
      <w:r w:rsidR="00253AA2">
        <w:rPr>
          <w:sz w:val="24"/>
          <w:szCs w:val="24"/>
        </w:rPr>
        <w:t xml:space="preserve"> </w:t>
      </w:r>
      <w:r w:rsidR="00CC4A4E">
        <w:rPr>
          <w:sz w:val="24"/>
          <w:szCs w:val="24"/>
        </w:rPr>
        <w:t xml:space="preserve">000. The </w:t>
      </w:r>
      <w:r>
        <w:rPr>
          <w:sz w:val="24"/>
          <w:szCs w:val="24"/>
        </w:rPr>
        <w:t xml:space="preserve">terms of the agreement were that the applicant would pay </w:t>
      </w:r>
      <w:r w:rsidR="00CC4A4E">
        <w:rPr>
          <w:sz w:val="24"/>
          <w:szCs w:val="24"/>
        </w:rPr>
        <w:t>USD$40 000 upon signing of the agreement of sale and the balance would be paid after three months from the date of the signing of the agreement. It fell upon the purchaser to meet half the costs of the preparation of the ag</w:t>
      </w:r>
      <w:r w:rsidR="00112923">
        <w:rPr>
          <w:sz w:val="24"/>
          <w:szCs w:val="24"/>
        </w:rPr>
        <w:t>reement of sale, stamp duty to Deeds R</w:t>
      </w:r>
      <w:r w:rsidR="00CC4A4E">
        <w:rPr>
          <w:sz w:val="24"/>
          <w:szCs w:val="24"/>
        </w:rPr>
        <w:t xml:space="preserve">egistry as well as transfer costs and any costs incidental to the transfer. </w:t>
      </w:r>
    </w:p>
    <w:p w14:paraId="365AEBD3" w14:textId="3B535B79" w:rsidR="00253AA2" w:rsidRDefault="00CC4A4E" w:rsidP="00775261">
      <w:pPr>
        <w:pStyle w:val="ListParagraph"/>
        <w:numPr>
          <w:ilvl w:val="0"/>
          <w:numId w:val="3"/>
        </w:numPr>
        <w:spacing w:line="360" w:lineRule="auto"/>
        <w:jc w:val="both"/>
        <w:rPr>
          <w:sz w:val="24"/>
          <w:szCs w:val="24"/>
        </w:rPr>
      </w:pPr>
      <w:r>
        <w:rPr>
          <w:sz w:val="24"/>
          <w:szCs w:val="24"/>
        </w:rPr>
        <w:t>The seller would in turn pay arrear rates, water bills and electricity bills. The seller was also li</w:t>
      </w:r>
      <w:r w:rsidR="00112923">
        <w:rPr>
          <w:sz w:val="24"/>
          <w:szCs w:val="24"/>
        </w:rPr>
        <w:t xml:space="preserve">able to meet any tax obligations arising </w:t>
      </w:r>
      <w:r>
        <w:rPr>
          <w:sz w:val="24"/>
          <w:szCs w:val="24"/>
        </w:rPr>
        <w:t>and the sale’s agent’s commission.</w:t>
      </w:r>
      <w:r w:rsidR="003639F5">
        <w:rPr>
          <w:sz w:val="24"/>
          <w:szCs w:val="24"/>
        </w:rPr>
        <w:t xml:space="preserve"> </w:t>
      </w:r>
    </w:p>
    <w:p w14:paraId="2F63E1B6" w14:textId="581E9AF8" w:rsidR="003639F5" w:rsidRDefault="00CC4A4E" w:rsidP="003639F5">
      <w:pPr>
        <w:pStyle w:val="ListParagraph"/>
        <w:numPr>
          <w:ilvl w:val="0"/>
          <w:numId w:val="3"/>
        </w:numPr>
        <w:spacing w:line="360" w:lineRule="auto"/>
        <w:jc w:val="both"/>
        <w:rPr>
          <w:sz w:val="24"/>
          <w:szCs w:val="24"/>
        </w:rPr>
      </w:pPr>
      <w:r>
        <w:rPr>
          <w:sz w:val="24"/>
          <w:szCs w:val="24"/>
        </w:rPr>
        <w:lastRenderedPageBreak/>
        <w:t xml:space="preserve"> </w:t>
      </w:r>
      <w:r w:rsidR="003639F5">
        <w:rPr>
          <w:sz w:val="24"/>
          <w:szCs w:val="24"/>
        </w:rPr>
        <w:t>The purchaser would take occupation only upon the stand being transferred into his name and confirmation of the estate account by the Ma</w:t>
      </w:r>
      <w:r w:rsidR="00112923">
        <w:rPr>
          <w:sz w:val="24"/>
          <w:szCs w:val="24"/>
        </w:rPr>
        <w:t xml:space="preserve">ster of the High Court. The estate account was confirmed </w:t>
      </w:r>
      <w:r w:rsidR="003639F5">
        <w:rPr>
          <w:sz w:val="24"/>
          <w:szCs w:val="24"/>
        </w:rPr>
        <w:t>on 2</w:t>
      </w:r>
      <w:r w:rsidR="00BF134E">
        <w:rPr>
          <w:sz w:val="24"/>
          <w:szCs w:val="24"/>
        </w:rPr>
        <w:t xml:space="preserve">9 September 2023, </w:t>
      </w:r>
      <w:r w:rsidR="00112923">
        <w:rPr>
          <w:sz w:val="24"/>
          <w:szCs w:val="24"/>
        </w:rPr>
        <w:t>and on 28 October 2023, the application for the rates clearance certificate was launched.</w:t>
      </w:r>
      <w:r w:rsidR="003639F5">
        <w:rPr>
          <w:sz w:val="24"/>
          <w:szCs w:val="24"/>
        </w:rPr>
        <w:t xml:space="preserve"> </w:t>
      </w:r>
    </w:p>
    <w:p w14:paraId="75AC07CE" w14:textId="6DFE926A" w:rsidR="007C7805" w:rsidRDefault="003639F5" w:rsidP="007C7805">
      <w:pPr>
        <w:pStyle w:val="ListParagraph"/>
        <w:numPr>
          <w:ilvl w:val="0"/>
          <w:numId w:val="3"/>
        </w:numPr>
        <w:spacing w:line="360" w:lineRule="auto"/>
        <w:jc w:val="both"/>
        <w:rPr>
          <w:sz w:val="24"/>
          <w:szCs w:val="24"/>
        </w:rPr>
      </w:pPr>
      <w:r>
        <w:rPr>
          <w:sz w:val="24"/>
          <w:szCs w:val="24"/>
        </w:rPr>
        <w:t>That application triggered a series of letters, among whi</w:t>
      </w:r>
      <w:r w:rsidR="00BF134E">
        <w:rPr>
          <w:sz w:val="24"/>
          <w:szCs w:val="24"/>
        </w:rPr>
        <w:t xml:space="preserve">ch it emerged that the deceased’s </w:t>
      </w:r>
      <w:r>
        <w:rPr>
          <w:sz w:val="24"/>
          <w:szCs w:val="24"/>
        </w:rPr>
        <w:t xml:space="preserve">estate did not own stand number 1090 </w:t>
      </w:r>
      <w:r w:rsidR="00BF134E">
        <w:rPr>
          <w:sz w:val="24"/>
          <w:szCs w:val="24"/>
        </w:rPr>
        <w:t xml:space="preserve">Dema </w:t>
      </w:r>
      <w:r w:rsidR="003E2430">
        <w:rPr>
          <w:sz w:val="24"/>
          <w:szCs w:val="24"/>
        </w:rPr>
        <w:t>Township. What</w:t>
      </w:r>
      <w:r w:rsidR="00BF134E">
        <w:rPr>
          <w:sz w:val="24"/>
          <w:szCs w:val="24"/>
        </w:rPr>
        <w:t xml:space="preserve"> it owned were</w:t>
      </w:r>
      <w:r>
        <w:rPr>
          <w:sz w:val="24"/>
          <w:szCs w:val="24"/>
        </w:rPr>
        <w:t xml:space="preserve"> stand numbers 27, 28 and 29 of Dema Township. It also emerged that according to the first respondent’s record, stand number 1090 Dema Township is registered in another </w:t>
      </w:r>
      <w:r w:rsidR="000C19E4">
        <w:rPr>
          <w:sz w:val="24"/>
          <w:szCs w:val="24"/>
        </w:rPr>
        <w:t>entity</w:t>
      </w:r>
      <w:r>
        <w:rPr>
          <w:sz w:val="24"/>
          <w:szCs w:val="24"/>
        </w:rPr>
        <w:t xml:space="preserve">’s name and measures 26 000 square metres in extent, as opposed to the 1554 square metres stated in the </w:t>
      </w:r>
      <w:r w:rsidR="000C19E4">
        <w:rPr>
          <w:sz w:val="24"/>
          <w:szCs w:val="24"/>
        </w:rPr>
        <w:t>agreement of sale</w:t>
      </w:r>
      <w:r w:rsidR="00112923">
        <w:rPr>
          <w:sz w:val="24"/>
          <w:szCs w:val="24"/>
        </w:rPr>
        <w:t xml:space="preserve"> between the applicant and the deceased estate</w:t>
      </w:r>
      <w:r>
        <w:rPr>
          <w:sz w:val="24"/>
          <w:szCs w:val="24"/>
        </w:rPr>
        <w:t xml:space="preserve">. The first respondent </w:t>
      </w:r>
      <w:r w:rsidR="00BF134E">
        <w:rPr>
          <w:sz w:val="24"/>
          <w:szCs w:val="24"/>
        </w:rPr>
        <w:t xml:space="preserve">even </w:t>
      </w:r>
      <w:r>
        <w:rPr>
          <w:sz w:val="24"/>
          <w:szCs w:val="24"/>
        </w:rPr>
        <w:t xml:space="preserve">questioned the authenticity of the </w:t>
      </w:r>
      <w:r w:rsidR="004D2114">
        <w:rPr>
          <w:sz w:val="24"/>
          <w:szCs w:val="24"/>
        </w:rPr>
        <w:t>stand’s Deed of Grant</w:t>
      </w:r>
      <w:r w:rsidR="00D302C3">
        <w:rPr>
          <w:sz w:val="24"/>
          <w:szCs w:val="24"/>
        </w:rPr>
        <w:t xml:space="preserve">. </w:t>
      </w:r>
      <w:r w:rsidR="000C19E4">
        <w:rPr>
          <w:sz w:val="24"/>
          <w:szCs w:val="24"/>
        </w:rPr>
        <w:t>Given th</w:t>
      </w:r>
      <w:r w:rsidR="00937B7B">
        <w:rPr>
          <w:sz w:val="24"/>
          <w:szCs w:val="24"/>
        </w:rPr>
        <w:t>e incongruities between the documents presented to the first respondent and what it had in its records, the first respondent refused to issue the rates clearance certificate</w:t>
      </w:r>
      <w:r w:rsidR="00BF134E">
        <w:rPr>
          <w:sz w:val="24"/>
          <w:szCs w:val="24"/>
        </w:rPr>
        <w:t xml:space="preserve"> as requested</w:t>
      </w:r>
      <w:r w:rsidR="00937B7B">
        <w:rPr>
          <w:sz w:val="24"/>
          <w:szCs w:val="24"/>
        </w:rPr>
        <w:t xml:space="preserve">. </w:t>
      </w:r>
    </w:p>
    <w:p w14:paraId="65C4AD6B" w14:textId="5A43EFB5" w:rsidR="004D2114" w:rsidRPr="003E2430" w:rsidRDefault="003E2430" w:rsidP="007C7805">
      <w:pPr>
        <w:spacing w:line="360" w:lineRule="auto"/>
        <w:jc w:val="both"/>
        <w:rPr>
          <w:sz w:val="24"/>
          <w:szCs w:val="24"/>
          <w:u w:val="single"/>
        </w:rPr>
      </w:pPr>
      <w:r>
        <w:rPr>
          <w:b/>
          <w:sz w:val="24"/>
          <w:szCs w:val="24"/>
        </w:rPr>
        <w:tab/>
      </w:r>
      <w:r w:rsidR="004D2114" w:rsidRPr="003E2430">
        <w:rPr>
          <w:b/>
          <w:sz w:val="24"/>
          <w:szCs w:val="24"/>
          <w:u w:val="single"/>
        </w:rPr>
        <w:t>THE APPLICATION BEFORE THE COURT</w:t>
      </w:r>
    </w:p>
    <w:p w14:paraId="4BC89BDF" w14:textId="2D8EE8B7" w:rsidR="00937B7B" w:rsidRDefault="00937B7B" w:rsidP="00775261">
      <w:pPr>
        <w:pStyle w:val="ListParagraph"/>
        <w:numPr>
          <w:ilvl w:val="0"/>
          <w:numId w:val="3"/>
        </w:numPr>
        <w:spacing w:line="360" w:lineRule="auto"/>
        <w:jc w:val="both"/>
        <w:rPr>
          <w:sz w:val="24"/>
          <w:szCs w:val="24"/>
        </w:rPr>
      </w:pPr>
      <w:r>
        <w:rPr>
          <w:sz w:val="24"/>
          <w:szCs w:val="24"/>
        </w:rPr>
        <w:t>This court is now seized with an application to compel the first respondent to issue a rate</w:t>
      </w:r>
      <w:r w:rsidR="00BF134E">
        <w:rPr>
          <w:sz w:val="24"/>
          <w:szCs w:val="24"/>
        </w:rPr>
        <w:t>s</w:t>
      </w:r>
      <w:r>
        <w:rPr>
          <w:sz w:val="24"/>
          <w:szCs w:val="24"/>
        </w:rPr>
        <w:t xml:space="preserve"> clearance certificate for transfer of stand number 1090 Dema Township held under Deed of Grant 10722/ 2000 from the late Sydney Kundishora to Tichaona Muzanenhamo within two days of service of the court order. </w:t>
      </w:r>
    </w:p>
    <w:p w14:paraId="38EE68F4" w14:textId="46D051A6" w:rsidR="00112923" w:rsidRPr="003E2430" w:rsidRDefault="00937B7B" w:rsidP="003E2430">
      <w:pPr>
        <w:pStyle w:val="ListParagraph"/>
        <w:numPr>
          <w:ilvl w:val="0"/>
          <w:numId w:val="3"/>
        </w:numPr>
        <w:spacing w:line="360" w:lineRule="auto"/>
        <w:jc w:val="both"/>
        <w:rPr>
          <w:sz w:val="24"/>
          <w:szCs w:val="24"/>
        </w:rPr>
      </w:pPr>
      <w:r>
        <w:rPr>
          <w:sz w:val="24"/>
          <w:szCs w:val="24"/>
        </w:rPr>
        <w:t xml:space="preserve">Should the </w:t>
      </w:r>
      <w:r w:rsidR="003E2430">
        <w:rPr>
          <w:sz w:val="24"/>
          <w:szCs w:val="24"/>
        </w:rPr>
        <w:t>first</w:t>
      </w:r>
      <w:r w:rsidRPr="003E2430">
        <w:rPr>
          <w:sz w:val="24"/>
          <w:szCs w:val="24"/>
        </w:rPr>
        <w:t xml:space="preserve"> </w:t>
      </w:r>
      <w:r w:rsidR="003E2430">
        <w:rPr>
          <w:sz w:val="24"/>
          <w:szCs w:val="24"/>
        </w:rPr>
        <w:t>r</w:t>
      </w:r>
      <w:r w:rsidRPr="003E2430">
        <w:rPr>
          <w:sz w:val="24"/>
          <w:szCs w:val="24"/>
        </w:rPr>
        <w:t xml:space="preserve">espondent fail and or neglect to comply with the directive to issue the rates clearance </w:t>
      </w:r>
      <w:r w:rsidR="003E2430" w:rsidRPr="003E2430">
        <w:rPr>
          <w:sz w:val="24"/>
          <w:szCs w:val="24"/>
        </w:rPr>
        <w:t>certificate,</w:t>
      </w:r>
      <w:r w:rsidRPr="003E2430">
        <w:rPr>
          <w:sz w:val="24"/>
          <w:szCs w:val="24"/>
        </w:rPr>
        <w:t xml:space="preserve"> the applicant </w:t>
      </w:r>
      <w:r w:rsidR="003E2430" w:rsidRPr="003E2430">
        <w:rPr>
          <w:sz w:val="24"/>
          <w:szCs w:val="24"/>
        </w:rPr>
        <w:t>seeks that</w:t>
      </w:r>
      <w:r w:rsidRPr="003E2430">
        <w:rPr>
          <w:sz w:val="24"/>
          <w:szCs w:val="24"/>
        </w:rPr>
        <w:t xml:space="preserve"> the </w:t>
      </w:r>
      <w:r w:rsidR="003E2430" w:rsidRPr="003E2430">
        <w:rPr>
          <w:sz w:val="24"/>
          <w:szCs w:val="24"/>
        </w:rPr>
        <w:t>second</w:t>
      </w:r>
      <w:r w:rsidRPr="003E2430">
        <w:rPr>
          <w:sz w:val="24"/>
          <w:szCs w:val="24"/>
        </w:rPr>
        <w:t xml:space="preserve"> </w:t>
      </w:r>
      <w:r w:rsidR="003E2430" w:rsidRPr="003E2430">
        <w:rPr>
          <w:sz w:val="24"/>
          <w:szCs w:val="24"/>
        </w:rPr>
        <w:t>r</w:t>
      </w:r>
      <w:r w:rsidRPr="003E2430">
        <w:rPr>
          <w:sz w:val="24"/>
          <w:szCs w:val="24"/>
        </w:rPr>
        <w:t xml:space="preserve">espondent be directed to effect transfer of the property without the rates clearance certificate. </w:t>
      </w:r>
    </w:p>
    <w:p w14:paraId="34732CA8" w14:textId="77777777" w:rsidR="00112923" w:rsidRDefault="00937B7B" w:rsidP="00112923">
      <w:pPr>
        <w:pStyle w:val="ListParagraph"/>
        <w:numPr>
          <w:ilvl w:val="0"/>
          <w:numId w:val="3"/>
        </w:numPr>
        <w:spacing w:line="360" w:lineRule="auto"/>
        <w:jc w:val="both"/>
        <w:rPr>
          <w:sz w:val="24"/>
          <w:szCs w:val="24"/>
        </w:rPr>
      </w:pPr>
      <w:r w:rsidRPr="00112923">
        <w:rPr>
          <w:sz w:val="24"/>
          <w:szCs w:val="24"/>
        </w:rPr>
        <w:t>Finally, the applicant seeks that the first respondent pay costs on an attor</w:t>
      </w:r>
      <w:r w:rsidR="003E3CB6" w:rsidRPr="00112923">
        <w:rPr>
          <w:sz w:val="24"/>
          <w:szCs w:val="24"/>
        </w:rPr>
        <w:t xml:space="preserve">ney-client scale. </w:t>
      </w:r>
    </w:p>
    <w:p w14:paraId="2D40ABD0" w14:textId="40D92B6A" w:rsidR="00463AE4" w:rsidRPr="003E2430" w:rsidRDefault="003E2430" w:rsidP="00463AE4">
      <w:pPr>
        <w:spacing w:line="360" w:lineRule="auto"/>
        <w:jc w:val="both"/>
        <w:rPr>
          <w:b/>
          <w:sz w:val="24"/>
          <w:szCs w:val="24"/>
          <w:u w:val="single"/>
        </w:rPr>
      </w:pPr>
      <w:r>
        <w:rPr>
          <w:b/>
          <w:sz w:val="24"/>
          <w:szCs w:val="24"/>
        </w:rPr>
        <w:tab/>
      </w:r>
      <w:r w:rsidR="00463AE4" w:rsidRPr="003E2430">
        <w:rPr>
          <w:b/>
          <w:sz w:val="24"/>
          <w:szCs w:val="24"/>
          <w:u w:val="single"/>
        </w:rPr>
        <w:t>PRELIMINARY POINTS</w:t>
      </w:r>
    </w:p>
    <w:p w14:paraId="583C859D" w14:textId="666360BD" w:rsidR="00463AE4" w:rsidRPr="003E2430" w:rsidRDefault="003E2430" w:rsidP="00463AE4">
      <w:pPr>
        <w:spacing w:line="360" w:lineRule="auto"/>
        <w:jc w:val="both"/>
        <w:rPr>
          <w:b/>
          <w:sz w:val="24"/>
          <w:szCs w:val="24"/>
          <w:u w:val="single"/>
        </w:rPr>
      </w:pPr>
      <w:r>
        <w:rPr>
          <w:b/>
          <w:sz w:val="24"/>
          <w:szCs w:val="24"/>
        </w:rPr>
        <w:tab/>
      </w:r>
      <w:r w:rsidR="00463AE4" w:rsidRPr="003E2430">
        <w:rPr>
          <w:b/>
          <w:sz w:val="24"/>
          <w:szCs w:val="24"/>
          <w:u w:val="single"/>
        </w:rPr>
        <w:t>MATERIAL DISPUTES OF FACTS</w:t>
      </w:r>
    </w:p>
    <w:p w14:paraId="6285E8F4" w14:textId="7C7CC2E1" w:rsidR="00112923" w:rsidRDefault="003E3CB6" w:rsidP="00112923">
      <w:pPr>
        <w:pStyle w:val="ListParagraph"/>
        <w:numPr>
          <w:ilvl w:val="0"/>
          <w:numId w:val="3"/>
        </w:numPr>
        <w:spacing w:line="360" w:lineRule="auto"/>
        <w:jc w:val="both"/>
        <w:rPr>
          <w:sz w:val="24"/>
          <w:szCs w:val="24"/>
        </w:rPr>
      </w:pPr>
      <w:r w:rsidRPr="00112923">
        <w:rPr>
          <w:sz w:val="24"/>
          <w:szCs w:val="24"/>
        </w:rPr>
        <w:t xml:space="preserve">The first respondent contends, in </w:t>
      </w:r>
      <w:r w:rsidRPr="00112923">
        <w:rPr>
          <w:i/>
          <w:sz w:val="24"/>
          <w:szCs w:val="24"/>
        </w:rPr>
        <w:t>limine</w:t>
      </w:r>
      <w:r w:rsidRPr="00112923">
        <w:rPr>
          <w:sz w:val="24"/>
          <w:szCs w:val="24"/>
        </w:rPr>
        <w:t xml:space="preserve">, that the applicant has adopted the wrong procedure, given the </w:t>
      </w:r>
      <w:r w:rsidR="003E2430" w:rsidRPr="00112923">
        <w:rPr>
          <w:sz w:val="24"/>
          <w:szCs w:val="24"/>
        </w:rPr>
        <w:t>time-honoured</w:t>
      </w:r>
      <w:r w:rsidRPr="00112923">
        <w:rPr>
          <w:sz w:val="24"/>
          <w:szCs w:val="24"/>
        </w:rPr>
        <w:t xml:space="preserve"> principle that where there are material disputes of facts which cannot be resolved on the papers and would require the leading of evidence, a litigant ought to proceed by way of an action and not an application. </w:t>
      </w:r>
    </w:p>
    <w:p w14:paraId="14D3EC3D" w14:textId="07DBE9D9" w:rsidR="00463AE4" w:rsidRPr="003E2430" w:rsidRDefault="00463AE4" w:rsidP="00463AE4">
      <w:pPr>
        <w:pStyle w:val="ListParagraph"/>
        <w:numPr>
          <w:ilvl w:val="0"/>
          <w:numId w:val="3"/>
        </w:numPr>
        <w:spacing w:line="360" w:lineRule="auto"/>
        <w:jc w:val="both"/>
        <w:rPr>
          <w:sz w:val="24"/>
          <w:szCs w:val="24"/>
        </w:rPr>
      </w:pPr>
      <w:r w:rsidRPr="00112923">
        <w:rPr>
          <w:sz w:val="24"/>
          <w:szCs w:val="24"/>
        </w:rPr>
        <w:t xml:space="preserve">Both the applicant’s and the first respondent’s counsel are agreed that there is a material dispute of fact on the actual piece of land that the applicant purchased. While the stand is identified as stand number 1090 Dema Township, the argument is that the </w:t>
      </w:r>
      <w:r w:rsidRPr="00112923">
        <w:rPr>
          <w:sz w:val="24"/>
          <w:szCs w:val="24"/>
        </w:rPr>
        <w:lastRenderedPageBreak/>
        <w:t>st</w:t>
      </w:r>
      <w:r w:rsidR="00282F96">
        <w:rPr>
          <w:sz w:val="24"/>
          <w:szCs w:val="24"/>
        </w:rPr>
        <w:t xml:space="preserve">and is </w:t>
      </w:r>
      <w:r w:rsidRPr="00112923">
        <w:rPr>
          <w:sz w:val="24"/>
          <w:szCs w:val="24"/>
        </w:rPr>
        <w:t>a</w:t>
      </w:r>
      <w:r w:rsidR="00282F96">
        <w:rPr>
          <w:sz w:val="24"/>
          <w:szCs w:val="24"/>
        </w:rPr>
        <w:t>ctually a</w:t>
      </w:r>
      <w:r w:rsidRPr="00112923">
        <w:rPr>
          <w:sz w:val="24"/>
          <w:szCs w:val="24"/>
        </w:rPr>
        <w:t xml:space="preserve"> consolidation of stands numbers 27, 28 and 29. While the first respondent contends that stand 1090 measures 26 000 square metres, the applicant, the agreement of sale and the Deed of Grant point to the stand measuring 1554 square metres. Applicant’s counsel </w:t>
      </w:r>
      <w:r>
        <w:rPr>
          <w:sz w:val="24"/>
          <w:szCs w:val="24"/>
        </w:rPr>
        <w:t xml:space="preserve">has </w:t>
      </w:r>
      <w:r w:rsidRPr="00112923">
        <w:rPr>
          <w:sz w:val="24"/>
          <w:szCs w:val="24"/>
        </w:rPr>
        <w:t xml:space="preserve">conceded that there is need to conduct an inspection in </w:t>
      </w:r>
      <w:r w:rsidRPr="00112923">
        <w:rPr>
          <w:i/>
          <w:sz w:val="24"/>
          <w:szCs w:val="24"/>
        </w:rPr>
        <w:t>loco</w:t>
      </w:r>
      <w:r w:rsidRPr="00112923">
        <w:rPr>
          <w:sz w:val="24"/>
          <w:szCs w:val="24"/>
        </w:rPr>
        <w:t xml:space="preserve"> for physical indications of the stand sold to the applicant, and for a proper assessment to be made on the variances between the two stands if need be. The applicant’s counsel </w:t>
      </w:r>
      <w:r>
        <w:rPr>
          <w:sz w:val="24"/>
          <w:szCs w:val="24"/>
        </w:rPr>
        <w:t xml:space="preserve">has </w:t>
      </w:r>
      <w:r w:rsidRPr="00112923">
        <w:rPr>
          <w:sz w:val="24"/>
          <w:szCs w:val="24"/>
        </w:rPr>
        <w:t>further conc</w:t>
      </w:r>
      <w:r>
        <w:rPr>
          <w:sz w:val="24"/>
          <w:szCs w:val="24"/>
        </w:rPr>
        <w:t>eded that the factual issue is so material that it can</w:t>
      </w:r>
      <w:r w:rsidRPr="00112923">
        <w:rPr>
          <w:sz w:val="24"/>
          <w:szCs w:val="24"/>
        </w:rPr>
        <w:t>not be resolved on the papers, and it was only proper for the matter to proceed by way of action. The concession was well made</w:t>
      </w:r>
      <w:r w:rsidR="00282F96">
        <w:rPr>
          <w:sz w:val="24"/>
          <w:szCs w:val="24"/>
        </w:rPr>
        <w:t xml:space="preserve"> and puts the first point in </w:t>
      </w:r>
      <w:r w:rsidR="00282F96" w:rsidRPr="00282F96">
        <w:rPr>
          <w:i/>
          <w:sz w:val="24"/>
          <w:szCs w:val="24"/>
        </w:rPr>
        <w:t>limine</w:t>
      </w:r>
      <w:r w:rsidR="00282F96">
        <w:rPr>
          <w:sz w:val="24"/>
          <w:szCs w:val="24"/>
        </w:rPr>
        <w:t xml:space="preserve"> to rest</w:t>
      </w:r>
      <w:r w:rsidRPr="00112923">
        <w:rPr>
          <w:sz w:val="24"/>
          <w:szCs w:val="24"/>
        </w:rPr>
        <w:t xml:space="preserve">. </w:t>
      </w:r>
    </w:p>
    <w:p w14:paraId="54EFF3B8" w14:textId="29FEC92B" w:rsidR="00463AE4" w:rsidRPr="003E2430" w:rsidRDefault="00463AE4" w:rsidP="003E2430">
      <w:pPr>
        <w:tabs>
          <w:tab w:val="right" w:pos="9026"/>
        </w:tabs>
        <w:spacing w:line="360" w:lineRule="auto"/>
        <w:ind w:firstLine="709"/>
        <w:jc w:val="both"/>
        <w:rPr>
          <w:b/>
          <w:iCs/>
          <w:sz w:val="24"/>
          <w:szCs w:val="24"/>
          <w:u w:val="single"/>
        </w:rPr>
      </w:pPr>
      <w:r w:rsidRPr="003E2430">
        <w:rPr>
          <w:b/>
          <w:iCs/>
          <w:sz w:val="24"/>
          <w:szCs w:val="24"/>
          <w:u w:val="single"/>
        </w:rPr>
        <w:t>LOCUS STAND</w:t>
      </w:r>
      <w:r w:rsidR="003E2430" w:rsidRPr="003E2430">
        <w:rPr>
          <w:b/>
          <w:iCs/>
          <w:sz w:val="24"/>
          <w:szCs w:val="24"/>
          <w:u w:val="single"/>
        </w:rPr>
        <w:t>I</w:t>
      </w:r>
    </w:p>
    <w:p w14:paraId="6BD08CF5" w14:textId="77777777" w:rsidR="00463AE4" w:rsidRDefault="00463AE4" w:rsidP="00463AE4">
      <w:pPr>
        <w:pStyle w:val="ListParagraph"/>
        <w:numPr>
          <w:ilvl w:val="0"/>
          <w:numId w:val="3"/>
        </w:numPr>
        <w:spacing w:line="360" w:lineRule="auto"/>
        <w:jc w:val="both"/>
        <w:rPr>
          <w:sz w:val="24"/>
          <w:szCs w:val="24"/>
        </w:rPr>
      </w:pPr>
      <w:r>
        <w:rPr>
          <w:sz w:val="24"/>
          <w:szCs w:val="24"/>
        </w:rPr>
        <w:t xml:space="preserve">The second point in </w:t>
      </w:r>
      <w:r w:rsidRPr="003E3CB6">
        <w:rPr>
          <w:i/>
          <w:sz w:val="24"/>
          <w:szCs w:val="24"/>
        </w:rPr>
        <w:t>limine</w:t>
      </w:r>
      <w:r>
        <w:rPr>
          <w:sz w:val="24"/>
          <w:szCs w:val="24"/>
        </w:rPr>
        <w:t xml:space="preserve"> taken by the first respondent related to the </w:t>
      </w:r>
      <w:r w:rsidRPr="003E3CB6">
        <w:rPr>
          <w:i/>
          <w:sz w:val="24"/>
          <w:szCs w:val="24"/>
        </w:rPr>
        <w:t>locus standi</w:t>
      </w:r>
      <w:r>
        <w:rPr>
          <w:sz w:val="24"/>
          <w:szCs w:val="24"/>
        </w:rPr>
        <w:t xml:space="preserve"> of the applicant to seek an order for the first respondent to be compelled to issue a rates clearance certificate. </w:t>
      </w:r>
    </w:p>
    <w:p w14:paraId="7ECCEDBE" w14:textId="3AA281B6" w:rsidR="00463AE4" w:rsidRPr="003E2430" w:rsidRDefault="00112923" w:rsidP="003E2430">
      <w:pPr>
        <w:pStyle w:val="ListParagraph"/>
        <w:numPr>
          <w:ilvl w:val="0"/>
          <w:numId w:val="3"/>
        </w:numPr>
        <w:spacing w:line="360" w:lineRule="auto"/>
        <w:jc w:val="both"/>
        <w:rPr>
          <w:sz w:val="24"/>
          <w:szCs w:val="24"/>
        </w:rPr>
      </w:pPr>
      <w:r w:rsidRPr="00463AE4">
        <w:rPr>
          <w:sz w:val="24"/>
          <w:szCs w:val="24"/>
        </w:rPr>
        <w:t xml:space="preserve">A finding on this point would be dispositive of the matter and it is therefore necessary to deal with it even if the applicant has conceded that there are material disputes of facts and this application ought to be converted to a trial. </w:t>
      </w:r>
      <w:r w:rsidR="003E3CB6" w:rsidRPr="00463AE4">
        <w:rPr>
          <w:sz w:val="24"/>
          <w:szCs w:val="24"/>
        </w:rPr>
        <w:t xml:space="preserve"> </w:t>
      </w:r>
    </w:p>
    <w:p w14:paraId="6C138CDD" w14:textId="0756EEE0" w:rsidR="004D2114" w:rsidRPr="003E2430" w:rsidRDefault="003E2430" w:rsidP="00463AE4">
      <w:pPr>
        <w:spacing w:line="360" w:lineRule="auto"/>
        <w:jc w:val="both"/>
        <w:rPr>
          <w:b/>
          <w:sz w:val="24"/>
          <w:szCs w:val="24"/>
          <w:u w:val="single"/>
        </w:rPr>
      </w:pPr>
      <w:r>
        <w:rPr>
          <w:b/>
          <w:sz w:val="24"/>
          <w:szCs w:val="24"/>
        </w:rPr>
        <w:tab/>
      </w:r>
      <w:r w:rsidR="00463AE4" w:rsidRPr="003E2430">
        <w:rPr>
          <w:b/>
          <w:sz w:val="24"/>
          <w:szCs w:val="24"/>
          <w:u w:val="single"/>
        </w:rPr>
        <w:t xml:space="preserve">SUBMISSIONS </w:t>
      </w:r>
      <w:r w:rsidR="005476D2" w:rsidRPr="003E2430">
        <w:rPr>
          <w:b/>
          <w:sz w:val="24"/>
          <w:szCs w:val="24"/>
          <w:u w:val="single"/>
        </w:rPr>
        <w:t xml:space="preserve">BEFORE THIS COURT </w:t>
      </w:r>
      <w:r w:rsidR="00463AE4" w:rsidRPr="003E2430">
        <w:rPr>
          <w:b/>
          <w:sz w:val="24"/>
          <w:szCs w:val="24"/>
          <w:u w:val="single"/>
        </w:rPr>
        <w:t>ON LOCUS STANDI</w:t>
      </w:r>
    </w:p>
    <w:p w14:paraId="6B1E0197" w14:textId="6F0372F0" w:rsidR="00463AE4" w:rsidRDefault="003E2430" w:rsidP="003E2430">
      <w:pPr>
        <w:pStyle w:val="ListParagraph"/>
        <w:spacing w:after="240" w:line="360" w:lineRule="auto"/>
        <w:ind w:left="426"/>
        <w:jc w:val="both"/>
        <w:rPr>
          <w:sz w:val="24"/>
          <w:szCs w:val="24"/>
        </w:rPr>
      </w:pPr>
      <w:r>
        <w:rPr>
          <w:sz w:val="24"/>
          <w:szCs w:val="24"/>
        </w:rPr>
        <w:tab/>
      </w:r>
      <w:r w:rsidR="00463AE4">
        <w:rPr>
          <w:sz w:val="24"/>
          <w:szCs w:val="24"/>
        </w:rPr>
        <w:t xml:space="preserve">In summary, the </w:t>
      </w:r>
      <w:r w:rsidR="004D2114">
        <w:rPr>
          <w:sz w:val="24"/>
          <w:szCs w:val="24"/>
        </w:rPr>
        <w:t xml:space="preserve">first respondent’s argument is as </w:t>
      </w:r>
      <w:r>
        <w:rPr>
          <w:sz w:val="24"/>
          <w:szCs w:val="24"/>
        </w:rPr>
        <w:t>follows: -</w:t>
      </w:r>
    </w:p>
    <w:p w14:paraId="7D36CC08" w14:textId="40773EE1" w:rsidR="004D2114" w:rsidRPr="00463AE4" w:rsidRDefault="004D2114" w:rsidP="00463AE4">
      <w:pPr>
        <w:pStyle w:val="ListParagraph"/>
        <w:numPr>
          <w:ilvl w:val="0"/>
          <w:numId w:val="3"/>
        </w:numPr>
        <w:spacing w:line="360" w:lineRule="auto"/>
        <w:jc w:val="both"/>
        <w:rPr>
          <w:sz w:val="24"/>
          <w:szCs w:val="24"/>
        </w:rPr>
      </w:pPr>
      <w:r w:rsidRPr="00463AE4">
        <w:rPr>
          <w:sz w:val="24"/>
          <w:szCs w:val="24"/>
        </w:rPr>
        <w:t>T</w:t>
      </w:r>
      <w:r w:rsidR="00C0371D" w:rsidRPr="00463AE4">
        <w:rPr>
          <w:sz w:val="24"/>
          <w:szCs w:val="24"/>
        </w:rPr>
        <w:t>he applicant is neither the owner nor the executor dative of the estate late Sydney Kundishona.</w:t>
      </w:r>
      <w:r w:rsidRPr="00463AE4">
        <w:rPr>
          <w:sz w:val="24"/>
          <w:szCs w:val="24"/>
        </w:rPr>
        <w:t xml:space="preserve"> He therefore does not have the requisite </w:t>
      </w:r>
      <w:r w:rsidRPr="00463AE4">
        <w:rPr>
          <w:i/>
          <w:sz w:val="24"/>
          <w:szCs w:val="24"/>
        </w:rPr>
        <w:t>locus standi</w:t>
      </w:r>
      <w:r w:rsidR="00282F96">
        <w:rPr>
          <w:i/>
          <w:sz w:val="24"/>
          <w:szCs w:val="24"/>
        </w:rPr>
        <w:t xml:space="preserve"> </w:t>
      </w:r>
      <w:r w:rsidR="00282F96" w:rsidRPr="00282F96">
        <w:rPr>
          <w:sz w:val="24"/>
          <w:szCs w:val="24"/>
        </w:rPr>
        <w:t>to seek to compel the first respondent to issue him with a rates clearance certificate</w:t>
      </w:r>
      <w:r w:rsidRPr="00282F96">
        <w:rPr>
          <w:sz w:val="24"/>
          <w:szCs w:val="24"/>
        </w:rPr>
        <w:t>.</w:t>
      </w:r>
      <w:r w:rsidRPr="00463AE4">
        <w:rPr>
          <w:sz w:val="24"/>
          <w:szCs w:val="24"/>
        </w:rPr>
        <w:t xml:space="preserve"> </w:t>
      </w:r>
      <w:r w:rsidR="00C0371D" w:rsidRPr="00463AE4">
        <w:rPr>
          <w:sz w:val="24"/>
          <w:szCs w:val="24"/>
        </w:rPr>
        <w:t xml:space="preserve"> </w:t>
      </w:r>
    </w:p>
    <w:p w14:paraId="6F82A8D9" w14:textId="47F66406" w:rsidR="00282F96" w:rsidRPr="00463AE4" w:rsidRDefault="00A61B78" w:rsidP="00282F96">
      <w:pPr>
        <w:pStyle w:val="ListParagraph"/>
        <w:numPr>
          <w:ilvl w:val="0"/>
          <w:numId w:val="3"/>
        </w:numPr>
        <w:spacing w:line="360" w:lineRule="auto"/>
        <w:jc w:val="both"/>
        <w:rPr>
          <w:sz w:val="24"/>
          <w:szCs w:val="24"/>
        </w:rPr>
      </w:pPr>
      <w:r w:rsidRPr="00A61B78">
        <w:rPr>
          <w:sz w:val="24"/>
          <w:szCs w:val="24"/>
        </w:rPr>
        <w:t xml:space="preserve">The </w:t>
      </w:r>
      <w:r w:rsidR="00282F96">
        <w:rPr>
          <w:sz w:val="24"/>
          <w:szCs w:val="24"/>
        </w:rPr>
        <w:t xml:space="preserve">first respondent </w:t>
      </w:r>
      <w:r w:rsidR="00D563D4">
        <w:rPr>
          <w:sz w:val="24"/>
          <w:szCs w:val="24"/>
        </w:rPr>
        <w:t>contends that r</w:t>
      </w:r>
      <w:r w:rsidR="00D563D4" w:rsidRPr="00A61B78">
        <w:rPr>
          <w:sz w:val="24"/>
          <w:szCs w:val="24"/>
        </w:rPr>
        <w:t xml:space="preserve">ates are </w:t>
      </w:r>
      <w:r w:rsidR="00463AE4">
        <w:rPr>
          <w:sz w:val="24"/>
          <w:szCs w:val="24"/>
        </w:rPr>
        <w:t xml:space="preserve">only </w:t>
      </w:r>
      <w:r w:rsidR="00D563D4" w:rsidRPr="00A61B78">
        <w:rPr>
          <w:sz w:val="24"/>
          <w:szCs w:val="24"/>
        </w:rPr>
        <w:t>paid by a person who has a relationship with the local authority by virtue</w:t>
      </w:r>
      <w:r w:rsidR="00710374">
        <w:rPr>
          <w:sz w:val="24"/>
          <w:szCs w:val="24"/>
        </w:rPr>
        <w:t xml:space="preserve"> of being an owner of a rateable</w:t>
      </w:r>
      <w:r w:rsidR="00D563D4" w:rsidRPr="00A61B78">
        <w:rPr>
          <w:sz w:val="24"/>
          <w:szCs w:val="24"/>
        </w:rPr>
        <w:t xml:space="preserve"> property.</w:t>
      </w:r>
      <w:r w:rsidR="00D563D4">
        <w:rPr>
          <w:sz w:val="24"/>
          <w:szCs w:val="24"/>
        </w:rPr>
        <w:t xml:space="preserve"> The </w:t>
      </w:r>
      <w:r w:rsidRPr="00A61B78">
        <w:rPr>
          <w:sz w:val="24"/>
          <w:szCs w:val="24"/>
        </w:rPr>
        <w:t>issuance of a rates clea</w:t>
      </w:r>
      <w:r>
        <w:rPr>
          <w:sz w:val="24"/>
          <w:szCs w:val="24"/>
        </w:rPr>
        <w:t>rance</w:t>
      </w:r>
      <w:r w:rsidR="00D563D4">
        <w:rPr>
          <w:sz w:val="24"/>
          <w:szCs w:val="24"/>
        </w:rPr>
        <w:t xml:space="preserve"> certificate </w:t>
      </w:r>
      <w:r w:rsidRPr="00A61B78">
        <w:rPr>
          <w:sz w:val="24"/>
          <w:szCs w:val="24"/>
        </w:rPr>
        <w:t xml:space="preserve">is </w:t>
      </w:r>
      <w:r w:rsidR="00D563D4">
        <w:rPr>
          <w:sz w:val="24"/>
          <w:szCs w:val="24"/>
        </w:rPr>
        <w:t xml:space="preserve">therefore </w:t>
      </w:r>
      <w:r w:rsidRPr="00A61B78">
        <w:rPr>
          <w:sz w:val="24"/>
          <w:szCs w:val="24"/>
        </w:rPr>
        <w:t xml:space="preserve">based on </w:t>
      </w:r>
      <w:r w:rsidR="005476D2">
        <w:rPr>
          <w:sz w:val="24"/>
          <w:szCs w:val="24"/>
        </w:rPr>
        <w:t xml:space="preserve">that </w:t>
      </w:r>
      <w:r w:rsidRPr="00A61B78">
        <w:rPr>
          <w:sz w:val="24"/>
          <w:szCs w:val="24"/>
        </w:rPr>
        <w:t xml:space="preserve">relationship. </w:t>
      </w:r>
      <w:r w:rsidR="00282F96">
        <w:rPr>
          <w:sz w:val="24"/>
          <w:szCs w:val="24"/>
        </w:rPr>
        <w:t>The first respondent relies on s</w:t>
      </w:r>
      <w:r w:rsidR="00282F96" w:rsidRPr="00463AE4">
        <w:rPr>
          <w:sz w:val="24"/>
          <w:szCs w:val="24"/>
        </w:rPr>
        <w:t>99 as read with s109 of the Rural District Councils Act [</w:t>
      </w:r>
      <w:r w:rsidR="00282F96" w:rsidRPr="00463AE4">
        <w:rPr>
          <w:i/>
          <w:sz w:val="24"/>
          <w:szCs w:val="24"/>
        </w:rPr>
        <w:t>Chapter 29:13</w:t>
      </w:r>
      <w:r w:rsidR="00282F96" w:rsidRPr="00463AE4">
        <w:rPr>
          <w:sz w:val="24"/>
          <w:szCs w:val="24"/>
        </w:rPr>
        <w:t>] (the Act) which regulate the issuance of a rates clearance certificate</w:t>
      </w:r>
      <w:r w:rsidR="00282F96">
        <w:rPr>
          <w:sz w:val="24"/>
          <w:szCs w:val="24"/>
        </w:rPr>
        <w:t xml:space="preserve"> to support his </w:t>
      </w:r>
      <w:r w:rsidR="00710374">
        <w:rPr>
          <w:sz w:val="24"/>
          <w:szCs w:val="24"/>
        </w:rPr>
        <w:t xml:space="preserve">argument. </w:t>
      </w:r>
      <w:r w:rsidR="00282F96" w:rsidRPr="00463AE4">
        <w:rPr>
          <w:sz w:val="24"/>
          <w:szCs w:val="24"/>
        </w:rPr>
        <w:t xml:space="preserve"> </w:t>
      </w:r>
    </w:p>
    <w:p w14:paraId="52E5E6B8" w14:textId="11536570" w:rsidR="005476D2" w:rsidRDefault="005476D2" w:rsidP="00463AE4">
      <w:pPr>
        <w:pStyle w:val="ListParagraph"/>
        <w:numPr>
          <w:ilvl w:val="0"/>
          <w:numId w:val="3"/>
        </w:numPr>
        <w:spacing w:line="360" w:lineRule="auto"/>
        <w:jc w:val="both"/>
        <w:rPr>
          <w:sz w:val="24"/>
          <w:szCs w:val="24"/>
        </w:rPr>
      </w:pPr>
      <w:r>
        <w:rPr>
          <w:sz w:val="24"/>
          <w:szCs w:val="24"/>
        </w:rPr>
        <w:t>That relationship</w:t>
      </w:r>
      <w:r w:rsidR="00710374">
        <w:rPr>
          <w:sz w:val="24"/>
          <w:szCs w:val="24"/>
        </w:rPr>
        <w:t>, first respondent further argues,</w:t>
      </w:r>
      <w:r>
        <w:rPr>
          <w:sz w:val="24"/>
          <w:szCs w:val="24"/>
        </w:rPr>
        <w:t xml:space="preserve"> is contractual in nature and cannot be delineated to another by virtue of an agreement of sale. </w:t>
      </w:r>
    </w:p>
    <w:p w14:paraId="19016A32" w14:textId="34CCD8D9" w:rsidR="00A61B78" w:rsidRPr="00A61B78" w:rsidRDefault="00D563D4" w:rsidP="00463AE4">
      <w:pPr>
        <w:pStyle w:val="ListParagraph"/>
        <w:numPr>
          <w:ilvl w:val="0"/>
          <w:numId w:val="3"/>
        </w:numPr>
        <w:spacing w:line="360" w:lineRule="auto"/>
        <w:jc w:val="both"/>
        <w:rPr>
          <w:sz w:val="24"/>
          <w:szCs w:val="24"/>
        </w:rPr>
      </w:pPr>
      <w:r>
        <w:rPr>
          <w:sz w:val="24"/>
          <w:szCs w:val="24"/>
        </w:rPr>
        <w:t xml:space="preserve">The first respondent further contends that the requirement </w:t>
      </w:r>
      <w:r w:rsidR="00A61B78" w:rsidRPr="00A61B78">
        <w:rPr>
          <w:sz w:val="24"/>
          <w:szCs w:val="24"/>
        </w:rPr>
        <w:t>that a rates clearance certificate looks ba</w:t>
      </w:r>
      <w:r>
        <w:rPr>
          <w:sz w:val="24"/>
          <w:szCs w:val="24"/>
        </w:rPr>
        <w:t xml:space="preserve">ck into a </w:t>
      </w:r>
      <w:r w:rsidR="003E2430">
        <w:rPr>
          <w:sz w:val="24"/>
          <w:szCs w:val="24"/>
        </w:rPr>
        <w:t>five-year</w:t>
      </w:r>
      <w:r>
        <w:rPr>
          <w:sz w:val="24"/>
          <w:szCs w:val="24"/>
        </w:rPr>
        <w:t xml:space="preserve"> period supports their position that this can only be sought </w:t>
      </w:r>
      <w:r w:rsidR="00A61B78" w:rsidRPr="00A61B78">
        <w:rPr>
          <w:sz w:val="24"/>
          <w:szCs w:val="24"/>
        </w:rPr>
        <w:t>by someone who was liable to pay rates for that period</w:t>
      </w:r>
      <w:r>
        <w:rPr>
          <w:sz w:val="24"/>
          <w:szCs w:val="24"/>
        </w:rPr>
        <w:t xml:space="preserve">.  </w:t>
      </w:r>
    </w:p>
    <w:p w14:paraId="2C3C95D2" w14:textId="07E970B1" w:rsidR="005476D2" w:rsidRPr="003E2430" w:rsidRDefault="00A61B78" w:rsidP="003E2430">
      <w:pPr>
        <w:pStyle w:val="ListParagraph"/>
        <w:numPr>
          <w:ilvl w:val="0"/>
          <w:numId w:val="3"/>
        </w:numPr>
        <w:spacing w:line="360" w:lineRule="auto"/>
        <w:jc w:val="both"/>
        <w:rPr>
          <w:sz w:val="24"/>
          <w:szCs w:val="24"/>
        </w:rPr>
      </w:pPr>
      <w:r>
        <w:rPr>
          <w:sz w:val="24"/>
          <w:szCs w:val="24"/>
        </w:rPr>
        <w:lastRenderedPageBreak/>
        <w:t xml:space="preserve">The applicant, on the other hand, insists that because he is the purchaser of the stand with a valid agreement of sale, he has a substantial interest in the matter, and is therefore clothed with the requisite standing. </w:t>
      </w:r>
    </w:p>
    <w:p w14:paraId="6DC08814" w14:textId="2194F099" w:rsidR="005476D2" w:rsidRPr="003E2430" w:rsidRDefault="003E2430" w:rsidP="005476D2">
      <w:pPr>
        <w:spacing w:line="360" w:lineRule="auto"/>
        <w:ind w:left="420"/>
        <w:jc w:val="both"/>
        <w:rPr>
          <w:b/>
          <w:sz w:val="24"/>
          <w:szCs w:val="24"/>
          <w:u w:val="single"/>
        </w:rPr>
      </w:pPr>
      <w:r>
        <w:rPr>
          <w:b/>
          <w:sz w:val="24"/>
          <w:szCs w:val="24"/>
        </w:rPr>
        <w:tab/>
      </w:r>
      <w:r w:rsidR="005476D2" w:rsidRPr="003E2430">
        <w:rPr>
          <w:b/>
          <w:sz w:val="24"/>
          <w:szCs w:val="24"/>
          <w:u w:val="single"/>
        </w:rPr>
        <w:t>THE ISSUE</w:t>
      </w:r>
    </w:p>
    <w:p w14:paraId="13A10EDD" w14:textId="25D8A92C" w:rsidR="005476D2" w:rsidRDefault="003E2430" w:rsidP="005476D2">
      <w:pPr>
        <w:spacing w:line="360" w:lineRule="auto"/>
        <w:ind w:left="420"/>
        <w:jc w:val="both"/>
        <w:rPr>
          <w:b/>
          <w:sz w:val="24"/>
          <w:szCs w:val="24"/>
        </w:rPr>
      </w:pPr>
      <w:r>
        <w:rPr>
          <w:sz w:val="24"/>
          <w:szCs w:val="24"/>
        </w:rPr>
        <w:tab/>
      </w:r>
      <w:r w:rsidR="005476D2" w:rsidRPr="005476D2">
        <w:rPr>
          <w:sz w:val="24"/>
          <w:szCs w:val="24"/>
        </w:rPr>
        <w:t xml:space="preserve">The sole issue that falls for determination is whether or not the applicant has </w:t>
      </w:r>
      <w:r w:rsidR="005476D2" w:rsidRPr="005476D2">
        <w:rPr>
          <w:i/>
          <w:sz w:val="24"/>
          <w:szCs w:val="24"/>
        </w:rPr>
        <w:t>locus standi</w:t>
      </w:r>
      <w:r w:rsidR="005476D2" w:rsidRPr="005476D2">
        <w:rPr>
          <w:sz w:val="24"/>
          <w:szCs w:val="24"/>
        </w:rPr>
        <w:t xml:space="preserve"> to compel the first respondent to issue him with a rates clearance certificate.</w:t>
      </w:r>
      <w:r w:rsidR="005476D2">
        <w:rPr>
          <w:b/>
          <w:sz w:val="24"/>
          <w:szCs w:val="24"/>
        </w:rPr>
        <w:t xml:space="preserve"> </w:t>
      </w:r>
    </w:p>
    <w:p w14:paraId="5669E70D" w14:textId="03DEC6F1" w:rsidR="005476D2" w:rsidRPr="003E2430" w:rsidRDefault="003E2430" w:rsidP="005476D2">
      <w:pPr>
        <w:spacing w:line="360" w:lineRule="auto"/>
        <w:ind w:left="420"/>
        <w:jc w:val="both"/>
        <w:rPr>
          <w:b/>
          <w:sz w:val="24"/>
          <w:szCs w:val="24"/>
          <w:u w:val="single"/>
        </w:rPr>
      </w:pPr>
      <w:r>
        <w:rPr>
          <w:b/>
          <w:sz w:val="24"/>
          <w:szCs w:val="24"/>
        </w:rPr>
        <w:tab/>
      </w:r>
      <w:r w:rsidR="005476D2" w:rsidRPr="003E2430">
        <w:rPr>
          <w:b/>
          <w:sz w:val="24"/>
          <w:szCs w:val="24"/>
          <w:u w:val="single"/>
        </w:rPr>
        <w:t>THE LAW</w:t>
      </w:r>
    </w:p>
    <w:p w14:paraId="38713349" w14:textId="64191FF5" w:rsidR="009B144E" w:rsidRDefault="00A32DFF" w:rsidP="006E33E1">
      <w:pPr>
        <w:pStyle w:val="ListParagraph"/>
        <w:numPr>
          <w:ilvl w:val="0"/>
          <w:numId w:val="3"/>
        </w:numPr>
        <w:spacing w:line="360" w:lineRule="auto"/>
        <w:jc w:val="both"/>
        <w:rPr>
          <w:sz w:val="24"/>
          <w:szCs w:val="24"/>
        </w:rPr>
      </w:pPr>
      <w:r>
        <w:rPr>
          <w:sz w:val="24"/>
          <w:szCs w:val="24"/>
        </w:rPr>
        <w:t xml:space="preserve">The factors to take into account in considering whether or not a person has </w:t>
      </w:r>
      <w:r w:rsidRPr="00A32DFF">
        <w:rPr>
          <w:i/>
          <w:sz w:val="24"/>
          <w:szCs w:val="24"/>
        </w:rPr>
        <w:t>locus standi</w:t>
      </w:r>
      <w:r>
        <w:rPr>
          <w:sz w:val="24"/>
          <w:szCs w:val="24"/>
        </w:rPr>
        <w:t xml:space="preserve"> have been traversed in various auth</w:t>
      </w:r>
      <w:r w:rsidR="006E33E1">
        <w:rPr>
          <w:sz w:val="24"/>
          <w:szCs w:val="24"/>
        </w:rPr>
        <w:t xml:space="preserve">orities in this jurisdiction. To establish </w:t>
      </w:r>
      <w:r w:rsidR="006E33E1" w:rsidRPr="006E33E1">
        <w:rPr>
          <w:i/>
          <w:sz w:val="24"/>
          <w:szCs w:val="24"/>
        </w:rPr>
        <w:t>locus standi</w:t>
      </w:r>
      <w:r w:rsidR="006E33E1">
        <w:rPr>
          <w:sz w:val="24"/>
          <w:szCs w:val="24"/>
        </w:rPr>
        <w:t>, a party must show that they have a direct and substantial interest in the matter- (</w:t>
      </w:r>
      <w:r w:rsidR="00870D3E" w:rsidRPr="009B144E">
        <w:rPr>
          <w:i/>
          <w:sz w:val="24"/>
          <w:szCs w:val="24"/>
        </w:rPr>
        <w:t xml:space="preserve">Sibanda &amp; Ors </w:t>
      </w:r>
      <w:r w:rsidR="00870D3E" w:rsidRPr="009B144E">
        <w:rPr>
          <w:sz w:val="24"/>
          <w:szCs w:val="24"/>
        </w:rPr>
        <w:t>v</w:t>
      </w:r>
      <w:r w:rsidR="009B144E" w:rsidRPr="009B144E">
        <w:rPr>
          <w:i/>
          <w:sz w:val="24"/>
          <w:szCs w:val="24"/>
        </w:rPr>
        <w:t xml:space="preserve"> </w:t>
      </w:r>
      <w:r w:rsidR="00870D3E" w:rsidRPr="009B144E">
        <w:rPr>
          <w:i/>
          <w:sz w:val="24"/>
          <w:szCs w:val="24"/>
        </w:rPr>
        <w:t>Apostolic Faith Mission of Portland Oregon (Southern African Headquarters) Inc</w:t>
      </w:r>
      <w:r w:rsidR="009B144E" w:rsidRPr="009B144E">
        <w:rPr>
          <w:sz w:val="24"/>
          <w:szCs w:val="24"/>
        </w:rPr>
        <w:t xml:space="preserve"> 2018 (2) ZLR </w:t>
      </w:r>
      <w:r w:rsidR="006E33E1">
        <w:rPr>
          <w:sz w:val="24"/>
          <w:szCs w:val="24"/>
        </w:rPr>
        <w:t>80 (S))</w:t>
      </w:r>
    </w:p>
    <w:p w14:paraId="4B987995" w14:textId="483A65CB" w:rsidR="00B60786" w:rsidRPr="006E33E1" w:rsidRDefault="009B144E" w:rsidP="006E33E1">
      <w:pPr>
        <w:pStyle w:val="ListParagraph"/>
        <w:numPr>
          <w:ilvl w:val="0"/>
          <w:numId w:val="3"/>
        </w:numPr>
        <w:spacing w:line="360" w:lineRule="auto"/>
        <w:jc w:val="both"/>
        <w:rPr>
          <w:color w:val="212529"/>
          <w:sz w:val="28"/>
          <w:szCs w:val="24"/>
          <w:shd w:val="clear" w:color="auto" w:fill="FFFFFF"/>
        </w:rPr>
      </w:pPr>
      <w:r w:rsidRPr="00B60786">
        <w:rPr>
          <w:sz w:val="24"/>
          <w:szCs w:val="24"/>
        </w:rPr>
        <w:t>What constitutes a direct and substantial interest</w:t>
      </w:r>
      <w:r w:rsidR="00B60786" w:rsidRPr="00B60786">
        <w:rPr>
          <w:sz w:val="24"/>
          <w:szCs w:val="24"/>
        </w:rPr>
        <w:t xml:space="preserve"> </w:t>
      </w:r>
      <w:r w:rsidR="006E33E1">
        <w:rPr>
          <w:sz w:val="24"/>
          <w:szCs w:val="24"/>
        </w:rPr>
        <w:t xml:space="preserve">had also been </w:t>
      </w:r>
      <w:r w:rsidR="00B60786" w:rsidRPr="00B60786">
        <w:rPr>
          <w:sz w:val="24"/>
          <w:szCs w:val="24"/>
        </w:rPr>
        <w:t xml:space="preserve">considered in an earlier case of </w:t>
      </w:r>
      <w:r w:rsidR="00B60786" w:rsidRPr="00B60786">
        <w:rPr>
          <w:i/>
          <w:iCs/>
          <w:color w:val="212529"/>
          <w:sz w:val="24"/>
          <w:szCs w:val="24"/>
          <w:shd w:val="clear" w:color="auto" w:fill="FFFFFF"/>
        </w:rPr>
        <w:t>Zimbabwe Teachers Association &amp; Ors</w:t>
      </w:r>
      <w:r w:rsidR="00B60786" w:rsidRPr="00B60786">
        <w:rPr>
          <w:color w:val="212529"/>
          <w:sz w:val="24"/>
          <w:szCs w:val="24"/>
          <w:shd w:val="clear" w:color="auto" w:fill="FFFFFF"/>
        </w:rPr>
        <w:t> v </w:t>
      </w:r>
      <w:r w:rsidR="00B60786" w:rsidRPr="00B60786">
        <w:rPr>
          <w:i/>
          <w:iCs/>
          <w:color w:val="212529"/>
          <w:sz w:val="24"/>
          <w:szCs w:val="24"/>
          <w:shd w:val="clear" w:color="auto" w:fill="FFFFFF"/>
        </w:rPr>
        <w:t>Minister of Education</w:t>
      </w:r>
      <w:r w:rsidR="00AB5F48">
        <w:rPr>
          <w:color w:val="212529"/>
          <w:sz w:val="24"/>
          <w:szCs w:val="24"/>
          <w:shd w:val="clear" w:color="auto" w:fill="FFFFFF"/>
        </w:rPr>
        <w:t xml:space="preserve"> 1990 (2) ZLR 48 (HC) </w:t>
      </w:r>
      <w:r w:rsidR="00B60786" w:rsidRPr="00B60786">
        <w:rPr>
          <w:color w:val="212529"/>
          <w:sz w:val="24"/>
          <w:szCs w:val="24"/>
          <w:shd w:val="clear" w:color="auto" w:fill="FFFFFF"/>
        </w:rPr>
        <w:t>and the court came to t</w:t>
      </w:r>
      <w:r w:rsidR="00AB5F48">
        <w:rPr>
          <w:color w:val="212529"/>
          <w:sz w:val="24"/>
          <w:szCs w:val="24"/>
          <w:shd w:val="clear" w:color="auto" w:fill="FFFFFF"/>
        </w:rPr>
        <w:t>he conclusion that it connotes</w:t>
      </w:r>
      <w:r w:rsidR="006E33E1">
        <w:rPr>
          <w:color w:val="212529"/>
          <w:sz w:val="24"/>
          <w:szCs w:val="24"/>
          <w:shd w:val="clear" w:color="auto" w:fill="FFFFFF"/>
        </w:rPr>
        <w:t xml:space="preserve"> </w:t>
      </w:r>
      <w:r w:rsidR="00AB5F48" w:rsidRPr="006E33E1">
        <w:rPr>
          <w:sz w:val="24"/>
          <w:szCs w:val="23"/>
        </w:rPr>
        <w:t>an interest in the right which is the subject-mat</w:t>
      </w:r>
      <w:r w:rsidR="006E33E1" w:rsidRPr="006E33E1">
        <w:rPr>
          <w:sz w:val="24"/>
          <w:szCs w:val="23"/>
        </w:rPr>
        <w:t xml:space="preserve">ter </w:t>
      </w:r>
      <w:r w:rsidR="006E33E1">
        <w:rPr>
          <w:sz w:val="24"/>
          <w:szCs w:val="23"/>
        </w:rPr>
        <w:t>of the litigation. A</w:t>
      </w:r>
      <w:r w:rsidR="00AB5F48" w:rsidRPr="006E33E1">
        <w:rPr>
          <w:sz w:val="24"/>
          <w:szCs w:val="23"/>
        </w:rPr>
        <w:t xml:space="preserve"> financial interest which is only an indir</w:t>
      </w:r>
      <w:r w:rsidR="006E33E1" w:rsidRPr="006E33E1">
        <w:rPr>
          <w:sz w:val="24"/>
          <w:szCs w:val="23"/>
        </w:rPr>
        <w:t>ect interest in such litigation</w:t>
      </w:r>
      <w:r w:rsidR="006E33E1">
        <w:rPr>
          <w:sz w:val="24"/>
          <w:szCs w:val="23"/>
        </w:rPr>
        <w:t xml:space="preserve"> does not meet the threshold of what constitutes a direct and substantial interest</w:t>
      </w:r>
      <w:r w:rsidR="006E33E1" w:rsidRPr="006E33E1">
        <w:rPr>
          <w:sz w:val="24"/>
          <w:szCs w:val="23"/>
        </w:rPr>
        <w:t xml:space="preserve">. </w:t>
      </w:r>
    </w:p>
    <w:p w14:paraId="337D187B" w14:textId="7B07C466" w:rsidR="00B60786" w:rsidRPr="00B60786" w:rsidRDefault="00B60786" w:rsidP="00B60786">
      <w:pPr>
        <w:pStyle w:val="ListParagraph"/>
        <w:numPr>
          <w:ilvl w:val="0"/>
          <w:numId w:val="3"/>
        </w:numPr>
        <w:spacing w:line="360" w:lineRule="auto"/>
        <w:jc w:val="both"/>
        <w:rPr>
          <w:color w:val="212529"/>
          <w:sz w:val="24"/>
          <w:szCs w:val="24"/>
          <w:shd w:val="clear" w:color="auto" w:fill="FFFFFF"/>
        </w:rPr>
      </w:pPr>
      <w:r w:rsidRPr="00B60786">
        <w:rPr>
          <w:color w:val="212529"/>
          <w:sz w:val="24"/>
          <w:szCs w:val="24"/>
          <w:shd w:val="clear" w:color="auto" w:fill="FFFFFF"/>
        </w:rPr>
        <w:t xml:space="preserve">In a more recent decision by </w:t>
      </w:r>
      <w:r w:rsidR="003E2430" w:rsidRPr="003E2430">
        <w:rPr>
          <w:smallCaps/>
          <w:color w:val="212529"/>
          <w:sz w:val="24"/>
          <w:szCs w:val="24"/>
          <w:shd w:val="clear" w:color="auto" w:fill="FFFFFF"/>
        </w:rPr>
        <w:t>Malaba Dcj</w:t>
      </w:r>
      <w:r w:rsidR="003E2430" w:rsidRPr="00B60786">
        <w:rPr>
          <w:color w:val="212529"/>
          <w:sz w:val="24"/>
          <w:szCs w:val="24"/>
          <w:shd w:val="clear" w:color="auto" w:fill="FFFFFF"/>
        </w:rPr>
        <w:t xml:space="preserve"> </w:t>
      </w:r>
      <w:r w:rsidRPr="00B60786">
        <w:rPr>
          <w:color w:val="212529"/>
          <w:sz w:val="24"/>
          <w:szCs w:val="24"/>
          <w:shd w:val="clear" w:color="auto" w:fill="FFFFFF"/>
        </w:rPr>
        <w:t xml:space="preserve">(as he then was) in </w:t>
      </w:r>
      <w:r w:rsidRPr="00B60786">
        <w:rPr>
          <w:i/>
          <w:color w:val="212529"/>
          <w:sz w:val="24"/>
          <w:szCs w:val="24"/>
          <w:shd w:val="clear" w:color="auto" w:fill="FFFFFF"/>
        </w:rPr>
        <w:t xml:space="preserve">Allied Bank Ltd </w:t>
      </w:r>
      <w:r w:rsidRPr="00B60786">
        <w:rPr>
          <w:color w:val="212529"/>
          <w:sz w:val="24"/>
          <w:szCs w:val="24"/>
          <w:shd w:val="clear" w:color="auto" w:fill="FFFFFF"/>
        </w:rPr>
        <w:t xml:space="preserve">v </w:t>
      </w:r>
      <w:r w:rsidRPr="00B60786">
        <w:rPr>
          <w:i/>
          <w:color w:val="212529"/>
          <w:sz w:val="24"/>
          <w:szCs w:val="24"/>
          <w:shd w:val="clear" w:color="auto" w:fill="FFFFFF"/>
        </w:rPr>
        <w:t xml:space="preserve">Dengu &amp; Anor </w:t>
      </w:r>
      <w:r w:rsidRPr="00B60786">
        <w:rPr>
          <w:color w:val="212529"/>
          <w:sz w:val="24"/>
          <w:szCs w:val="24"/>
          <w:shd w:val="clear" w:color="auto" w:fill="FFFFFF"/>
        </w:rPr>
        <w:t xml:space="preserve">2016 (2) ZLR 373 (S) the court elaborated on the issue further in the following </w:t>
      </w:r>
      <w:r w:rsidR="003E2430" w:rsidRPr="00B60786">
        <w:rPr>
          <w:color w:val="212529"/>
          <w:sz w:val="24"/>
          <w:szCs w:val="24"/>
          <w:shd w:val="clear" w:color="auto" w:fill="FFFFFF"/>
        </w:rPr>
        <w:t>terms: -</w:t>
      </w:r>
    </w:p>
    <w:p w14:paraId="6D85D4CF" w14:textId="227DC973" w:rsidR="00B60786" w:rsidRPr="00041E64" w:rsidRDefault="003E2430" w:rsidP="003E2430">
      <w:pPr>
        <w:pStyle w:val="NormalWeb"/>
        <w:shd w:val="clear" w:color="auto" w:fill="FFFFFF"/>
        <w:spacing w:before="0" w:beforeAutospacing="0" w:after="0" w:afterAutospacing="0"/>
        <w:ind w:left="1418" w:hanging="742"/>
        <w:jc w:val="both"/>
        <w:rPr>
          <w:color w:val="212529"/>
          <w:sz w:val="22"/>
          <w:szCs w:val="23"/>
        </w:rPr>
      </w:pPr>
      <w:r>
        <w:rPr>
          <w:color w:val="212529"/>
          <w:sz w:val="22"/>
          <w:szCs w:val="23"/>
        </w:rPr>
        <w:tab/>
      </w:r>
      <w:r w:rsidR="00041E64" w:rsidRPr="00041E64">
        <w:rPr>
          <w:color w:val="212529"/>
          <w:sz w:val="22"/>
          <w:szCs w:val="23"/>
        </w:rPr>
        <w:t>“</w:t>
      </w:r>
      <w:r w:rsidR="00B60786" w:rsidRPr="00041E64">
        <w:rPr>
          <w:color w:val="212529"/>
          <w:sz w:val="22"/>
          <w:szCs w:val="23"/>
        </w:rPr>
        <w:t>The principle of </w:t>
      </w:r>
      <w:r w:rsidR="00B60786" w:rsidRPr="00041E64">
        <w:rPr>
          <w:i/>
          <w:iCs/>
          <w:color w:val="212529"/>
          <w:sz w:val="22"/>
          <w:szCs w:val="23"/>
        </w:rPr>
        <w:t>locus standi</w:t>
      </w:r>
      <w:r w:rsidR="00B60786" w:rsidRPr="00041E64">
        <w:rPr>
          <w:color w:val="212529"/>
          <w:sz w:val="22"/>
          <w:szCs w:val="23"/>
        </w:rPr>
        <w:t> is concerned with the relationship between the cause of action and the relief sought. Once a party establishes that there is a cause of action and that he/she is entitled to the relief sought, he or she has </w:t>
      </w:r>
      <w:r w:rsidR="00B60786" w:rsidRPr="00041E64">
        <w:rPr>
          <w:i/>
          <w:iCs/>
          <w:color w:val="212529"/>
          <w:sz w:val="22"/>
          <w:szCs w:val="23"/>
        </w:rPr>
        <w:t>locus standi</w:t>
      </w:r>
      <w:r w:rsidR="00B60786" w:rsidRPr="00041E64">
        <w:rPr>
          <w:color w:val="212529"/>
          <w:sz w:val="22"/>
          <w:szCs w:val="23"/>
        </w:rPr>
        <w:t>. The plaintiff or applicant only has to show that he or she has direct and substantial interest in the right which is the subject-matter of the cause of action. In the case of </w:t>
      </w:r>
      <w:r w:rsidR="00B60786" w:rsidRPr="00041E64">
        <w:rPr>
          <w:i/>
          <w:iCs/>
          <w:color w:val="212529"/>
          <w:sz w:val="22"/>
          <w:szCs w:val="23"/>
        </w:rPr>
        <w:t>Ndlovu </w:t>
      </w:r>
      <w:r w:rsidR="00B60786" w:rsidRPr="00041E64">
        <w:rPr>
          <w:color w:val="212529"/>
          <w:sz w:val="22"/>
          <w:szCs w:val="23"/>
        </w:rPr>
        <w:t>v </w:t>
      </w:r>
      <w:r w:rsidR="00B60786" w:rsidRPr="00041E64">
        <w:rPr>
          <w:i/>
          <w:iCs/>
          <w:color w:val="212529"/>
          <w:sz w:val="22"/>
          <w:szCs w:val="23"/>
        </w:rPr>
        <w:t>Marufu </w:t>
      </w:r>
      <w:r w:rsidR="00B60786" w:rsidRPr="00041E64">
        <w:rPr>
          <w:color w:val="212529"/>
          <w:sz w:val="22"/>
          <w:szCs w:val="23"/>
        </w:rPr>
        <w:t>HH-480-15, the court had the following to say concerning the concept of </w:t>
      </w:r>
      <w:r w:rsidR="00B60786" w:rsidRPr="00041E64">
        <w:rPr>
          <w:i/>
          <w:iCs/>
          <w:color w:val="212529"/>
          <w:sz w:val="22"/>
          <w:szCs w:val="23"/>
        </w:rPr>
        <w:t>locus standi</w:t>
      </w:r>
      <w:r w:rsidR="00B60786" w:rsidRPr="00041E64">
        <w:rPr>
          <w:color w:val="212529"/>
          <w:sz w:val="22"/>
          <w:szCs w:val="23"/>
        </w:rPr>
        <w:t>:</w:t>
      </w:r>
    </w:p>
    <w:p w14:paraId="4241EC8E" w14:textId="77777777" w:rsidR="00B60786" w:rsidRPr="00041E64" w:rsidRDefault="00B60786" w:rsidP="003E2430">
      <w:pPr>
        <w:pStyle w:val="NormalWeb"/>
        <w:shd w:val="clear" w:color="auto" w:fill="FFFFFF"/>
        <w:spacing w:before="0" w:beforeAutospacing="0" w:after="0" w:afterAutospacing="0"/>
        <w:ind w:left="1418" w:firstLine="245"/>
        <w:jc w:val="both"/>
        <w:rPr>
          <w:color w:val="212529"/>
          <w:sz w:val="22"/>
          <w:szCs w:val="23"/>
        </w:rPr>
      </w:pPr>
    </w:p>
    <w:p w14:paraId="761CD807" w14:textId="2992D2A9" w:rsidR="00B60786" w:rsidRPr="00041E64" w:rsidRDefault="00B60786" w:rsidP="003E2430">
      <w:pPr>
        <w:pStyle w:val="NormalWeb"/>
        <w:shd w:val="clear" w:color="auto" w:fill="FFFFFF"/>
        <w:spacing w:before="0" w:beforeAutospacing="0" w:after="0" w:afterAutospacing="0"/>
        <w:ind w:left="1418"/>
        <w:jc w:val="both"/>
        <w:rPr>
          <w:color w:val="212529"/>
          <w:sz w:val="22"/>
          <w:szCs w:val="23"/>
        </w:rPr>
      </w:pPr>
      <w:r w:rsidRPr="00041E64">
        <w:rPr>
          <w:color w:val="212529"/>
          <w:sz w:val="22"/>
          <w:szCs w:val="23"/>
        </w:rPr>
        <w:t>“It is trite that </w:t>
      </w:r>
      <w:r w:rsidRPr="00041E64">
        <w:rPr>
          <w:i/>
          <w:iCs/>
          <w:color w:val="212529"/>
          <w:sz w:val="22"/>
          <w:szCs w:val="23"/>
        </w:rPr>
        <w:t>locus standi</w:t>
      </w:r>
      <w:r w:rsidRPr="00041E64">
        <w:rPr>
          <w:color w:val="212529"/>
          <w:sz w:val="22"/>
          <w:szCs w:val="23"/>
        </w:rPr>
        <w:t> exists when there is direct and substantial interest in the right which is the subject matter of the litigation and the outcome thereof. A person who has </w:t>
      </w:r>
      <w:r w:rsidRPr="00041E64">
        <w:rPr>
          <w:i/>
          <w:iCs/>
          <w:color w:val="212529"/>
          <w:sz w:val="22"/>
          <w:szCs w:val="23"/>
        </w:rPr>
        <w:t>locus standi</w:t>
      </w:r>
      <w:r w:rsidRPr="00041E64">
        <w:rPr>
          <w:color w:val="212529"/>
          <w:sz w:val="22"/>
          <w:szCs w:val="23"/>
        </w:rPr>
        <w:t> has a right to sue which is derived from the legal interest recognised by the law. In the case </w:t>
      </w:r>
      <w:r w:rsidRPr="00041E64">
        <w:rPr>
          <w:i/>
          <w:iCs/>
          <w:color w:val="212529"/>
          <w:sz w:val="22"/>
          <w:szCs w:val="23"/>
        </w:rPr>
        <w:t>of Stevenson </w:t>
      </w:r>
      <w:r w:rsidRPr="00041E64">
        <w:rPr>
          <w:color w:val="212529"/>
          <w:sz w:val="22"/>
          <w:szCs w:val="23"/>
        </w:rPr>
        <w:t>v</w:t>
      </w:r>
      <w:r w:rsidRPr="00041E64">
        <w:rPr>
          <w:i/>
          <w:iCs/>
          <w:color w:val="212529"/>
          <w:sz w:val="22"/>
          <w:szCs w:val="23"/>
        </w:rPr>
        <w:t> Minister of Local Government and National Housing and Ors</w:t>
      </w:r>
      <w:r w:rsidRPr="00041E64">
        <w:rPr>
          <w:color w:val="212529"/>
          <w:sz w:val="22"/>
          <w:szCs w:val="23"/>
        </w:rPr>
        <w:t> SC 38-02, the court in outlining </w:t>
      </w:r>
      <w:r w:rsidRPr="00041E64">
        <w:rPr>
          <w:i/>
          <w:iCs/>
          <w:color w:val="212529"/>
          <w:sz w:val="22"/>
          <w:szCs w:val="23"/>
        </w:rPr>
        <w:t>locus standi</w:t>
      </w:r>
      <w:r w:rsidRPr="00041E64">
        <w:rPr>
          <w:color w:val="212529"/>
          <w:sz w:val="22"/>
          <w:szCs w:val="23"/>
        </w:rPr>
        <w:t> </w:t>
      </w:r>
      <w:r w:rsidRPr="00041E64">
        <w:rPr>
          <w:i/>
          <w:iCs/>
          <w:color w:val="212529"/>
          <w:sz w:val="22"/>
          <w:szCs w:val="23"/>
        </w:rPr>
        <w:t>in judi</w:t>
      </w:r>
      <w:r w:rsidR="006E33E1">
        <w:rPr>
          <w:i/>
          <w:iCs/>
          <w:color w:val="212529"/>
          <w:sz w:val="22"/>
          <w:szCs w:val="23"/>
        </w:rPr>
        <w:t>ci</w:t>
      </w:r>
      <w:r w:rsidRPr="00041E64">
        <w:rPr>
          <w:i/>
          <w:iCs/>
          <w:color w:val="212529"/>
          <w:sz w:val="22"/>
          <w:szCs w:val="23"/>
        </w:rPr>
        <w:t>o</w:t>
      </w:r>
      <w:r w:rsidRPr="00041E64">
        <w:rPr>
          <w:color w:val="212529"/>
          <w:sz w:val="22"/>
          <w:szCs w:val="23"/>
        </w:rPr>
        <w:t> stated that in many cases the requisite interest or special reason entitling a party to bring legal proceedings has been described as “a real and substantial interest” or as a direct and substantial interest.”</w:t>
      </w:r>
    </w:p>
    <w:p w14:paraId="319B138B" w14:textId="77777777" w:rsidR="009B144E" w:rsidRDefault="009B144E" w:rsidP="009B144E">
      <w:pPr>
        <w:pStyle w:val="ListParagraph"/>
        <w:spacing w:line="360" w:lineRule="auto"/>
        <w:ind w:left="780"/>
        <w:jc w:val="both"/>
        <w:rPr>
          <w:sz w:val="24"/>
          <w:szCs w:val="24"/>
        </w:rPr>
      </w:pPr>
    </w:p>
    <w:p w14:paraId="50E97CF2" w14:textId="17FA2CC7" w:rsidR="003A7240" w:rsidRDefault="006E33E1" w:rsidP="006E33E1">
      <w:pPr>
        <w:pStyle w:val="ListParagraph"/>
        <w:numPr>
          <w:ilvl w:val="0"/>
          <w:numId w:val="3"/>
        </w:numPr>
        <w:spacing w:line="360" w:lineRule="auto"/>
        <w:jc w:val="both"/>
        <w:rPr>
          <w:sz w:val="24"/>
          <w:szCs w:val="24"/>
        </w:rPr>
      </w:pPr>
      <w:r>
        <w:rPr>
          <w:sz w:val="24"/>
          <w:szCs w:val="24"/>
        </w:rPr>
        <w:lastRenderedPageBreak/>
        <w:t xml:space="preserve">The present case involves a deceased estate. The issue of </w:t>
      </w:r>
      <w:r w:rsidRPr="006E33E1">
        <w:rPr>
          <w:i/>
          <w:sz w:val="24"/>
          <w:szCs w:val="24"/>
        </w:rPr>
        <w:t>locus standi</w:t>
      </w:r>
      <w:r>
        <w:rPr>
          <w:sz w:val="24"/>
          <w:szCs w:val="24"/>
        </w:rPr>
        <w:t xml:space="preserve"> in deceased estates has also been settled in this jurisdiction. In </w:t>
      </w:r>
      <w:r w:rsidR="00FF46A8">
        <w:rPr>
          <w:sz w:val="24"/>
          <w:szCs w:val="24"/>
        </w:rPr>
        <w:t xml:space="preserve">the case of </w:t>
      </w:r>
      <w:r w:rsidR="00FF46A8" w:rsidRPr="00A32DFF">
        <w:rPr>
          <w:i/>
          <w:sz w:val="24"/>
          <w:szCs w:val="24"/>
        </w:rPr>
        <w:t xml:space="preserve">Nyandoro </w:t>
      </w:r>
      <w:r w:rsidR="00FF46A8" w:rsidRPr="00A32DFF">
        <w:rPr>
          <w:sz w:val="24"/>
          <w:szCs w:val="24"/>
        </w:rPr>
        <w:t>v</w:t>
      </w:r>
      <w:r w:rsidR="00FF46A8" w:rsidRPr="00A32DFF">
        <w:rPr>
          <w:i/>
          <w:sz w:val="24"/>
          <w:szCs w:val="24"/>
        </w:rPr>
        <w:t xml:space="preserve"> Nyandoro </w:t>
      </w:r>
      <w:r w:rsidR="00A32DFF" w:rsidRPr="00A32DFF">
        <w:rPr>
          <w:i/>
          <w:sz w:val="24"/>
          <w:szCs w:val="24"/>
        </w:rPr>
        <w:t>&amp; Ors</w:t>
      </w:r>
      <w:r w:rsidR="00A32DFF">
        <w:rPr>
          <w:sz w:val="24"/>
          <w:szCs w:val="24"/>
        </w:rPr>
        <w:t xml:space="preserve"> 2</w:t>
      </w:r>
      <w:r>
        <w:rPr>
          <w:sz w:val="24"/>
          <w:szCs w:val="24"/>
        </w:rPr>
        <w:t xml:space="preserve">008 (2) ZLR 219 (H) it was held that: - </w:t>
      </w:r>
    </w:p>
    <w:p w14:paraId="7157949B" w14:textId="185CD541" w:rsidR="00A32DFF" w:rsidRPr="003E2430" w:rsidRDefault="00A32DFF" w:rsidP="003E2430">
      <w:pPr>
        <w:pStyle w:val="ListParagraph"/>
        <w:ind w:left="1440"/>
        <w:jc w:val="both"/>
        <w:rPr>
          <w:color w:val="FF0000"/>
          <w:sz w:val="24"/>
          <w:szCs w:val="24"/>
        </w:rPr>
      </w:pPr>
      <w:r w:rsidRPr="003E2430">
        <w:rPr>
          <w:sz w:val="24"/>
          <w:szCs w:val="24"/>
        </w:rPr>
        <w:t>“</w:t>
      </w:r>
      <w:r w:rsidRPr="003E2430">
        <w:rPr>
          <w:sz w:val="22"/>
          <w:szCs w:val="24"/>
        </w:rPr>
        <w:t xml:space="preserve">In </w:t>
      </w:r>
      <w:r w:rsidRPr="003E2430">
        <w:rPr>
          <w:i/>
          <w:iCs/>
          <w:sz w:val="22"/>
          <w:szCs w:val="24"/>
        </w:rPr>
        <w:t xml:space="preserve">Clarke </w:t>
      </w:r>
      <w:r w:rsidRPr="003E2430">
        <w:rPr>
          <w:sz w:val="22"/>
          <w:szCs w:val="24"/>
        </w:rPr>
        <w:t xml:space="preserve">v </w:t>
      </w:r>
      <w:r w:rsidRPr="003E2430">
        <w:rPr>
          <w:i/>
          <w:iCs/>
          <w:sz w:val="22"/>
          <w:szCs w:val="24"/>
        </w:rPr>
        <w:t xml:space="preserve">Barnacle NO &amp; Ors </w:t>
      </w:r>
      <w:r w:rsidRPr="003E2430">
        <w:rPr>
          <w:sz w:val="22"/>
          <w:szCs w:val="24"/>
        </w:rPr>
        <w:t xml:space="preserve">1958 R&amp;N 358 (SR) at 349B-350A </w:t>
      </w:r>
      <w:r w:rsidRPr="003E2430">
        <w:rPr>
          <w:smallCaps/>
          <w:sz w:val="22"/>
          <w:szCs w:val="24"/>
        </w:rPr>
        <w:t xml:space="preserve">Morton J </w:t>
      </w:r>
      <w:r w:rsidRPr="003E2430">
        <w:rPr>
          <w:sz w:val="22"/>
          <w:szCs w:val="24"/>
        </w:rPr>
        <w:t xml:space="preserve">stated the legal position that still obtains to this day in Zimbabwe. It is that “whether testate or intestate, an executor, either testamentary or dative, must be appointed…..so that the executor and he alone is looked upon as the person to represent the estate of the deceased person.” He left no doubt that towards the rest of the world the executor occupies the position of legal representative of the deceased with all the rights and obligations attaching to that position and that because a deceased’s estate is vested in the executor, he is the only person who has </w:t>
      </w:r>
      <w:r w:rsidRPr="003E2430">
        <w:rPr>
          <w:i/>
          <w:iCs/>
          <w:sz w:val="22"/>
          <w:szCs w:val="24"/>
        </w:rPr>
        <w:t xml:space="preserve">locus standi </w:t>
      </w:r>
      <w:r w:rsidRPr="003E2430">
        <w:rPr>
          <w:sz w:val="22"/>
          <w:szCs w:val="24"/>
        </w:rPr>
        <w:t>to bring a vindicatory action relative to property alleged to form part of the estate”</w:t>
      </w:r>
      <w:r w:rsidR="006E33E1" w:rsidRPr="003E2430">
        <w:rPr>
          <w:sz w:val="22"/>
          <w:szCs w:val="24"/>
        </w:rPr>
        <w:t xml:space="preserve"> </w:t>
      </w:r>
      <w:r w:rsidR="00C1332B" w:rsidRPr="003E2430">
        <w:rPr>
          <w:sz w:val="24"/>
          <w:szCs w:val="24"/>
        </w:rPr>
        <w:t>(at 222H-223B</w:t>
      </w:r>
      <w:r w:rsidR="006E33E1" w:rsidRPr="003E2430">
        <w:rPr>
          <w:sz w:val="24"/>
          <w:szCs w:val="24"/>
        </w:rPr>
        <w:t>)</w:t>
      </w:r>
    </w:p>
    <w:p w14:paraId="3ED188F6" w14:textId="77777777" w:rsidR="006E33E1" w:rsidRPr="006E33E1" w:rsidRDefault="006E33E1" w:rsidP="006E33E1">
      <w:pPr>
        <w:pStyle w:val="ListParagraph"/>
        <w:ind w:left="2160"/>
        <w:jc w:val="both"/>
        <w:rPr>
          <w:sz w:val="22"/>
          <w:szCs w:val="24"/>
        </w:rPr>
      </w:pPr>
    </w:p>
    <w:p w14:paraId="1C4CF211" w14:textId="77777777" w:rsidR="006E33E1" w:rsidRDefault="006E33E1" w:rsidP="00463AE4">
      <w:pPr>
        <w:pStyle w:val="ListParagraph"/>
        <w:numPr>
          <w:ilvl w:val="0"/>
          <w:numId w:val="3"/>
        </w:numPr>
        <w:spacing w:line="360" w:lineRule="auto"/>
        <w:jc w:val="both"/>
        <w:rPr>
          <w:sz w:val="24"/>
          <w:szCs w:val="24"/>
        </w:rPr>
      </w:pPr>
      <w:r>
        <w:rPr>
          <w:sz w:val="24"/>
          <w:szCs w:val="24"/>
        </w:rPr>
        <w:t xml:space="preserve">In </w:t>
      </w:r>
      <w:r w:rsidRPr="006E33E1">
        <w:rPr>
          <w:i/>
          <w:sz w:val="24"/>
          <w:szCs w:val="24"/>
        </w:rPr>
        <w:t xml:space="preserve">Sibanda </w:t>
      </w:r>
      <w:r w:rsidRPr="006E33E1">
        <w:rPr>
          <w:sz w:val="24"/>
          <w:szCs w:val="24"/>
        </w:rPr>
        <w:t>v</w:t>
      </w:r>
      <w:r w:rsidRPr="006E33E1">
        <w:rPr>
          <w:i/>
          <w:sz w:val="24"/>
          <w:szCs w:val="24"/>
        </w:rPr>
        <w:t xml:space="preserve"> Moyo &amp; 5 Ors</w:t>
      </w:r>
      <w:r>
        <w:rPr>
          <w:sz w:val="24"/>
          <w:szCs w:val="24"/>
        </w:rPr>
        <w:t xml:space="preserve"> HB 51/21, the court commented that: - </w:t>
      </w:r>
    </w:p>
    <w:p w14:paraId="259AC97C" w14:textId="359405AC" w:rsidR="006E33E1" w:rsidRDefault="006E33E1" w:rsidP="003E2430">
      <w:pPr>
        <w:pStyle w:val="ListParagraph"/>
        <w:ind w:left="1440"/>
        <w:jc w:val="both"/>
        <w:rPr>
          <w:sz w:val="24"/>
          <w:szCs w:val="24"/>
        </w:rPr>
      </w:pPr>
      <w:r>
        <w:rPr>
          <w:sz w:val="22"/>
          <w:szCs w:val="24"/>
        </w:rPr>
        <w:t>“</w:t>
      </w:r>
      <w:r w:rsidRPr="006E33E1">
        <w:rPr>
          <w:sz w:val="22"/>
          <w:szCs w:val="24"/>
        </w:rPr>
        <w:t>The position in our law is settled. In terms of section 25 of the Administration of Estates Act a deceased estate is represented by an executor or executrix duly appointed by the Master</w:t>
      </w:r>
      <w:r w:rsidRPr="00F93B9E">
        <w:rPr>
          <w:sz w:val="22"/>
          <w:szCs w:val="24"/>
        </w:rPr>
        <w:t xml:space="preserve">.” </w:t>
      </w:r>
      <w:r w:rsidRPr="00F93B9E">
        <w:rPr>
          <w:sz w:val="24"/>
          <w:szCs w:val="24"/>
        </w:rPr>
        <w:t>(at p</w:t>
      </w:r>
      <w:r w:rsidR="00F93B9E" w:rsidRPr="00F93B9E">
        <w:rPr>
          <w:sz w:val="24"/>
          <w:szCs w:val="24"/>
        </w:rPr>
        <w:t>3</w:t>
      </w:r>
      <w:r w:rsidRPr="00F93B9E">
        <w:rPr>
          <w:sz w:val="24"/>
          <w:szCs w:val="24"/>
        </w:rPr>
        <w:t xml:space="preserve"> of the cyclostyled judgment)</w:t>
      </w:r>
    </w:p>
    <w:p w14:paraId="3C9B589D" w14:textId="77777777" w:rsidR="003E2430" w:rsidRDefault="003E2430" w:rsidP="003E2430">
      <w:pPr>
        <w:pStyle w:val="ListParagraph"/>
        <w:ind w:left="2160"/>
        <w:jc w:val="both"/>
        <w:rPr>
          <w:sz w:val="24"/>
          <w:szCs w:val="24"/>
        </w:rPr>
      </w:pPr>
    </w:p>
    <w:p w14:paraId="2ED4E43A" w14:textId="2B773D37" w:rsidR="008324FF" w:rsidRDefault="00FA2C56" w:rsidP="006E33E1">
      <w:pPr>
        <w:pStyle w:val="ListParagraph"/>
        <w:numPr>
          <w:ilvl w:val="0"/>
          <w:numId w:val="3"/>
        </w:numPr>
        <w:spacing w:line="360" w:lineRule="auto"/>
        <w:jc w:val="both"/>
        <w:rPr>
          <w:sz w:val="24"/>
          <w:szCs w:val="24"/>
        </w:rPr>
      </w:pPr>
      <w:r>
        <w:rPr>
          <w:sz w:val="24"/>
          <w:szCs w:val="24"/>
        </w:rPr>
        <w:t xml:space="preserve">In </w:t>
      </w:r>
      <w:r w:rsidRPr="00FA2C56">
        <w:rPr>
          <w:i/>
          <w:sz w:val="24"/>
          <w:szCs w:val="24"/>
        </w:rPr>
        <w:t xml:space="preserve">Dongo </w:t>
      </w:r>
      <w:r w:rsidRPr="00FA2C56">
        <w:rPr>
          <w:sz w:val="24"/>
          <w:szCs w:val="24"/>
        </w:rPr>
        <w:t>v</w:t>
      </w:r>
      <w:r w:rsidRPr="00FA2C56">
        <w:rPr>
          <w:i/>
          <w:sz w:val="24"/>
          <w:szCs w:val="24"/>
        </w:rPr>
        <w:t xml:space="preserve"> Naik &amp; Ors</w:t>
      </w:r>
      <w:r>
        <w:rPr>
          <w:sz w:val="24"/>
          <w:szCs w:val="24"/>
        </w:rPr>
        <w:t xml:space="preserve"> 2020 (1) ZLR 647 (S) the Supreme Court observed that in a matter involving the </w:t>
      </w:r>
      <w:r w:rsidR="008324FF">
        <w:rPr>
          <w:sz w:val="24"/>
          <w:szCs w:val="24"/>
        </w:rPr>
        <w:t>administration</w:t>
      </w:r>
      <w:r>
        <w:rPr>
          <w:sz w:val="24"/>
          <w:szCs w:val="24"/>
        </w:rPr>
        <w:t xml:space="preserve"> of a deceased estate and the property thereunder, the condition precedent is that a party must be an interested person in the sense of having </w:t>
      </w:r>
      <w:r w:rsidR="00810C09">
        <w:rPr>
          <w:sz w:val="24"/>
          <w:szCs w:val="24"/>
        </w:rPr>
        <w:t xml:space="preserve">a </w:t>
      </w:r>
      <w:r>
        <w:rPr>
          <w:sz w:val="24"/>
          <w:szCs w:val="24"/>
        </w:rPr>
        <w:t xml:space="preserve">direct and substantial interest in the subject matter of the </w:t>
      </w:r>
      <w:r w:rsidR="008324FF">
        <w:rPr>
          <w:sz w:val="24"/>
          <w:szCs w:val="24"/>
        </w:rPr>
        <w:t>litigation</w:t>
      </w:r>
      <w:r>
        <w:rPr>
          <w:sz w:val="24"/>
          <w:szCs w:val="24"/>
        </w:rPr>
        <w:t>, namely the property or the administration of the estate as a whole, which interest could be prejudicially affected by a court’s judgment</w:t>
      </w:r>
      <w:r>
        <w:rPr>
          <w:rStyle w:val="FootnoteReference"/>
          <w:sz w:val="24"/>
          <w:szCs w:val="24"/>
        </w:rPr>
        <w:footnoteReference w:id="1"/>
      </w:r>
      <w:r>
        <w:rPr>
          <w:sz w:val="24"/>
          <w:szCs w:val="24"/>
        </w:rPr>
        <w:t xml:space="preserve">. </w:t>
      </w:r>
    </w:p>
    <w:p w14:paraId="2941434D" w14:textId="5214C1A0" w:rsidR="00BD5E53" w:rsidRPr="006E33E1" w:rsidRDefault="006E33E1" w:rsidP="006E33E1">
      <w:pPr>
        <w:pStyle w:val="ListParagraph"/>
        <w:numPr>
          <w:ilvl w:val="0"/>
          <w:numId w:val="3"/>
        </w:numPr>
        <w:spacing w:line="360" w:lineRule="auto"/>
        <w:jc w:val="both"/>
        <w:rPr>
          <w:sz w:val="24"/>
          <w:szCs w:val="24"/>
        </w:rPr>
      </w:pPr>
      <w:r w:rsidRPr="006E33E1">
        <w:rPr>
          <w:sz w:val="24"/>
          <w:szCs w:val="24"/>
        </w:rPr>
        <w:t>For completeness, it is also necessary to look at the provisions of the Act which the first respondent is relying on to motivate t</w:t>
      </w:r>
      <w:r w:rsidR="00127AA6">
        <w:rPr>
          <w:sz w:val="24"/>
          <w:szCs w:val="24"/>
        </w:rPr>
        <w:t>h</w:t>
      </w:r>
      <w:r w:rsidRPr="006E33E1">
        <w:rPr>
          <w:sz w:val="24"/>
          <w:szCs w:val="24"/>
        </w:rPr>
        <w:t xml:space="preserve">is court to make a finding that the applicant does not have </w:t>
      </w:r>
      <w:r w:rsidRPr="006E33E1">
        <w:rPr>
          <w:i/>
          <w:sz w:val="24"/>
          <w:szCs w:val="24"/>
        </w:rPr>
        <w:t>locus standi</w:t>
      </w:r>
      <w:r w:rsidRPr="006E33E1">
        <w:rPr>
          <w:sz w:val="24"/>
          <w:szCs w:val="24"/>
        </w:rPr>
        <w:t xml:space="preserve">. </w:t>
      </w:r>
      <w:r w:rsidR="00BD5E53" w:rsidRPr="006E33E1">
        <w:rPr>
          <w:sz w:val="24"/>
          <w:szCs w:val="24"/>
        </w:rPr>
        <w:t xml:space="preserve">S99 of the Act </w:t>
      </w:r>
      <w:r w:rsidR="00D563D4" w:rsidRPr="006E33E1">
        <w:rPr>
          <w:sz w:val="24"/>
          <w:szCs w:val="24"/>
        </w:rPr>
        <w:t xml:space="preserve">which the first respondent is relying on </w:t>
      </w:r>
      <w:r w:rsidR="00BD5E53" w:rsidRPr="006E33E1">
        <w:rPr>
          <w:sz w:val="24"/>
          <w:szCs w:val="24"/>
        </w:rPr>
        <w:t xml:space="preserve">provides </w:t>
      </w:r>
      <w:r w:rsidR="003E2430" w:rsidRPr="006E33E1">
        <w:rPr>
          <w:sz w:val="24"/>
          <w:szCs w:val="24"/>
        </w:rPr>
        <w:t>that: -</w:t>
      </w:r>
    </w:p>
    <w:p w14:paraId="227CF30B" w14:textId="5B17331E" w:rsidR="00BD5E53" w:rsidRPr="003E2430" w:rsidRDefault="003E2430" w:rsidP="003E2430">
      <w:pPr>
        <w:pStyle w:val="ListParagraph"/>
        <w:numPr>
          <w:ilvl w:val="0"/>
          <w:numId w:val="4"/>
        </w:numPr>
        <w:spacing w:after="240"/>
        <w:jc w:val="both"/>
        <w:rPr>
          <w:sz w:val="24"/>
          <w:szCs w:val="21"/>
        </w:rPr>
      </w:pPr>
      <w:r>
        <w:rPr>
          <w:sz w:val="22"/>
          <w:szCs w:val="21"/>
        </w:rPr>
        <w:t>“</w:t>
      </w:r>
      <w:r w:rsidR="00BD5E53" w:rsidRPr="00BD5E53">
        <w:rPr>
          <w:sz w:val="22"/>
          <w:szCs w:val="21"/>
        </w:rPr>
        <w:t xml:space="preserve">Subject to section </w:t>
      </w:r>
      <w:r w:rsidR="00BD5E53" w:rsidRPr="00BD5E53">
        <w:rPr>
          <w:i/>
          <w:iCs/>
          <w:sz w:val="22"/>
          <w:szCs w:val="21"/>
        </w:rPr>
        <w:t xml:space="preserve">eighty-nine </w:t>
      </w:r>
      <w:r w:rsidR="00BD5E53" w:rsidRPr="00BD5E53">
        <w:rPr>
          <w:sz w:val="22"/>
          <w:szCs w:val="21"/>
        </w:rPr>
        <w:t xml:space="preserve">and this Part, a council may impose a rate upon all </w:t>
      </w:r>
      <w:r w:rsidR="00BD5E53" w:rsidRPr="00D563D4">
        <w:rPr>
          <w:i/>
          <w:sz w:val="22"/>
          <w:szCs w:val="21"/>
        </w:rPr>
        <w:t>owners</w:t>
      </w:r>
      <w:r w:rsidR="00BD5E53" w:rsidRPr="00BD5E53">
        <w:rPr>
          <w:sz w:val="22"/>
          <w:szCs w:val="21"/>
        </w:rPr>
        <w:t xml:space="preserve"> of rateable p</w:t>
      </w:r>
      <w:r w:rsidR="00BD5E53">
        <w:rPr>
          <w:sz w:val="22"/>
          <w:szCs w:val="21"/>
        </w:rPr>
        <w:t>roperty within the council area….</w:t>
      </w:r>
      <w:r>
        <w:rPr>
          <w:sz w:val="22"/>
          <w:szCs w:val="21"/>
        </w:rPr>
        <w:t>”</w:t>
      </w:r>
      <w:r w:rsidR="00D563D4">
        <w:rPr>
          <w:sz w:val="22"/>
          <w:szCs w:val="21"/>
        </w:rPr>
        <w:t xml:space="preserve"> </w:t>
      </w:r>
      <w:r w:rsidR="00D563D4" w:rsidRPr="00D563D4">
        <w:rPr>
          <w:sz w:val="24"/>
          <w:szCs w:val="21"/>
        </w:rPr>
        <w:t>[emphasis added]</w:t>
      </w:r>
    </w:p>
    <w:p w14:paraId="4C98F2F8" w14:textId="29BDA73E" w:rsidR="00BD5E53" w:rsidRDefault="00710374" w:rsidP="00463AE4">
      <w:pPr>
        <w:pStyle w:val="Default"/>
        <w:numPr>
          <w:ilvl w:val="0"/>
          <w:numId w:val="3"/>
        </w:numPr>
      </w:pPr>
      <w:r>
        <w:t>S</w:t>
      </w:r>
      <w:r w:rsidR="00BD5E53" w:rsidRPr="00BD5E53">
        <w:t xml:space="preserve">109 </w:t>
      </w:r>
      <w:r w:rsidR="00BA0DA4">
        <w:t xml:space="preserve">of the </w:t>
      </w:r>
      <w:r w:rsidR="00BD5E53">
        <w:t>Act provides that</w:t>
      </w:r>
      <w:r w:rsidR="003E2430">
        <w:t>:</w:t>
      </w:r>
    </w:p>
    <w:p w14:paraId="13DB007C" w14:textId="77777777" w:rsidR="00BD5E53" w:rsidRDefault="00BD5E53" w:rsidP="00BD5E53">
      <w:pPr>
        <w:pStyle w:val="Default"/>
        <w:rPr>
          <w:sz w:val="21"/>
          <w:szCs w:val="21"/>
        </w:rPr>
      </w:pPr>
    </w:p>
    <w:p w14:paraId="5DFDCD88" w14:textId="22ADED30" w:rsidR="00BD5E53" w:rsidRPr="006E33E1" w:rsidRDefault="00BD5E53" w:rsidP="00BD5E53">
      <w:pPr>
        <w:pStyle w:val="Default"/>
        <w:ind w:left="1440"/>
        <w:jc w:val="both"/>
        <w:rPr>
          <w:sz w:val="22"/>
          <w:szCs w:val="21"/>
        </w:rPr>
      </w:pPr>
      <w:r w:rsidRPr="006E33E1">
        <w:rPr>
          <w:sz w:val="22"/>
          <w:szCs w:val="21"/>
        </w:rPr>
        <w:t xml:space="preserve">(1) No transfer of land shall be registered in, and no certificate of consolidated or registered title to any land shall be issued by, a Deeds Registry if the land concerned is in a council area, unless there is produced to a Registrar of Deeds a valid certificate issued in terms of this section by the council concerned stating— </w:t>
      </w:r>
    </w:p>
    <w:p w14:paraId="6CC2C9D2" w14:textId="77777777" w:rsidR="00BD5E53" w:rsidRPr="006E33E1" w:rsidRDefault="00BD5E53" w:rsidP="00BD5E53">
      <w:pPr>
        <w:pStyle w:val="Default"/>
        <w:ind w:left="1440"/>
        <w:jc w:val="both"/>
        <w:rPr>
          <w:sz w:val="22"/>
          <w:szCs w:val="21"/>
        </w:rPr>
      </w:pPr>
      <w:r w:rsidRPr="006E33E1">
        <w:rPr>
          <w:sz w:val="22"/>
          <w:szCs w:val="21"/>
        </w:rPr>
        <w:t>(</w:t>
      </w:r>
      <w:r w:rsidRPr="006E33E1">
        <w:rPr>
          <w:i/>
          <w:iCs/>
          <w:sz w:val="22"/>
          <w:szCs w:val="21"/>
        </w:rPr>
        <w:t>a</w:t>
      </w:r>
      <w:r w:rsidRPr="006E33E1">
        <w:rPr>
          <w:sz w:val="22"/>
          <w:szCs w:val="21"/>
        </w:rPr>
        <w:t xml:space="preserve">) that all charges made and imposed in respect of the land during the period of five years immediately preceding the date on which the certificate, in terms of subsection (3), ceases to be valid have been paid; or </w:t>
      </w:r>
    </w:p>
    <w:p w14:paraId="07C58151" w14:textId="77777777" w:rsidR="00BD5E53" w:rsidRPr="006E33E1" w:rsidRDefault="00BD5E53" w:rsidP="00BD5E53">
      <w:pPr>
        <w:pStyle w:val="Default"/>
        <w:ind w:left="1440"/>
        <w:jc w:val="both"/>
        <w:rPr>
          <w:sz w:val="22"/>
          <w:szCs w:val="21"/>
        </w:rPr>
      </w:pPr>
      <w:r w:rsidRPr="006E33E1">
        <w:rPr>
          <w:sz w:val="22"/>
          <w:szCs w:val="21"/>
        </w:rPr>
        <w:t>(</w:t>
      </w:r>
      <w:r w:rsidRPr="006E33E1">
        <w:rPr>
          <w:i/>
          <w:iCs/>
          <w:sz w:val="22"/>
          <w:szCs w:val="21"/>
        </w:rPr>
        <w:t>b</w:t>
      </w:r>
      <w:r w:rsidRPr="006E33E1">
        <w:rPr>
          <w:sz w:val="22"/>
          <w:szCs w:val="21"/>
        </w:rPr>
        <w:t xml:space="preserve">) where all or any of the charges imposed in respect of the land during the period of five years immediately preceding the date of issue of the certificate have not been paid, </w:t>
      </w:r>
      <w:r w:rsidRPr="006E33E1">
        <w:rPr>
          <w:sz w:val="22"/>
          <w:szCs w:val="21"/>
        </w:rPr>
        <w:lastRenderedPageBreak/>
        <w:t xml:space="preserve">that such charges have not been paid and that they are, in the opinion of the council, irrecoverable; </w:t>
      </w:r>
    </w:p>
    <w:p w14:paraId="43D6C0A9" w14:textId="456CC8F8" w:rsidR="006E33E1" w:rsidRPr="003E2430" w:rsidRDefault="00BD5E53" w:rsidP="003E2430">
      <w:pPr>
        <w:spacing w:after="240" w:line="360" w:lineRule="auto"/>
        <w:ind w:left="1440"/>
        <w:jc w:val="both"/>
        <w:rPr>
          <w:sz w:val="22"/>
          <w:szCs w:val="21"/>
        </w:rPr>
      </w:pPr>
      <w:r w:rsidRPr="006E33E1">
        <w:rPr>
          <w:sz w:val="22"/>
          <w:szCs w:val="21"/>
        </w:rPr>
        <w:t>as the case may be:…..</w:t>
      </w:r>
      <w:r w:rsidR="003E2430">
        <w:rPr>
          <w:sz w:val="22"/>
          <w:szCs w:val="21"/>
        </w:rPr>
        <w:t>”</w:t>
      </w:r>
    </w:p>
    <w:p w14:paraId="705A9333" w14:textId="16622CF6" w:rsidR="006E33E1" w:rsidRPr="003E2430" w:rsidRDefault="00710374" w:rsidP="006E33E1">
      <w:pPr>
        <w:pStyle w:val="ListParagraph"/>
        <w:numPr>
          <w:ilvl w:val="0"/>
          <w:numId w:val="3"/>
        </w:numPr>
        <w:spacing w:line="360" w:lineRule="auto"/>
        <w:jc w:val="both"/>
        <w:rPr>
          <w:sz w:val="32"/>
          <w:szCs w:val="24"/>
        </w:rPr>
      </w:pPr>
      <w:r>
        <w:rPr>
          <w:sz w:val="24"/>
          <w:szCs w:val="24"/>
        </w:rPr>
        <w:t xml:space="preserve">What emerges from the </w:t>
      </w:r>
      <w:r w:rsidR="00D563D4" w:rsidRPr="00710374">
        <w:rPr>
          <w:sz w:val="24"/>
          <w:szCs w:val="24"/>
        </w:rPr>
        <w:t>f</w:t>
      </w:r>
      <w:r>
        <w:rPr>
          <w:sz w:val="24"/>
          <w:szCs w:val="24"/>
        </w:rPr>
        <w:t xml:space="preserve">oregoing sections, is that </w:t>
      </w:r>
      <w:r w:rsidR="00D563D4" w:rsidRPr="00710374">
        <w:rPr>
          <w:sz w:val="24"/>
          <w:szCs w:val="24"/>
        </w:rPr>
        <w:t xml:space="preserve">the transfer of a property can only be done upon the production of a rates clearance certificate. </w:t>
      </w:r>
      <w:r>
        <w:rPr>
          <w:sz w:val="24"/>
          <w:szCs w:val="24"/>
        </w:rPr>
        <w:t>Liability to pay rates falls on</w:t>
      </w:r>
      <w:r w:rsidR="00BA0DA4" w:rsidRPr="00710374">
        <w:rPr>
          <w:sz w:val="24"/>
          <w:szCs w:val="24"/>
        </w:rPr>
        <w:t xml:space="preserve"> an owner of a rateable property. </w:t>
      </w:r>
      <w:r w:rsidR="00BA0DA4" w:rsidRPr="006E33E1">
        <w:rPr>
          <w:sz w:val="24"/>
          <w:szCs w:val="24"/>
        </w:rPr>
        <w:t xml:space="preserve">S95 of the Act defines an ‘owner’ for the purposes of </w:t>
      </w:r>
      <w:r w:rsidR="006E33E1">
        <w:rPr>
          <w:sz w:val="24"/>
          <w:szCs w:val="24"/>
        </w:rPr>
        <w:t xml:space="preserve">levies, rates and other charges as </w:t>
      </w:r>
      <w:r w:rsidR="00BA0DA4" w:rsidRPr="006E33E1">
        <w:rPr>
          <w:rFonts w:eastAsiaTheme="minorHAnsi"/>
          <w:color w:val="000000"/>
          <w:sz w:val="24"/>
          <w:szCs w:val="21"/>
          <w:lang w:eastAsia="en-US"/>
          <w14:ligatures w14:val="standardContextual"/>
        </w:rPr>
        <w:t>the person in whose name private land is registered in a Deeds Registry; or a person who is party to an agreement which, on the fulfilment by him of the conditions prescribed by such agreement, entitles him to obt</w:t>
      </w:r>
      <w:r w:rsidR="006E33E1" w:rsidRPr="006E33E1">
        <w:rPr>
          <w:rFonts w:eastAsiaTheme="minorHAnsi"/>
          <w:color w:val="000000"/>
          <w:sz w:val="24"/>
          <w:szCs w:val="21"/>
          <w:lang w:eastAsia="en-US"/>
          <w14:ligatures w14:val="standardContextual"/>
        </w:rPr>
        <w:t xml:space="preserve">ain transfer of private land, among others. </w:t>
      </w:r>
      <w:r w:rsidR="00BA0DA4" w:rsidRPr="006E33E1">
        <w:rPr>
          <w:rFonts w:eastAsiaTheme="minorHAnsi"/>
          <w:color w:val="000000"/>
          <w:sz w:val="24"/>
          <w:szCs w:val="21"/>
          <w:lang w:eastAsia="en-US"/>
          <w14:ligatures w14:val="standardContextual"/>
        </w:rPr>
        <w:t xml:space="preserve"> </w:t>
      </w:r>
    </w:p>
    <w:p w14:paraId="650CCF8D" w14:textId="4F6395C2" w:rsidR="006E33E1" w:rsidRPr="003E2430" w:rsidRDefault="003E2430" w:rsidP="006E33E1">
      <w:pPr>
        <w:spacing w:line="360" w:lineRule="auto"/>
        <w:jc w:val="both"/>
        <w:rPr>
          <w:b/>
          <w:sz w:val="24"/>
          <w:szCs w:val="24"/>
          <w:u w:val="single"/>
        </w:rPr>
      </w:pPr>
      <w:r>
        <w:rPr>
          <w:b/>
          <w:sz w:val="24"/>
          <w:szCs w:val="24"/>
        </w:rPr>
        <w:tab/>
      </w:r>
      <w:r w:rsidR="006E33E1" w:rsidRPr="003E2430">
        <w:rPr>
          <w:b/>
          <w:sz w:val="24"/>
          <w:szCs w:val="24"/>
          <w:u w:val="single"/>
        </w:rPr>
        <w:t>APPL</w:t>
      </w:r>
      <w:r w:rsidR="00986EA0" w:rsidRPr="003E2430">
        <w:rPr>
          <w:b/>
          <w:sz w:val="24"/>
          <w:szCs w:val="24"/>
          <w:u w:val="single"/>
        </w:rPr>
        <w:t>ICATION OF THE LAW TO THE FACTS</w:t>
      </w:r>
    </w:p>
    <w:p w14:paraId="37834178" w14:textId="2FFC13D0" w:rsidR="006E33E1" w:rsidRDefault="006E33E1" w:rsidP="00986EA0">
      <w:pPr>
        <w:pStyle w:val="ListParagraph"/>
        <w:numPr>
          <w:ilvl w:val="0"/>
          <w:numId w:val="3"/>
        </w:numPr>
        <w:spacing w:line="360" w:lineRule="auto"/>
        <w:jc w:val="both"/>
        <w:rPr>
          <w:sz w:val="24"/>
          <w:szCs w:val="24"/>
        </w:rPr>
      </w:pPr>
      <w:r w:rsidRPr="00710374">
        <w:rPr>
          <w:sz w:val="24"/>
          <w:szCs w:val="24"/>
        </w:rPr>
        <w:t>In</w:t>
      </w:r>
      <w:r w:rsidR="00986EA0">
        <w:rPr>
          <w:sz w:val="24"/>
          <w:szCs w:val="24"/>
        </w:rPr>
        <w:t xml:space="preserve"> </w:t>
      </w:r>
      <w:r w:rsidRPr="00710374">
        <w:rPr>
          <w:i/>
          <w:sz w:val="24"/>
          <w:szCs w:val="24"/>
        </w:rPr>
        <w:t>casu</w:t>
      </w:r>
      <w:r w:rsidR="00810C09">
        <w:rPr>
          <w:sz w:val="24"/>
          <w:szCs w:val="24"/>
        </w:rPr>
        <w:t xml:space="preserve">, </w:t>
      </w:r>
      <w:r w:rsidRPr="00710374">
        <w:rPr>
          <w:sz w:val="24"/>
          <w:szCs w:val="24"/>
        </w:rPr>
        <w:t xml:space="preserve">it is common cause </w:t>
      </w:r>
      <w:r w:rsidR="00986EA0">
        <w:rPr>
          <w:sz w:val="24"/>
          <w:szCs w:val="24"/>
        </w:rPr>
        <w:t xml:space="preserve">that </w:t>
      </w:r>
      <w:r w:rsidRPr="00710374">
        <w:rPr>
          <w:sz w:val="24"/>
          <w:szCs w:val="24"/>
        </w:rPr>
        <w:t>the applicant does</w:t>
      </w:r>
      <w:r w:rsidR="00810C09">
        <w:rPr>
          <w:sz w:val="24"/>
          <w:szCs w:val="24"/>
        </w:rPr>
        <w:t xml:space="preserve"> not yet hold title to the land. </w:t>
      </w:r>
      <w:r w:rsidRPr="00710374">
        <w:rPr>
          <w:sz w:val="24"/>
          <w:szCs w:val="24"/>
        </w:rPr>
        <w:t xml:space="preserve"> </w:t>
      </w:r>
      <w:r w:rsidR="00810C09">
        <w:rPr>
          <w:sz w:val="24"/>
          <w:szCs w:val="24"/>
        </w:rPr>
        <w:t>Looking at the provisions of the Act, he would not qualify as an o</w:t>
      </w:r>
      <w:r w:rsidR="00986EA0">
        <w:rPr>
          <w:sz w:val="24"/>
          <w:szCs w:val="24"/>
        </w:rPr>
        <w:t xml:space="preserve">wner </w:t>
      </w:r>
      <w:r w:rsidR="00CD7FA7">
        <w:rPr>
          <w:sz w:val="24"/>
          <w:szCs w:val="24"/>
        </w:rPr>
        <w:t xml:space="preserve">whose ownership is </w:t>
      </w:r>
      <w:r w:rsidR="00810C09">
        <w:rPr>
          <w:sz w:val="24"/>
          <w:szCs w:val="24"/>
        </w:rPr>
        <w:t>by virtue of registration of the stand in his name</w:t>
      </w:r>
      <w:r w:rsidR="00986EA0">
        <w:rPr>
          <w:sz w:val="24"/>
          <w:szCs w:val="24"/>
        </w:rPr>
        <w:t xml:space="preserve">. The </w:t>
      </w:r>
      <w:r w:rsidR="00810C09">
        <w:rPr>
          <w:sz w:val="24"/>
          <w:szCs w:val="24"/>
        </w:rPr>
        <w:t xml:space="preserve">second rung of ownership in terms of the Act is brought about by the terms and conditions of the </w:t>
      </w:r>
      <w:r>
        <w:rPr>
          <w:sz w:val="24"/>
          <w:szCs w:val="24"/>
        </w:rPr>
        <w:t>agreement of sale</w:t>
      </w:r>
      <w:r w:rsidR="00810C09">
        <w:rPr>
          <w:sz w:val="24"/>
          <w:szCs w:val="24"/>
        </w:rPr>
        <w:t>. The agreement of sale in this case</w:t>
      </w:r>
      <w:r>
        <w:rPr>
          <w:sz w:val="24"/>
          <w:szCs w:val="24"/>
        </w:rPr>
        <w:t xml:space="preserve"> does not prescribe any certain conditions upon whose fulfilment the applicant would be entitled to obtain title</w:t>
      </w:r>
      <w:r w:rsidR="00986EA0">
        <w:rPr>
          <w:sz w:val="24"/>
          <w:szCs w:val="24"/>
        </w:rPr>
        <w:t>. The applicant avers in his founding affidavit that the estate is lawfully up and he is now supposed to take title of the property. A reading of the agreement and the application shows that title would be obtained by way of a transfer of the stand from the deceased estate to the applicant.</w:t>
      </w:r>
      <w:r w:rsidR="000F0668">
        <w:rPr>
          <w:sz w:val="24"/>
          <w:szCs w:val="24"/>
        </w:rPr>
        <w:t xml:space="preserve"> </w:t>
      </w:r>
      <w:r w:rsidR="00810C09">
        <w:rPr>
          <w:sz w:val="24"/>
          <w:szCs w:val="24"/>
        </w:rPr>
        <w:t xml:space="preserve">In light of the above observations, </w:t>
      </w:r>
      <w:r w:rsidR="00986EA0">
        <w:rPr>
          <w:sz w:val="24"/>
          <w:szCs w:val="24"/>
        </w:rPr>
        <w:t xml:space="preserve">I am persuaded by the first respondent’s position that the applicant does not qualify as an ‘owner’ as envisaged by the Act. </w:t>
      </w:r>
    </w:p>
    <w:p w14:paraId="3E8B44B3" w14:textId="013F0A59" w:rsidR="00810C09" w:rsidRPr="00810C09" w:rsidRDefault="00986EA0" w:rsidP="00810C09">
      <w:pPr>
        <w:pStyle w:val="ListParagraph"/>
        <w:numPr>
          <w:ilvl w:val="0"/>
          <w:numId w:val="3"/>
        </w:numPr>
        <w:spacing w:line="360" w:lineRule="auto"/>
        <w:jc w:val="both"/>
        <w:rPr>
          <w:color w:val="FF0000"/>
          <w:sz w:val="24"/>
          <w:szCs w:val="24"/>
        </w:rPr>
      </w:pPr>
      <w:r>
        <w:rPr>
          <w:sz w:val="24"/>
          <w:szCs w:val="24"/>
        </w:rPr>
        <w:t xml:space="preserve">The stand in </w:t>
      </w:r>
      <w:r w:rsidRPr="00986EA0">
        <w:rPr>
          <w:i/>
          <w:sz w:val="24"/>
          <w:szCs w:val="24"/>
        </w:rPr>
        <w:t>casu</w:t>
      </w:r>
      <w:r>
        <w:rPr>
          <w:sz w:val="24"/>
          <w:szCs w:val="24"/>
        </w:rPr>
        <w:t xml:space="preserve"> is part of a deceased estate. An executor dative has been appointed to administer that estate. </w:t>
      </w:r>
      <w:r w:rsidR="00810C09">
        <w:rPr>
          <w:sz w:val="24"/>
          <w:szCs w:val="24"/>
        </w:rPr>
        <w:t xml:space="preserve">It is an established principle of our law that a deceased estate is properly represented by the executor dative. My finding is that in the present matter, it would have only been proper for the executor to seek the order being sought by the applicant. But that is not the end of the matter. There is another dimension which is brought about by the agreement of sale which would support that it was not the applicant’s call to seek the rate clearance certificate. </w:t>
      </w:r>
      <w:r w:rsidR="00AA39AF">
        <w:rPr>
          <w:sz w:val="24"/>
          <w:szCs w:val="24"/>
        </w:rPr>
        <w:t xml:space="preserve">It is this. The executor </w:t>
      </w:r>
      <w:r w:rsidR="00810C09">
        <w:rPr>
          <w:sz w:val="24"/>
          <w:szCs w:val="24"/>
        </w:rPr>
        <w:t xml:space="preserve">is the one who sold the stand to the applicant. The agreement of sale depicts the executor as the seller. It was a condition of the agreement of sale that the obligation to clear </w:t>
      </w:r>
      <w:r w:rsidR="00810C09" w:rsidRPr="00986EA0">
        <w:rPr>
          <w:sz w:val="24"/>
          <w:szCs w:val="24"/>
        </w:rPr>
        <w:t>arrear rates, water bills and electricity bill to local authority</w:t>
      </w:r>
      <w:r w:rsidR="00810C09">
        <w:rPr>
          <w:sz w:val="24"/>
          <w:szCs w:val="24"/>
        </w:rPr>
        <w:t xml:space="preserve"> fell on the seller</w:t>
      </w:r>
      <w:r w:rsidR="00810C09" w:rsidRPr="00986EA0">
        <w:rPr>
          <w:sz w:val="24"/>
          <w:szCs w:val="24"/>
        </w:rPr>
        <w:t>.</w:t>
      </w:r>
    </w:p>
    <w:p w14:paraId="1011EE89" w14:textId="7FD7619D" w:rsidR="00810C09" w:rsidRPr="00986EA0" w:rsidRDefault="00810C09" w:rsidP="00810C09">
      <w:pPr>
        <w:pStyle w:val="ListParagraph"/>
        <w:numPr>
          <w:ilvl w:val="0"/>
          <w:numId w:val="3"/>
        </w:numPr>
        <w:spacing w:line="360" w:lineRule="auto"/>
        <w:jc w:val="both"/>
        <w:rPr>
          <w:color w:val="FF0000"/>
          <w:sz w:val="24"/>
          <w:szCs w:val="24"/>
        </w:rPr>
      </w:pPr>
      <w:r w:rsidRPr="00986EA0">
        <w:rPr>
          <w:sz w:val="24"/>
          <w:szCs w:val="24"/>
        </w:rPr>
        <w:lastRenderedPageBreak/>
        <w:t xml:space="preserve"> From a reading of s109 of the Act, the purpose of a rates clearance certificate is to facilitate the transfer of title to land. A further reading of s109 shows that the certificate can only be issued after all charges made and imposed on rateable property have been made. </w:t>
      </w:r>
      <w:r>
        <w:rPr>
          <w:sz w:val="24"/>
          <w:szCs w:val="24"/>
        </w:rPr>
        <w:t>In terms of the agreement of sale</w:t>
      </w:r>
    </w:p>
    <w:p w14:paraId="1AF8AE2D" w14:textId="5D84BBD2" w:rsidR="00810C09" w:rsidRDefault="00810C09" w:rsidP="00810C09">
      <w:pPr>
        <w:pStyle w:val="ListParagraph"/>
        <w:numPr>
          <w:ilvl w:val="0"/>
          <w:numId w:val="3"/>
        </w:numPr>
        <w:spacing w:line="360" w:lineRule="auto"/>
        <w:jc w:val="both"/>
        <w:rPr>
          <w:sz w:val="24"/>
          <w:szCs w:val="24"/>
        </w:rPr>
      </w:pPr>
      <w:r>
        <w:rPr>
          <w:sz w:val="24"/>
          <w:szCs w:val="24"/>
        </w:rPr>
        <w:t xml:space="preserve">In my view, and as the name implies, a rates clearance certificate serves the purpose of proving that all rates have been cleared. It is the </w:t>
      </w:r>
      <w:r w:rsidRPr="00986EA0">
        <w:rPr>
          <w:i/>
          <w:sz w:val="24"/>
          <w:szCs w:val="24"/>
        </w:rPr>
        <w:t>prima facie</w:t>
      </w:r>
      <w:r>
        <w:rPr>
          <w:sz w:val="24"/>
          <w:szCs w:val="24"/>
        </w:rPr>
        <w:t xml:space="preserve"> proof that the rates have been paid for. For the reason that in terms of the agreement of sale the obligation to clear rates fell on the seller, it follows that he had the corresponding obligation to obtain the rates clearance certificate to prove that he had made met his side of the bargain. He is the one who was supposed to apply for the certificate and upon an unsuccessful attempt to do so, petition the court to compel the first respondent to issue the certificate. The applicant had no business applying for the rates clearance certificate. He equally had no business approaching the court in the manner he did. It was not his fight.  </w:t>
      </w:r>
    </w:p>
    <w:p w14:paraId="48264E9D" w14:textId="2C08374B" w:rsidR="00892BE5" w:rsidRPr="00C4205A" w:rsidRDefault="00810C09" w:rsidP="00892BE5">
      <w:pPr>
        <w:pStyle w:val="ListParagraph"/>
        <w:numPr>
          <w:ilvl w:val="0"/>
          <w:numId w:val="3"/>
        </w:numPr>
        <w:spacing w:line="360" w:lineRule="auto"/>
        <w:jc w:val="both"/>
        <w:rPr>
          <w:sz w:val="24"/>
          <w:szCs w:val="24"/>
        </w:rPr>
      </w:pPr>
      <w:r>
        <w:rPr>
          <w:sz w:val="24"/>
          <w:szCs w:val="24"/>
        </w:rPr>
        <w:t>If anything</w:t>
      </w:r>
      <w:r w:rsidR="00986EA0">
        <w:rPr>
          <w:sz w:val="24"/>
          <w:szCs w:val="24"/>
        </w:rPr>
        <w:t>, the execu</w:t>
      </w:r>
      <w:r>
        <w:rPr>
          <w:sz w:val="24"/>
          <w:szCs w:val="24"/>
        </w:rPr>
        <w:t xml:space="preserve">tor is conspicuous by his absence in the present proceedings. </w:t>
      </w:r>
      <w:r w:rsidR="00AA39AF">
        <w:rPr>
          <w:sz w:val="24"/>
          <w:szCs w:val="24"/>
        </w:rPr>
        <w:t xml:space="preserve">He </w:t>
      </w:r>
      <w:r w:rsidR="008324FF">
        <w:rPr>
          <w:sz w:val="24"/>
          <w:szCs w:val="24"/>
        </w:rPr>
        <w:t>is not a party to these proceedings</w:t>
      </w:r>
      <w:r w:rsidR="00C37C41">
        <w:rPr>
          <w:sz w:val="24"/>
          <w:szCs w:val="24"/>
        </w:rPr>
        <w:t>. On the face of it, it w</w:t>
      </w:r>
      <w:r w:rsidR="00AA39AF">
        <w:rPr>
          <w:sz w:val="24"/>
          <w:szCs w:val="24"/>
        </w:rPr>
        <w:t xml:space="preserve">ould appear that the executor </w:t>
      </w:r>
      <w:r w:rsidR="00C37C41">
        <w:rPr>
          <w:sz w:val="24"/>
          <w:szCs w:val="24"/>
        </w:rPr>
        <w:t xml:space="preserve">has washed his hands off this matter. However, a closer look at the pleadings will reveal </w:t>
      </w:r>
      <w:r w:rsidR="00E012A3">
        <w:rPr>
          <w:sz w:val="24"/>
          <w:szCs w:val="24"/>
        </w:rPr>
        <w:t xml:space="preserve">otherwise. It would appear that the executor’s firm has become entangled in this transaction in a manner </w:t>
      </w:r>
      <w:r w:rsidR="00AA39AF">
        <w:rPr>
          <w:sz w:val="24"/>
          <w:szCs w:val="24"/>
        </w:rPr>
        <w:t>t</w:t>
      </w:r>
      <w:r w:rsidR="00E012A3">
        <w:rPr>
          <w:sz w:val="24"/>
          <w:szCs w:val="24"/>
        </w:rPr>
        <w:t xml:space="preserve">hat </w:t>
      </w:r>
      <w:r w:rsidR="008324FF">
        <w:rPr>
          <w:sz w:val="24"/>
          <w:szCs w:val="24"/>
        </w:rPr>
        <w:t>betrays a conflict of interest.</w:t>
      </w:r>
      <w:r w:rsidR="00E012A3">
        <w:rPr>
          <w:sz w:val="24"/>
          <w:szCs w:val="24"/>
        </w:rPr>
        <w:t xml:space="preserve"> My reasons are that- a</w:t>
      </w:r>
      <w:r w:rsidR="008324FF">
        <w:rPr>
          <w:sz w:val="24"/>
          <w:szCs w:val="24"/>
        </w:rPr>
        <w:t xml:space="preserve">t the time of the execution of the agreement of sale, the executor dative’s </w:t>
      </w:r>
      <w:r w:rsidR="00FF45AA">
        <w:rPr>
          <w:sz w:val="24"/>
          <w:szCs w:val="24"/>
        </w:rPr>
        <w:t xml:space="preserve">address </w:t>
      </w:r>
      <w:r w:rsidR="008324FF">
        <w:rPr>
          <w:sz w:val="24"/>
          <w:szCs w:val="24"/>
        </w:rPr>
        <w:t xml:space="preserve">was </w:t>
      </w:r>
      <w:r w:rsidR="008324FF" w:rsidRPr="008324FF">
        <w:rPr>
          <w:i/>
          <w:sz w:val="24"/>
          <w:szCs w:val="24"/>
        </w:rPr>
        <w:t>Hungwe and Partners</w:t>
      </w:r>
      <w:r w:rsidR="008324FF">
        <w:rPr>
          <w:sz w:val="24"/>
          <w:szCs w:val="24"/>
        </w:rPr>
        <w:t xml:space="preserve">. According to the agreement of sale, the same law firm would handle the transfer of the stand. </w:t>
      </w:r>
      <w:r w:rsidR="00E012A3">
        <w:rPr>
          <w:sz w:val="24"/>
          <w:szCs w:val="24"/>
        </w:rPr>
        <w:t xml:space="preserve">The same law firm is </w:t>
      </w:r>
      <w:r w:rsidR="00892BE5">
        <w:rPr>
          <w:sz w:val="24"/>
          <w:szCs w:val="24"/>
        </w:rPr>
        <w:t xml:space="preserve">now </w:t>
      </w:r>
      <w:r w:rsidR="00E012A3">
        <w:rPr>
          <w:sz w:val="24"/>
          <w:szCs w:val="24"/>
        </w:rPr>
        <w:t xml:space="preserve">appearing in this matter as the applicant’s legal practitioners. </w:t>
      </w:r>
      <w:r w:rsidR="00B926D7">
        <w:rPr>
          <w:sz w:val="24"/>
          <w:szCs w:val="24"/>
        </w:rPr>
        <w:t>It is not clear at which po</w:t>
      </w:r>
      <w:r w:rsidR="00892BE5">
        <w:rPr>
          <w:sz w:val="24"/>
          <w:szCs w:val="24"/>
        </w:rPr>
        <w:t>int the law firm crossed floors</w:t>
      </w:r>
      <w:r w:rsidR="00B926D7">
        <w:rPr>
          <w:sz w:val="24"/>
          <w:szCs w:val="24"/>
        </w:rPr>
        <w:t xml:space="preserve"> </w:t>
      </w:r>
      <w:r w:rsidR="00E012A3">
        <w:rPr>
          <w:sz w:val="24"/>
          <w:szCs w:val="24"/>
        </w:rPr>
        <w:t xml:space="preserve">to become the purchaser’s legal practitioners. This state of affairs is not only undesirable but also raises a question on whose interests the law firm is actually protecting. </w:t>
      </w:r>
      <w:r w:rsidR="00AA39AF">
        <w:rPr>
          <w:sz w:val="24"/>
          <w:szCs w:val="24"/>
        </w:rPr>
        <w:t>My view finds support</w:t>
      </w:r>
      <w:r w:rsidR="00E012A3">
        <w:rPr>
          <w:sz w:val="24"/>
          <w:szCs w:val="24"/>
        </w:rPr>
        <w:t xml:space="preserve"> </w:t>
      </w:r>
      <w:r w:rsidR="00AA39AF">
        <w:rPr>
          <w:sz w:val="24"/>
          <w:szCs w:val="24"/>
        </w:rPr>
        <w:t xml:space="preserve">in the </w:t>
      </w:r>
      <w:r>
        <w:rPr>
          <w:sz w:val="24"/>
          <w:szCs w:val="24"/>
        </w:rPr>
        <w:t>applicant</w:t>
      </w:r>
      <w:r w:rsidR="00AA39AF">
        <w:rPr>
          <w:sz w:val="24"/>
          <w:szCs w:val="24"/>
        </w:rPr>
        <w:t xml:space="preserve">’s </w:t>
      </w:r>
      <w:r w:rsidR="00E012A3">
        <w:rPr>
          <w:sz w:val="24"/>
          <w:szCs w:val="24"/>
        </w:rPr>
        <w:t xml:space="preserve">argument in his heads to the effect </w:t>
      </w:r>
      <w:r w:rsidR="00E012A3" w:rsidRPr="00C4205A">
        <w:rPr>
          <w:sz w:val="24"/>
          <w:szCs w:val="24"/>
        </w:rPr>
        <w:t xml:space="preserve">that </w:t>
      </w:r>
      <w:r w:rsidRPr="00C4205A">
        <w:rPr>
          <w:sz w:val="24"/>
          <w:szCs w:val="24"/>
        </w:rPr>
        <w:t>‘</w:t>
      </w:r>
      <w:r w:rsidR="00FF45AA" w:rsidRPr="00C4205A">
        <w:rPr>
          <w:sz w:val="24"/>
          <w:szCs w:val="24"/>
        </w:rPr>
        <w:t xml:space="preserve">transfer </w:t>
      </w:r>
      <w:r w:rsidR="00FF45AA" w:rsidRPr="00C4205A">
        <w:rPr>
          <w:rFonts w:eastAsiaTheme="minorHAnsi"/>
          <w:sz w:val="24"/>
          <w:szCs w:val="24"/>
          <w:lang w:eastAsia="en-US"/>
          <w14:ligatures w14:val="standardContextual"/>
        </w:rPr>
        <w:t xml:space="preserve">must be done so that estate funds can be distributed to beneficiaries, inflation is sky rocketing and the purchase price is being erode daily much to the prejudice of the beneficiaries.’ </w:t>
      </w:r>
      <w:r w:rsidRPr="00C4205A">
        <w:rPr>
          <w:rFonts w:eastAsiaTheme="minorHAnsi"/>
          <w:sz w:val="24"/>
          <w:szCs w:val="24"/>
          <w:lang w:eastAsia="en-US"/>
          <w14:ligatures w14:val="standardContextual"/>
        </w:rPr>
        <w:t xml:space="preserve">The applicant does not </w:t>
      </w:r>
      <w:r w:rsidR="00E012A3" w:rsidRPr="00C4205A">
        <w:rPr>
          <w:rFonts w:eastAsiaTheme="minorHAnsi"/>
          <w:sz w:val="24"/>
          <w:szCs w:val="24"/>
          <w:lang w:eastAsia="en-US"/>
          <w14:ligatures w14:val="standardContextual"/>
        </w:rPr>
        <w:t xml:space="preserve">explain on what basis he is </w:t>
      </w:r>
      <w:r w:rsidR="00892BE5" w:rsidRPr="00C4205A">
        <w:rPr>
          <w:rFonts w:eastAsiaTheme="minorHAnsi"/>
          <w:sz w:val="24"/>
          <w:szCs w:val="24"/>
          <w:lang w:eastAsia="en-US"/>
          <w14:ligatures w14:val="standardContextual"/>
        </w:rPr>
        <w:t xml:space="preserve">makes this submission and </w:t>
      </w:r>
      <w:r w:rsidR="00E012A3" w:rsidRPr="00C4205A">
        <w:rPr>
          <w:rFonts w:eastAsiaTheme="minorHAnsi"/>
          <w:sz w:val="24"/>
          <w:szCs w:val="24"/>
          <w:lang w:eastAsia="en-US"/>
          <w14:ligatures w14:val="standardContextual"/>
        </w:rPr>
        <w:t>fighting from the estates’ beneficiaries’ corner. He is not the executor.</w:t>
      </w:r>
      <w:r w:rsidR="00C4205A" w:rsidRPr="00C4205A">
        <w:rPr>
          <w:rFonts w:eastAsiaTheme="minorHAnsi"/>
          <w:sz w:val="24"/>
          <w:szCs w:val="24"/>
          <w:lang w:eastAsia="en-US"/>
          <w14:ligatures w14:val="standardContextual"/>
        </w:rPr>
        <w:t xml:space="preserve"> </w:t>
      </w:r>
      <w:r w:rsidR="00E012A3" w:rsidRPr="00C4205A">
        <w:rPr>
          <w:rFonts w:eastAsiaTheme="minorHAnsi"/>
          <w:sz w:val="24"/>
          <w:szCs w:val="24"/>
          <w:lang w:eastAsia="en-US"/>
          <w14:ligatures w14:val="standardContextual"/>
        </w:rPr>
        <w:t>The estate has a duly appointed executor who is supposed to represent the interests of the estate</w:t>
      </w:r>
      <w:r w:rsidR="00892BE5" w:rsidRPr="00C4205A">
        <w:rPr>
          <w:rFonts w:eastAsiaTheme="minorHAnsi"/>
          <w:sz w:val="24"/>
          <w:szCs w:val="24"/>
          <w:lang w:eastAsia="en-US"/>
          <w14:ligatures w14:val="standardContextual"/>
        </w:rPr>
        <w:t xml:space="preserve"> and its beneficiaries</w:t>
      </w:r>
      <w:r w:rsidR="00E012A3" w:rsidRPr="00C4205A">
        <w:rPr>
          <w:rFonts w:eastAsiaTheme="minorHAnsi"/>
          <w:sz w:val="24"/>
          <w:szCs w:val="24"/>
          <w:lang w:eastAsia="en-US"/>
          <w14:ligatures w14:val="standardContextual"/>
        </w:rPr>
        <w:t xml:space="preserve">. </w:t>
      </w:r>
    </w:p>
    <w:p w14:paraId="0177DA36" w14:textId="2A2F63BE" w:rsidR="00AA39AF" w:rsidRDefault="00AA39AF" w:rsidP="00AA39AF">
      <w:pPr>
        <w:pStyle w:val="ListParagraph"/>
        <w:numPr>
          <w:ilvl w:val="0"/>
          <w:numId w:val="3"/>
        </w:numPr>
        <w:spacing w:line="360" w:lineRule="auto"/>
        <w:jc w:val="both"/>
        <w:rPr>
          <w:sz w:val="24"/>
          <w:szCs w:val="24"/>
        </w:rPr>
      </w:pPr>
      <w:r>
        <w:rPr>
          <w:sz w:val="24"/>
          <w:szCs w:val="24"/>
        </w:rPr>
        <w:lastRenderedPageBreak/>
        <w:t xml:space="preserve">This brings me to the applicant’s position. He argues that because he has an agreement of </w:t>
      </w:r>
      <w:r w:rsidR="00216676">
        <w:rPr>
          <w:sz w:val="24"/>
          <w:szCs w:val="24"/>
        </w:rPr>
        <w:t>sale, that</w:t>
      </w:r>
      <w:r>
        <w:rPr>
          <w:sz w:val="24"/>
          <w:szCs w:val="24"/>
        </w:rPr>
        <w:t xml:space="preserve"> entitles him to enforce his rights to the property against the first respondent or against anyone else for that matter. That argument does not find support in the law. The applicant’s right to the stand arises from a contract. It is a personal right. It cannot be enforced against anyone else with whom the applicant did not contract. The applicant can only enforce his rights against the seller of the stand and not against anyone else. The applicant can therefore not argue that he has </w:t>
      </w:r>
      <w:r w:rsidRPr="00315B60">
        <w:rPr>
          <w:i/>
          <w:sz w:val="24"/>
          <w:szCs w:val="24"/>
        </w:rPr>
        <w:t>locus standi</w:t>
      </w:r>
      <w:r>
        <w:rPr>
          <w:sz w:val="24"/>
          <w:szCs w:val="24"/>
        </w:rPr>
        <w:t xml:space="preserve"> to sue the first respondent on the basis of the agreement of sale. </w:t>
      </w:r>
      <w:r w:rsidRPr="00FA2C56">
        <w:rPr>
          <w:sz w:val="24"/>
          <w:szCs w:val="24"/>
        </w:rPr>
        <w:t>His personal right does not clothe him with the requisite legally recognised interest which would entitle him to seek the relief he is seeking against the first respondent</w:t>
      </w:r>
      <w:r>
        <w:rPr>
          <w:sz w:val="24"/>
          <w:szCs w:val="24"/>
        </w:rPr>
        <w:t xml:space="preserve">. </w:t>
      </w:r>
      <w:r w:rsidRPr="00FA2C56">
        <w:rPr>
          <w:sz w:val="24"/>
          <w:szCs w:val="24"/>
        </w:rPr>
        <w:t xml:space="preserve"> </w:t>
      </w:r>
    </w:p>
    <w:p w14:paraId="02B3AF00" w14:textId="57A021C4" w:rsidR="00892BE5" w:rsidRPr="00892BE5" w:rsidRDefault="00892BE5" w:rsidP="00892BE5">
      <w:pPr>
        <w:pStyle w:val="ListParagraph"/>
        <w:numPr>
          <w:ilvl w:val="0"/>
          <w:numId w:val="3"/>
        </w:numPr>
        <w:spacing w:line="360" w:lineRule="auto"/>
        <w:jc w:val="both"/>
        <w:rPr>
          <w:sz w:val="24"/>
          <w:szCs w:val="24"/>
        </w:rPr>
      </w:pPr>
      <w:r>
        <w:rPr>
          <w:sz w:val="24"/>
          <w:szCs w:val="24"/>
        </w:rPr>
        <w:t xml:space="preserve">For the foregoing reasons, the applicant cannot successfully argue that he has a direct and substantial interest in the matter. He is not yet the owner of the property. He is not a beneficiary to the estate. He is not a creditor to the estate. He is not the executor to the estate. At best, he only has a financial interest in the matter flowing from his transaction post the administration of the estate. </w:t>
      </w:r>
    </w:p>
    <w:p w14:paraId="0B7222BC" w14:textId="7E63F255" w:rsidR="006558CF" w:rsidRPr="00216676" w:rsidRDefault="006558CF" w:rsidP="006558CF">
      <w:pPr>
        <w:pStyle w:val="ListParagraph"/>
        <w:spacing w:line="360" w:lineRule="auto"/>
        <w:ind w:left="780"/>
        <w:jc w:val="both"/>
        <w:rPr>
          <w:b/>
          <w:sz w:val="24"/>
          <w:szCs w:val="24"/>
          <w:u w:val="single"/>
        </w:rPr>
      </w:pPr>
      <w:r w:rsidRPr="00216676">
        <w:rPr>
          <w:b/>
          <w:sz w:val="24"/>
          <w:szCs w:val="24"/>
          <w:u w:val="single"/>
        </w:rPr>
        <w:t>DISPOSITION</w:t>
      </w:r>
    </w:p>
    <w:p w14:paraId="366D92E3" w14:textId="768DF229" w:rsidR="006558CF" w:rsidRDefault="006558CF" w:rsidP="006558CF">
      <w:pPr>
        <w:pStyle w:val="ListParagraph"/>
        <w:numPr>
          <w:ilvl w:val="0"/>
          <w:numId w:val="3"/>
        </w:numPr>
        <w:spacing w:line="360" w:lineRule="auto"/>
        <w:jc w:val="both"/>
        <w:rPr>
          <w:sz w:val="24"/>
          <w:szCs w:val="24"/>
        </w:rPr>
      </w:pPr>
      <w:r>
        <w:rPr>
          <w:sz w:val="24"/>
          <w:szCs w:val="24"/>
        </w:rPr>
        <w:t xml:space="preserve">In conclusion, the applicant has not shown the court that he has </w:t>
      </w:r>
      <w:r w:rsidRPr="00C1332B">
        <w:rPr>
          <w:i/>
          <w:sz w:val="24"/>
          <w:szCs w:val="24"/>
        </w:rPr>
        <w:t>locus standi</w:t>
      </w:r>
      <w:r>
        <w:rPr>
          <w:sz w:val="24"/>
          <w:szCs w:val="24"/>
        </w:rPr>
        <w:t xml:space="preserve"> in the present matter. </w:t>
      </w:r>
    </w:p>
    <w:p w14:paraId="3DD2F686" w14:textId="3BE6693A" w:rsidR="004913E8" w:rsidRDefault="00C23122" w:rsidP="00775261">
      <w:pPr>
        <w:pStyle w:val="ListParagraph"/>
        <w:numPr>
          <w:ilvl w:val="0"/>
          <w:numId w:val="3"/>
        </w:numPr>
        <w:spacing w:line="360" w:lineRule="auto"/>
        <w:jc w:val="both"/>
        <w:rPr>
          <w:sz w:val="24"/>
          <w:szCs w:val="24"/>
        </w:rPr>
      </w:pPr>
      <w:r w:rsidRPr="006558CF">
        <w:rPr>
          <w:sz w:val="24"/>
          <w:szCs w:val="24"/>
        </w:rPr>
        <w:t xml:space="preserve">With respect to costs, it is </w:t>
      </w:r>
      <w:r w:rsidR="00543F64" w:rsidRPr="006558CF">
        <w:rPr>
          <w:sz w:val="24"/>
          <w:szCs w:val="24"/>
        </w:rPr>
        <w:t>my opinion</w:t>
      </w:r>
      <w:r w:rsidRPr="006558CF">
        <w:rPr>
          <w:sz w:val="24"/>
          <w:szCs w:val="24"/>
        </w:rPr>
        <w:t xml:space="preserve"> </w:t>
      </w:r>
      <w:r w:rsidR="00421468">
        <w:rPr>
          <w:sz w:val="24"/>
          <w:szCs w:val="24"/>
        </w:rPr>
        <w:t>costs</w:t>
      </w:r>
      <w:r w:rsidRPr="006558CF">
        <w:rPr>
          <w:sz w:val="24"/>
          <w:szCs w:val="24"/>
        </w:rPr>
        <w:t xml:space="preserve"> on an ordinary scale are reasonably sufficient to meet the expenses incurred by the </w:t>
      </w:r>
      <w:r w:rsidR="006558CF">
        <w:rPr>
          <w:sz w:val="24"/>
          <w:szCs w:val="24"/>
        </w:rPr>
        <w:t xml:space="preserve">first respondent </w:t>
      </w:r>
      <w:r w:rsidRPr="006558CF">
        <w:rPr>
          <w:sz w:val="24"/>
          <w:szCs w:val="24"/>
        </w:rPr>
        <w:t xml:space="preserve">in defending this matter. </w:t>
      </w:r>
    </w:p>
    <w:p w14:paraId="1FA0A498" w14:textId="10CA2AC6" w:rsidR="00C1332B" w:rsidRDefault="00C1332B" w:rsidP="00C1332B">
      <w:pPr>
        <w:pStyle w:val="ListParagraph"/>
        <w:numPr>
          <w:ilvl w:val="0"/>
          <w:numId w:val="3"/>
        </w:numPr>
        <w:spacing w:line="360" w:lineRule="auto"/>
        <w:jc w:val="both"/>
        <w:rPr>
          <w:sz w:val="24"/>
          <w:szCs w:val="24"/>
        </w:rPr>
      </w:pPr>
      <w:r>
        <w:rPr>
          <w:sz w:val="24"/>
          <w:szCs w:val="24"/>
        </w:rPr>
        <w:t xml:space="preserve">In the result, it is ordered that the </w:t>
      </w:r>
      <w:r w:rsidR="00C12858">
        <w:rPr>
          <w:sz w:val="24"/>
          <w:szCs w:val="24"/>
        </w:rPr>
        <w:t xml:space="preserve">preliminary points are upheld, the </w:t>
      </w:r>
      <w:r>
        <w:rPr>
          <w:sz w:val="24"/>
          <w:szCs w:val="24"/>
        </w:rPr>
        <w:t xml:space="preserve">application be and is hereby dismissed with costs. </w:t>
      </w:r>
    </w:p>
    <w:p w14:paraId="2D4F4C2C" w14:textId="77777777" w:rsidR="006558CF" w:rsidRDefault="006558CF" w:rsidP="00C1332B">
      <w:pPr>
        <w:spacing w:line="360" w:lineRule="auto"/>
        <w:jc w:val="both"/>
        <w:rPr>
          <w:sz w:val="24"/>
          <w:szCs w:val="24"/>
        </w:rPr>
      </w:pPr>
    </w:p>
    <w:p w14:paraId="174419B8" w14:textId="77777777" w:rsidR="00216676" w:rsidRDefault="00216676" w:rsidP="00C1332B">
      <w:pPr>
        <w:spacing w:line="360" w:lineRule="auto"/>
        <w:jc w:val="both"/>
        <w:rPr>
          <w:sz w:val="24"/>
          <w:szCs w:val="24"/>
        </w:rPr>
      </w:pPr>
    </w:p>
    <w:p w14:paraId="269AB87D" w14:textId="77777777" w:rsidR="00216676" w:rsidRDefault="00216676" w:rsidP="00C1332B">
      <w:pPr>
        <w:spacing w:line="360" w:lineRule="auto"/>
        <w:jc w:val="both"/>
        <w:rPr>
          <w:sz w:val="24"/>
          <w:szCs w:val="24"/>
        </w:rPr>
      </w:pPr>
    </w:p>
    <w:p w14:paraId="11B72B55" w14:textId="75A23740" w:rsidR="00216676" w:rsidRPr="00C1332B" w:rsidRDefault="00216676" w:rsidP="00216676">
      <w:pPr>
        <w:spacing w:after="240" w:line="360" w:lineRule="auto"/>
        <w:jc w:val="both"/>
        <w:rPr>
          <w:sz w:val="24"/>
          <w:szCs w:val="24"/>
        </w:rPr>
      </w:pPr>
      <w:r w:rsidRPr="00216676">
        <w:rPr>
          <w:b/>
          <w:bCs/>
          <w:smallCaps/>
          <w:sz w:val="24"/>
          <w:szCs w:val="24"/>
        </w:rPr>
        <w:t>Takuva J</w:t>
      </w:r>
      <w:r>
        <w:rPr>
          <w:sz w:val="24"/>
          <w:szCs w:val="24"/>
        </w:rPr>
        <w:t>: …………………………………………….</w:t>
      </w:r>
    </w:p>
    <w:p w14:paraId="2417C932" w14:textId="1BADA5BD" w:rsidR="005C70EC" w:rsidRPr="00775261" w:rsidRDefault="00914C15" w:rsidP="004913E8">
      <w:pPr>
        <w:jc w:val="both"/>
        <w:rPr>
          <w:sz w:val="24"/>
          <w:szCs w:val="24"/>
        </w:rPr>
      </w:pPr>
      <w:r>
        <w:rPr>
          <w:i/>
          <w:sz w:val="24"/>
          <w:szCs w:val="24"/>
        </w:rPr>
        <w:t>Hungwe and Partners</w:t>
      </w:r>
      <w:r w:rsidR="005C70EC" w:rsidRPr="00775261">
        <w:rPr>
          <w:sz w:val="24"/>
          <w:szCs w:val="24"/>
        </w:rPr>
        <w:t xml:space="preserve">, </w:t>
      </w:r>
      <w:r>
        <w:rPr>
          <w:sz w:val="24"/>
          <w:szCs w:val="24"/>
        </w:rPr>
        <w:t>applicant</w:t>
      </w:r>
      <w:r w:rsidR="005C70EC" w:rsidRPr="00775261">
        <w:rPr>
          <w:sz w:val="24"/>
          <w:szCs w:val="24"/>
        </w:rPr>
        <w:t xml:space="preserve">’s </w:t>
      </w:r>
      <w:r w:rsidR="004913E8">
        <w:rPr>
          <w:sz w:val="24"/>
          <w:szCs w:val="24"/>
        </w:rPr>
        <w:t>l</w:t>
      </w:r>
      <w:r w:rsidR="005C70EC" w:rsidRPr="00775261">
        <w:rPr>
          <w:sz w:val="24"/>
          <w:szCs w:val="24"/>
        </w:rPr>
        <w:t xml:space="preserve">egal </w:t>
      </w:r>
      <w:r w:rsidR="004913E8">
        <w:rPr>
          <w:sz w:val="24"/>
          <w:szCs w:val="24"/>
        </w:rPr>
        <w:t>p</w:t>
      </w:r>
      <w:r w:rsidR="005C70EC" w:rsidRPr="00775261">
        <w:rPr>
          <w:sz w:val="24"/>
          <w:szCs w:val="24"/>
        </w:rPr>
        <w:t>ractitioners</w:t>
      </w:r>
    </w:p>
    <w:p w14:paraId="62FB9127" w14:textId="09000176" w:rsidR="00F83D2E" w:rsidRPr="00C1332B" w:rsidRDefault="00914C15" w:rsidP="00C1332B">
      <w:pPr>
        <w:jc w:val="both"/>
        <w:rPr>
          <w:sz w:val="24"/>
          <w:szCs w:val="24"/>
        </w:rPr>
      </w:pPr>
      <w:r>
        <w:rPr>
          <w:i/>
          <w:sz w:val="24"/>
          <w:szCs w:val="24"/>
        </w:rPr>
        <w:t>Coghlan, Welsh and Guest</w:t>
      </w:r>
      <w:r w:rsidR="00543F64" w:rsidRPr="00775261">
        <w:rPr>
          <w:sz w:val="24"/>
          <w:szCs w:val="24"/>
        </w:rPr>
        <w:t xml:space="preserve">, </w:t>
      </w:r>
      <w:r>
        <w:rPr>
          <w:sz w:val="24"/>
          <w:szCs w:val="24"/>
        </w:rPr>
        <w:t>first respondent</w:t>
      </w:r>
      <w:r w:rsidR="00543F64" w:rsidRPr="00775261">
        <w:rPr>
          <w:sz w:val="24"/>
          <w:szCs w:val="24"/>
        </w:rPr>
        <w:t>’</w:t>
      </w:r>
      <w:r>
        <w:rPr>
          <w:sz w:val="24"/>
          <w:szCs w:val="24"/>
        </w:rPr>
        <w:t>s</w:t>
      </w:r>
      <w:r w:rsidR="00F20664" w:rsidRPr="00775261">
        <w:rPr>
          <w:sz w:val="24"/>
          <w:szCs w:val="24"/>
        </w:rPr>
        <w:t xml:space="preserve"> </w:t>
      </w:r>
      <w:r w:rsidR="004913E8">
        <w:rPr>
          <w:sz w:val="24"/>
          <w:szCs w:val="24"/>
        </w:rPr>
        <w:t>l</w:t>
      </w:r>
      <w:r w:rsidR="00F20664" w:rsidRPr="00775261">
        <w:rPr>
          <w:sz w:val="24"/>
          <w:szCs w:val="24"/>
        </w:rPr>
        <w:t xml:space="preserve">egal </w:t>
      </w:r>
      <w:r w:rsidR="004913E8">
        <w:rPr>
          <w:sz w:val="24"/>
          <w:szCs w:val="24"/>
        </w:rPr>
        <w:t>p</w:t>
      </w:r>
      <w:r w:rsidR="00F20664" w:rsidRPr="00775261">
        <w:rPr>
          <w:sz w:val="24"/>
          <w:szCs w:val="24"/>
        </w:rPr>
        <w:t>ractitioners</w:t>
      </w:r>
      <w:bookmarkEnd w:id="1"/>
      <w:bookmarkEnd w:id="2"/>
      <w:bookmarkEnd w:id="3"/>
      <w:bookmarkEnd w:id="4"/>
    </w:p>
    <w:sectPr w:rsidR="00F83D2E" w:rsidRPr="00C1332B" w:rsidSect="002F4FF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CEF2C" w14:textId="77777777" w:rsidR="00F21604" w:rsidRDefault="00F21604" w:rsidP="00C01B9C">
      <w:r>
        <w:separator/>
      </w:r>
    </w:p>
  </w:endnote>
  <w:endnote w:type="continuationSeparator" w:id="0">
    <w:p w14:paraId="4E855209" w14:textId="77777777" w:rsidR="00F21604" w:rsidRDefault="00F21604" w:rsidP="00C0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D1CDB" w14:textId="77777777" w:rsidR="00F21604" w:rsidRDefault="00F21604" w:rsidP="00C01B9C">
      <w:r>
        <w:separator/>
      </w:r>
    </w:p>
  </w:footnote>
  <w:footnote w:type="continuationSeparator" w:id="0">
    <w:p w14:paraId="526816A2" w14:textId="77777777" w:rsidR="00F21604" w:rsidRDefault="00F21604" w:rsidP="00C01B9C">
      <w:r>
        <w:continuationSeparator/>
      </w:r>
    </w:p>
  </w:footnote>
  <w:footnote w:id="1">
    <w:p w14:paraId="0F26A8DB" w14:textId="3CA0F27E" w:rsidR="00FA2C56" w:rsidRDefault="00FA2C56">
      <w:pPr>
        <w:pStyle w:val="FootnoteText"/>
      </w:pPr>
      <w:r>
        <w:rPr>
          <w:rStyle w:val="FootnoteReference"/>
        </w:rPr>
        <w:footnoteRef/>
      </w:r>
      <w:r>
        <w:t xml:space="preserve"> At p651E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589364"/>
      <w:docPartObj>
        <w:docPartGallery w:val="Page Numbers (Top of Page)"/>
        <w:docPartUnique/>
      </w:docPartObj>
    </w:sdtPr>
    <w:sdtEndPr>
      <w:rPr>
        <w:noProof/>
      </w:rPr>
    </w:sdtEndPr>
    <w:sdtContent>
      <w:p w14:paraId="49653FAD" w14:textId="05C3D73E" w:rsidR="00FA2C56" w:rsidRPr="003E2430" w:rsidRDefault="00FA2C56">
        <w:pPr>
          <w:pStyle w:val="Header"/>
          <w:jc w:val="right"/>
          <w:rPr>
            <w:rFonts w:ascii="Calibri" w:hAnsi="Calibri" w:cs="Calibri"/>
            <w:noProof/>
            <w:sz w:val="22"/>
            <w:szCs w:val="22"/>
          </w:rPr>
        </w:pPr>
        <w:r w:rsidRPr="003E2430">
          <w:rPr>
            <w:rFonts w:ascii="Calibri" w:hAnsi="Calibri" w:cs="Calibri"/>
            <w:sz w:val="22"/>
            <w:szCs w:val="22"/>
          </w:rPr>
          <w:fldChar w:fldCharType="begin"/>
        </w:r>
        <w:r w:rsidRPr="003E2430">
          <w:rPr>
            <w:rFonts w:ascii="Calibri" w:hAnsi="Calibri" w:cs="Calibri"/>
            <w:sz w:val="22"/>
            <w:szCs w:val="22"/>
          </w:rPr>
          <w:instrText xml:space="preserve"> PAGE   \* MERGEFORMAT </w:instrText>
        </w:r>
        <w:r w:rsidRPr="003E2430">
          <w:rPr>
            <w:rFonts w:ascii="Calibri" w:hAnsi="Calibri" w:cs="Calibri"/>
            <w:sz w:val="22"/>
            <w:szCs w:val="22"/>
          </w:rPr>
          <w:fldChar w:fldCharType="separate"/>
        </w:r>
        <w:r w:rsidR="002E327A">
          <w:rPr>
            <w:rFonts w:ascii="Calibri" w:hAnsi="Calibri" w:cs="Calibri"/>
            <w:noProof/>
            <w:sz w:val="22"/>
            <w:szCs w:val="22"/>
          </w:rPr>
          <w:t>1</w:t>
        </w:r>
        <w:r w:rsidRPr="003E2430">
          <w:rPr>
            <w:rFonts w:ascii="Calibri" w:hAnsi="Calibri" w:cs="Calibri"/>
            <w:noProof/>
            <w:sz w:val="22"/>
            <w:szCs w:val="22"/>
          </w:rPr>
          <w:fldChar w:fldCharType="end"/>
        </w:r>
      </w:p>
      <w:p w14:paraId="607D5E0C" w14:textId="7E9A8C35" w:rsidR="00FA2C56" w:rsidRPr="003E2430" w:rsidRDefault="00FA2C56">
        <w:pPr>
          <w:pStyle w:val="Header"/>
          <w:jc w:val="right"/>
          <w:rPr>
            <w:rFonts w:ascii="Calibri" w:hAnsi="Calibri" w:cs="Calibri"/>
            <w:noProof/>
            <w:sz w:val="22"/>
            <w:szCs w:val="22"/>
          </w:rPr>
        </w:pPr>
        <w:r w:rsidRPr="003E2430">
          <w:rPr>
            <w:rFonts w:ascii="Calibri" w:hAnsi="Calibri" w:cs="Calibri"/>
            <w:noProof/>
            <w:sz w:val="22"/>
            <w:szCs w:val="22"/>
          </w:rPr>
          <w:t>HH</w:t>
        </w:r>
        <w:r w:rsidR="008E4A2C">
          <w:rPr>
            <w:rFonts w:ascii="Calibri" w:hAnsi="Calibri" w:cs="Calibri"/>
            <w:noProof/>
            <w:sz w:val="22"/>
            <w:szCs w:val="22"/>
          </w:rPr>
          <w:t xml:space="preserve"> 495 - 24</w:t>
        </w:r>
      </w:p>
      <w:p w14:paraId="633CD53F" w14:textId="77777777" w:rsidR="003E2430" w:rsidRDefault="00FA2C56" w:rsidP="003E2430">
        <w:pPr>
          <w:pStyle w:val="Header"/>
          <w:jc w:val="right"/>
          <w:rPr>
            <w:rFonts w:ascii="Calibri" w:hAnsi="Calibri" w:cs="Calibri"/>
            <w:noProof/>
            <w:sz w:val="22"/>
            <w:szCs w:val="22"/>
          </w:rPr>
        </w:pPr>
        <w:r w:rsidRPr="003E2430">
          <w:rPr>
            <w:rFonts w:ascii="Calibri" w:hAnsi="Calibri" w:cs="Calibri"/>
            <w:noProof/>
            <w:sz w:val="22"/>
            <w:szCs w:val="22"/>
          </w:rPr>
          <w:t>HCH 865/24</w:t>
        </w:r>
      </w:p>
      <w:p w14:paraId="28E3952C" w14:textId="01598B2C" w:rsidR="00FA2C56" w:rsidRPr="003E2430" w:rsidRDefault="00F21604" w:rsidP="003E2430">
        <w:pPr>
          <w:pStyle w:val="Header"/>
          <w:jc w:val="right"/>
          <w:rPr>
            <w:rFonts w:ascii="Calibri" w:hAnsi="Calibri" w:cs="Calibri"/>
            <w:noProof/>
            <w:sz w:val="22"/>
            <w:szCs w:val="22"/>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62C"/>
    <w:multiLevelType w:val="hybridMultilevel"/>
    <w:tmpl w:val="D3DC30DE"/>
    <w:lvl w:ilvl="0" w:tplc="FAC63E7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F512E72"/>
    <w:multiLevelType w:val="hybridMultilevel"/>
    <w:tmpl w:val="F5DEE834"/>
    <w:lvl w:ilvl="0" w:tplc="BAD40C78">
      <w:start w:val="1"/>
      <w:numFmt w:val="decimal"/>
      <w:lvlText w:val="[%1]"/>
      <w:lvlJc w:val="left"/>
      <w:pPr>
        <w:ind w:left="780"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922469F"/>
    <w:multiLevelType w:val="hybridMultilevel"/>
    <w:tmpl w:val="1F568A3C"/>
    <w:lvl w:ilvl="0" w:tplc="FAC63E78">
      <w:start w:val="1"/>
      <w:numFmt w:val="decimal"/>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3" w15:restartNumberingAfterBreak="0">
    <w:nsid w:val="2AC46159"/>
    <w:multiLevelType w:val="hybridMultilevel"/>
    <w:tmpl w:val="CCD0CD80"/>
    <w:lvl w:ilvl="0" w:tplc="FAC63E78">
      <w:start w:val="1"/>
      <w:numFmt w:val="decimal"/>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4" w15:restartNumberingAfterBreak="0">
    <w:nsid w:val="30AD0E4C"/>
    <w:multiLevelType w:val="hybridMultilevel"/>
    <w:tmpl w:val="20A0DDF2"/>
    <w:lvl w:ilvl="0" w:tplc="BAD40C78">
      <w:start w:val="1"/>
      <w:numFmt w:val="decimal"/>
      <w:lvlText w:val="[%1]"/>
      <w:lvlJc w:val="left"/>
      <w:pPr>
        <w:ind w:left="780"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9F3513F"/>
    <w:multiLevelType w:val="hybridMultilevel"/>
    <w:tmpl w:val="626EA588"/>
    <w:lvl w:ilvl="0" w:tplc="FAC63E7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FF43799"/>
    <w:multiLevelType w:val="hybridMultilevel"/>
    <w:tmpl w:val="F4FABF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33745D5"/>
    <w:multiLevelType w:val="hybridMultilevel"/>
    <w:tmpl w:val="83CEF896"/>
    <w:lvl w:ilvl="0" w:tplc="BAD40C78">
      <w:start w:val="1"/>
      <w:numFmt w:val="decimal"/>
      <w:lvlText w:val="[%1]"/>
      <w:lvlJc w:val="left"/>
      <w:pPr>
        <w:ind w:left="780"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AE27D76"/>
    <w:multiLevelType w:val="hybridMultilevel"/>
    <w:tmpl w:val="E5C8C4D8"/>
    <w:lvl w:ilvl="0" w:tplc="FAC63E78">
      <w:start w:val="1"/>
      <w:numFmt w:val="decimal"/>
      <w:lvlText w:val="[%1]"/>
      <w:lvlJc w:val="left"/>
      <w:pPr>
        <w:ind w:left="960" w:hanging="360"/>
      </w:pPr>
      <w:rPr>
        <w:rFonts w:hint="default"/>
      </w:rPr>
    </w:lvl>
    <w:lvl w:ilvl="1" w:tplc="30090019" w:tentative="1">
      <w:start w:val="1"/>
      <w:numFmt w:val="lowerLetter"/>
      <w:lvlText w:val="%2."/>
      <w:lvlJc w:val="left"/>
      <w:pPr>
        <w:ind w:left="1680" w:hanging="360"/>
      </w:pPr>
    </w:lvl>
    <w:lvl w:ilvl="2" w:tplc="3009001B" w:tentative="1">
      <w:start w:val="1"/>
      <w:numFmt w:val="lowerRoman"/>
      <w:lvlText w:val="%3."/>
      <w:lvlJc w:val="right"/>
      <w:pPr>
        <w:ind w:left="2400" w:hanging="180"/>
      </w:pPr>
    </w:lvl>
    <w:lvl w:ilvl="3" w:tplc="3009000F" w:tentative="1">
      <w:start w:val="1"/>
      <w:numFmt w:val="decimal"/>
      <w:lvlText w:val="%4."/>
      <w:lvlJc w:val="left"/>
      <w:pPr>
        <w:ind w:left="3120" w:hanging="360"/>
      </w:pPr>
    </w:lvl>
    <w:lvl w:ilvl="4" w:tplc="30090019" w:tentative="1">
      <w:start w:val="1"/>
      <w:numFmt w:val="lowerLetter"/>
      <w:lvlText w:val="%5."/>
      <w:lvlJc w:val="left"/>
      <w:pPr>
        <w:ind w:left="3840" w:hanging="360"/>
      </w:pPr>
    </w:lvl>
    <w:lvl w:ilvl="5" w:tplc="3009001B" w:tentative="1">
      <w:start w:val="1"/>
      <w:numFmt w:val="lowerRoman"/>
      <w:lvlText w:val="%6."/>
      <w:lvlJc w:val="right"/>
      <w:pPr>
        <w:ind w:left="4560" w:hanging="180"/>
      </w:pPr>
    </w:lvl>
    <w:lvl w:ilvl="6" w:tplc="3009000F" w:tentative="1">
      <w:start w:val="1"/>
      <w:numFmt w:val="decimal"/>
      <w:lvlText w:val="%7."/>
      <w:lvlJc w:val="left"/>
      <w:pPr>
        <w:ind w:left="5280" w:hanging="360"/>
      </w:pPr>
    </w:lvl>
    <w:lvl w:ilvl="7" w:tplc="30090019" w:tentative="1">
      <w:start w:val="1"/>
      <w:numFmt w:val="lowerLetter"/>
      <w:lvlText w:val="%8."/>
      <w:lvlJc w:val="left"/>
      <w:pPr>
        <w:ind w:left="6000" w:hanging="360"/>
      </w:pPr>
    </w:lvl>
    <w:lvl w:ilvl="8" w:tplc="3009001B" w:tentative="1">
      <w:start w:val="1"/>
      <w:numFmt w:val="lowerRoman"/>
      <w:lvlText w:val="%9."/>
      <w:lvlJc w:val="right"/>
      <w:pPr>
        <w:ind w:left="6720" w:hanging="180"/>
      </w:pPr>
    </w:lvl>
  </w:abstractNum>
  <w:abstractNum w:abstractNumId="9" w15:restartNumberingAfterBreak="0">
    <w:nsid w:val="4C02388A"/>
    <w:multiLevelType w:val="hybridMultilevel"/>
    <w:tmpl w:val="986E4C7E"/>
    <w:lvl w:ilvl="0" w:tplc="BAD40C78">
      <w:start w:val="1"/>
      <w:numFmt w:val="decimal"/>
      <w:lvlText w:val="[%1]"/>
      <w:lvlJc w:val="left"/>
      <w:pPr>
        <w:ind w:left="1560" w:hanging="360"/>
      </w:pPr>
      <w:rPr>
        <w:rFonts w:hint="default"/>
        <w:color w:val="auto"/>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10" w15:restartNumberingAfterBreak="0">
    <w:nsid w:val="57964D6A"/>
    <w:multiLevelType w:val="hybridMultilevel"/>
    <w:tmpl w:val="BE66F0BE"/>
    <w:lvl w:ilvl="0" w:tplc="7BA4B04E">
      <w:start w:val="1"/>
      <w:numFmt w:val="decimal"/>
      <w:lvlText w:val="[%1]"/>
      <w:lvlJc w:val="left"/>
      <w:pPr>
        <w:ind w:left="780" w:hanging="360"/>
      </w:pPr>
      <w:rPr>
        <w:rFonts w:hint="default"/>
        <w:color w:val="auto"/>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26C19BA"/>
    <w:multiLevelType w:val="hybridMultilevel"/>
    <w:tmpl w:val="4C9C9356"/>
    <w:lvl w:ilvl="0" w:tplc="2DA8FD6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6D703071"/>
    <w:multiLevelType w:val="hybridMultilevel"/>
    <w:tmpl w:val="D212AEAA"/>
    <w:lvl w:ilvl="0" w:tplc="75244E00">
      <w:start w:val="1"/>
      <w:numFmt w:val="upperLetter"/>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3" w15:restartNumberingAfterBreak="0">
    <w:nsid w:val="73597D2C"/>
    <w:multiLevelType w:val="hybridMultilevel"/>
    <w:tmpl w:val="57ACFBAE"/>
    <w:lvl w:ilvl="0" w:tplc="7BA4B04E">
      <w:start w:val="1"/>
      <w:numFmt w:val="decimal"/>
      <w:lvlText w:val="[%1]"/>
      <w:lvlJc w:val="left"/>
      <w:pPr>
        <w:ind w:left="780" w:hanging="360"/>
      </w:pPr>
      <w:rPr>
        <w:rFonts w:hint="default"/>
        <w:color w:val="auto"/>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76B83D17"/>
    <w:multiLevelType w:val="hybridMultilevel"/>
    <w:tmpl w:val="856299D2"/>
    <w:lvl w:ilvl="0" w:tplc="58F651C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14"/>
  </w:num>
  <w:num w:numId="3">
    <w:abstractNumId w:val="13"/>
  </w:num>
  <w:num w:numId="4">
    <w:abstractNumId w:val="11"/>
  </w:num>
  <w:num w:numId="5">
    <w:abstractNumId w:val="8"/>
  </w:num>
  <w:num w:numId="6">
    <w:abstractNumId w:val="1"/>
  </w:num>
  <w:num w:numId="7">
    <w:abstractNumId w:val="7"/>
  </w:num>
  <w:num w:numId="8">
    <w:abstractNumId w:val="12"/>
  </w:num>
  <w:num w:numId="9">
    <w:abstractNumId w:val="9"/>
  </w:num>
  <w:num w:numId="10">
    <w:abstractNumId w:val="0"/>
  </w:num>
  <w:num w:numId="11">
    <w:abstractNumId w:val="3"/>
  </w:num>
  <w:num w:numId="12">
    <w:abstractNumId w:val="2"/>
  </w:num>
  <w:num w:numId="13">
    <w:abstractNumId w:val="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F3"/>
    <w:rsid w:val="00005D4D"/>
    <w:rsid w:val="00022680"/>
    <w:rsid w:val="00025048"/>
    <w:rsid w:val="00037237"/>
    <w:rsid w:val="00041E64"/>
    <w:rsid w:val="00062FB3"/>
    <w:rsid w:val="00067ECF"/>
    <w:rsid w:val="00072E18"/>
    <w:rsid w:val="00075BF2"/>
    <w:rsid w:val="00077FDE"/>
    <w:rsid w:val="000A137E"/>
    <w:rsid w:val="000A6540"/>
    <w:rsid w:val="000C19E4"/>
    <w:rsid w:val="000C35CD"/>
    <w:rsid w:val="000C6AB5"/>
    <w:rsid w:val="000D22A0"/>
    <w:rsid w:val="000D56E1"/>
    <w:rsid w:val="000F0668"/>
    <w:rsid w:val="00105264"/>
    <w:rsid w:val="00112923"/>
    <w:rsid w:val="00116F73"/>
    <w:rsid w:val="00127AA6"/>
    <w:rsid w:val="00130435"/>
    <w:rsid w:val="0015085D"/>
    <w:rsid w:val="00164C6B"/>
    <w:rsid w:val="001B37C5"/>
    <w:rsid w:val="001D77D4"/>
    <w:rsid w:val="00206E73"/>
    <w:rsid w:val="00216676"/>
    <w:rsid w:val="00217F63"/>
    <w:rsid w:val="00221040"/>
    <w:rsid w:val="00221829"/>
    <w:rsid w:val="002266A6"/>
    <w:rsid w:val="002321C8"/>
    <w:rsid w:val="002534D4"/>
    <w:rsid w:val="00253AA2"/>
    <w:rsid w:val="0025474D"/>
    <w:rsid w:val="0026173A"/>
    <w:rsid w:val="002621C1"/>
    <w:rsid w:val="00272A57"/>
    <w:rsid w:val="00275A84"/>
    <w:rsid w:val="00282F96"/>
    <w:rsid w:val="002964D1"/>
    <w:rsid w:val="002C421B"/>
    <w:rsid w:val="002C509A"/>
    <w:rsid w:val="002C634C"/>
    <w:rsid w:val="002D7DA0"/>
    <w:rsid w:val="002E327A"/>
    <w:rsid w:val="002E54CB"/>
    <w:rsid w:val="002E72F8"/>
    <w:rsid w:val="002F4FF3"/>
    <w:rsid w:val="003011B9"/>
    <w:rsid w:val="00305577"/>
    <w:rsid w:val="00311B9F"/>
    <w:rsid w:val="00314D84"/>
    <w:rsid w:val="00315B60"/>
    <w:rsid w:val="0032049C"/>
    <w:rsid w:val="00327498"/>
    <w:rsid w:val="00335563"/>
    <w:rsid w:val="00336B70"/>
    <w:rsid w:val="003378E5"/>
    <w:rsid w:val="00342B77"/>
    <w:rsid w:val="00347DCD"/>
    <w:rsid w:val="00350362"/>
    <w:rsid w:val="003639F5"/>
    <w:rsid w:val="00371B86"/>
    <w:rsid w:val="00387265"/>
    <w:rsid w:val="003972E0"/>
    <w:rsid w:val="003A7240"/>
    <w:rsid w:val="003C2458"/>
    <w:rsid w:val="003D20FB"/>
    <w:rsid w:val="003E2430"/>
    <w:rsid w:val="003E3CB6"/>
    <w:rsid w:val="003E5CC8"/>
    <w:rsid w:val="003F7E7D"/>
    <w:rsid w:val="004054DD"/>
    <w:rsid w:val="00421468"/>
    <w:rsid w:val="00425A00"/>
    <w:rsid w:val="00430319"/>
    <w:rsid w:val="00463AE4"/>
    <w:rsid w:val="00470B63"/>
    <w:rsid w:val="00480A45"/>
    <w:rsid w:val="00483A84"/>
    <w:rsid w:val="004913E8"/>
    <w:rsid w:val="004B379C"/>
    <w:rsid w:val="004B7C48"/>
    <w:rsid w:val="004C14A5"/>
    <w:rsid w:val="004D2114"/>
    <w:rsid w:val="004D79CF"/>
    <w:rsid w:val="004F0EAB"/>
    <w:rsid w:val="004F5C56"/>
    <w:rsid w:val="005063AD"/>
    <w:rsid w:val="005162CE"/>
    <w:rsid w:val="0053207C"/>
    <w:rsid w:val="005373AB"/>
    <w:rsid w:val="00537AA0"/>
    <w:rsid w:val="00543F64"/>
    <w:rsid w:val="005476D2"/>
    <w:rsid w:val="0055231B"/>
    <w:rsid w:val="00557995"/>
    <w:rsid w:val="005662AC"/>
    <w:rsid w:val="0057360F"/>
    <w:rsid w:val="005822E9"/>
    <w:rsid w:val="00590FF5"/>
    <w:rsid w:val="00593F66"/>
    <w:rsid w:val="005B3C72"/>
    <w:rsid w:val="005C4974"/>
    <w:rsid w:val="005C70EC"/>
    <w:rsid w:val="005D2893"/>
    <w:rsid w:val="005D3EED"/>
    <w:rsid w:val="005D45C6"/>
    <w:rsid w:val="005E1630"/>
    <w:rsid w:val="005E4DF9"/>
    <w:rsid w:val="005E6522"/>
    <w:rsid w:val="00611B1E"/>
    <w:rsid w:val="0063141E"/>
    <w:rsid w:val="006379E0"/>
    <w:rsid w:val="0064463F"/>
    <w:rsid w:val="0065091B"/>
    <w:rsid w:val="00650E40"/>
    <w:rsid w:val="006558CF"/>
    <w:rsid w:val="00674048"/>
    <w:rsid w:val="00691920"/>
    <w:rsid w:val="00691D38"/>
    <w:rsid w:val="006D5050"/>
    <w:rsid w:val="006E20C7"/>
    <w:rsid w:val="006E33E1"/>
    <w:rsid w:val="006E64D2"/>
    <w:rsid w:val="006F0636"/>
    <w:rsid w:val="00701A12"/>
    <w:rsid w:val="0070737A"/>
    <w:rsid w:val="00710374"/>
    <w:rsid w:val="00711927"/>
    <w:rsid w:val="007222A7"/>
    <w:rsid w:val="00726154"/>
    <w:rsid w:val="00732F75"/>
    <w:rsid w:val="00742DE6"/>
    <w:rsid w:val="00766FE5"/>
    <w:rsid w:val="007672D2"/>
    <w:rsid w:val="007731C7"/>
    <w:rsid w:val="00775261"/>
    <w:rsid w:val="0078618D"/>
    <w:rsid w:val="00794009"/>
    <w:rsid w:val="00797469"/>
    <w:rsid w:val="007A76F7"/>
    <w:rsid w:val="007B30DA"/>
    <w:rsid w:val="007B35A3"/>
    <w:rsid w:val="007C5C1C"/>
    <w:rsid w:val="007C7805"/>
    <w:rsid w:val="007D1F52"/>
    <w:rsid w:val="00800510"/>
    <w:rsid w:val="00810C09"/>
    <w:rsid w:val="00812793"/>
    <w:rsid w:val="00814EDA"/>
    <w:rsid w:val="00825195"/>
    <w:rsid w:val="00830662"/>
    <w:rsid w:val="008324FF"/>
    <w:rsid w:val="00851FBC"/>
    <w:rsid w:val="00870D3E"/>
    <w:rsid w:val="00874261"/>
    <w:rsid w:val="00881CFF"/>
    <w:rsid w:val="008833BA"/>
    <w:rsid w:val="008909D1"/>
    <w:rsid w:val="00892BE5"/>
    <w:rsid w:val="008A0719"/>
    <w:rsid w:val="008B2705"/>
    <w:rsid w:val="008D4B57"/>
    <w:rsid w:val="008E3041"/>
    <w:rsid w:val="008E4A2C"/>
    <w:rsid w:val="008E58D7"/>
    <w:rsid w:val="00913FBD"/>
    <w:rsid w:val="00914C15"/>
    <w:rsid w:val="0092059B"/>
    <w:rsid w:val="0092431E"/>
    <w:rsid w:val="00933E35"/>
    <w:rsid w:val="00937AC8"/>
    <w:rsid w:val="00937B7B"/>
    <w:rsid w:val="0095392D"/>
    <w:rsid w:val="00960DF0"/>
    <w:rsid w:val="00963D62"/>
    <w:rsid w:val="00986EA0"/>
    <w:rsid w:val="009B144E"/>
    <w:rsid w:val="009D3357"/>
    <w:rsid w:val="009F6E19"/>
    <w:rsid w:val="00A02C46"/>
    <w:rsid w:val="00A31CFE"/>
    <w:rsid w:val="00A32553"/>
    <w:rsid w:val="00A32DFF"/>
    <w:rsid w:val="00A443BC"/>
    <w:rsid w:val="00A44B3C"/>
    <w:rsid w:val="00A4581F"/>
    <w:rsid w:val="00A53BA1"/>
    <w:rsid w:val="00A61B78"/>
    <w:rsid w:val="00A8300F"/>
    <w:rsid w:val="00A955F6"/>
    <w:rsid w:val="00AA1B3C"/>
    <w:rsid w:val="00AA39AF"/>
    <w:rsid w:val="00AA594B"/>
    <w:rsid w:val="00AA7CA4"/>
    <w:rsid w:val="00AB0A3B"/>
    <w:rsid w:val="00AB5F48"/>
    <w:rsid w:val="00AF2D30"/>
    <w:rsid w:val="00AF4326"/>
    <w:rsid w:val="00B17962"/>
    <w:rsid w:val="00B24B60"/>
    <w:rsid w:val="00B35760"/>
    <w:rsid w:val="00B413DF"/>
    <w:rsid w:val="00B435D9"/>
    <w:rsid w:val="00B47885"/>
    <w:rsid w:val="00B60786"/>
    <w:rsid w:val="00B61370"/>
    <w:rsid w:val="00B8665C"/>
    <w:rsid w:val="00B926D7"/>
    <w:rsid w:val="00B92CE0"/>
    <w:rsid w:val="00BA0DA4"/>
    <w:rsid w:val="00BB4BA2"/>
    <w:rsid w:val="00BD5E53"/>
    <w:rsid w:val="00BD749B"/>
    <w:rsid w:val="00BE044C"/>
    <w:rsid w:val="00BE3333"/>
    <w:rsid w:val="00BF0693"/>
    <w:rsid w:val="00BF134E"/>
    <w:rsid w:val="00C01900"/>
    <w:rsid w:val="00C01B9C"/>
    <w:rsid w:val="00C0371D"/>
    <w:rsid w:val="00C12858"/>
    <w:rsid w:val="00C1332B"/>
    <w:rsid w:val="00C23122"/>
    <w:rsid w:val="00C23D2F"/>
    <w:rsid w:val="00C33D8C"/>
    <w:rsid w:val="00C34215"/>
    <w:rsid w:val="00C37C41"/>
    <w:rsid w:val="00C4205A"/>
    <w:rsid w:val="00C57E55"/>
    <w:rsid w:val="00C8253D"/>
    <w:rsid w:val="00C92734"/>
    <w:rsid w:val="00CB727F"/>
    <w:rsid w:val="00CC4A4E"/>
    <w:rsid w:val="00CD3B4A"/>
    <w:rsid w:val="00CD579A"/>
    <w:rsid w:val="00CD7FA7"/>
    <w:rsid w:val="00CE58FB"/>
    <w:rsid w:val="00D01B8E"/>
    <w:rsid w:val="00D05F51"/>
    <w:rsid w:val="00D06B89"/>
    <w:rsid w:val="00D2497A"/>
    <w:rsid w:val="00D302C3"/>
    <w:rsid w:val="00D50979"/>
    <w:rsid w:val="00D563D4"/>
    <w:rsid w:val="00D65430"/>
    <w:rsid w:val="00D707B9"/>
    <w:rsid w:val="00D80F89"/>
    <w:rsid w:val="00DB1A98"/>
    <w:rsid w:val="00DC33AB"/>
    <w:rsid w:val="00DE6B0F"/>
    <w:rsid w:val="00E012A3"/>
    <w:rsid w:val="00E03C88"/>
    <w:rsid w:val="00E311AF"/>
    <w:rsid w:val="00E3603A"/>
    <w:rsid w:val="00E46EA2"/>
    <w:rsid w:val="00E4743F"/>
    <w:rsid w:val="00E849BD"/>
    <w:rsid w:val="00E91970"/>
    <w:rsid w:val="00EA2272"/>
    <w:rsid w:val="00EA4C0B"/>
    <w:rsid w:val="00EB0D21"/>
    <w:rsid w:val="00EB0DE5"/>
    <w:rsid w:val="00EB3678"/>
    <w:rsid w:val="00EB3B80"/>
    <w:rsid w:val="00ED57F5"/>
    <w:rsid w:val="00F05355"/>
    <w:rsid w:val="00F1049E"/>
    <w:rsid w:val="00F128EC"/>
    <w:rsid w:val="00F20664"/>
    <w:rsid w:val="00F21604"/>
    <w:rsid w:val="00F40FF3"/>
    <w:rsid w:val="00F42A9C"/>
    <w:rsid w:val="00F71456"/>
    <w:rsid w:val="00F80EE8"/>
    <w:rsid w:val="00F83D2E"/>
    <w:rsid w:val="00F93B9E"/>
    <w:rsid w:val="00F95555"/>
    <w:rsid w:val="00FA2C56"/>
    <w:rsid w:val="00FC4210"/>
    <w:rsid w:val="00FD1066"/>
    <w:rsid w:val="00FF0F4C"/>
    <w:rsid w:val="00FF45AA"/>
    <w:rsid w:val="00FF46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8414"/>
  <w15:chartTrackingRefBased/>
  <w15:docId w15:val="{D0AC1891-5CC3-4729-8B04-CC020F16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FF3"/>
    <w:pPr>
      <w:spacing w:after="0" w:line="240" w:lineRule="auto"/>
    </w:pPr>
    <w:rPr>
      <w:rFonts w:ascii="Times New Roman" w:eastAsia="Times New Roman" w:hAnsi="Times New Roman" w:cs="Times New Roman"/>
      <w:kern w:val="0"/>
      <w:sz w:val="20"/>
      <w:szCs w:val="20"/>
      <w:lang w:eastAsia="en-Z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0F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A9C"/>
    <w:pPr>
      <w:ind w:left="720"/>
      <w:contextualSpacing/>
    </w:pPr>
  </w:style>
  <w:style w:type="paragraph" w:styleId="FootnoteText">
    <w:name w:val="footnote text"/>
    <w:basedOn w:val="Normal"/>
    <w:link w:val="FootnoteTextChar"/>
    <w:uiPriority w:val="99"/>
    <w:semiHidden/>
    <w:unhideWhenUsed/>
    <w:rsid w:val="00C01B9C"/>
  </w:style>
  <w:style w:type="character" w:customStyle="1" w:styleId="FootnoteTextChar">
    <w:name w:val="Footnote Text Char"/>
    <w:basedOn w:val="DefaultParagraphFont"/>
    <w:link w:val="FootnoteText"/>
    <w:uiPriority w:val="99"/>
    <w:semiHidden/>
    <w:rsid w:val="00C01B9C"/>
    <w:rPr>
      <w:rFonts w:ascii="Times New Roman" w:eastAsia="Times New Roman" w:hAnsi="Times New Roman" w:cs="Times New Roman"/>
      <w:kern w:val="0"/>
      <w:sz w:val="20"/>
      <w:szCs w:val="20"/>
      <w:lang w:eastAsia="en-ZW"/>
      <w14:ligatures w14:val="none"/>
    </w:rPr>
  </w:style>
  <w:style w:type="character" w:styleId="FootnoteReference">
    <w:name w:val="footnote reference"/>
    <w:basedOn w:val="DefaultParagraphFont"/>
    <w:uiPriority w:val="99"/>
    <w:semiHidden/>
    <w:unhideWhenUsed/>
    <w:rsid w:val="00C01B9C"/>
    <w:rPr>
      <w:vertAlign w:val="superscript"/>
    </w:rPr>
  </w:style>
  <w:style w:type="paragraph" w:styleId="Header">
    <w:name w:val="header"/>
    <w:basedOn w:val="Normal"/>
    <w:link w:val="HeaderChar"/>
    <w:uiPriority w:val="99"/>
    <w:unhideWhenUsed/>
    <w:rsid w:val="00D05F51"/>
    <w:pPr>
      <w:tabs>
        <w:tab w:val="center" w:pos="4680"/>
        <w:tab w:val="right" w:pos="9360"/>
      </w:tabs>
    </w:pPr>
  </w:style>
  <w:style w:type="character" w:customStyle="1" w:styleId="HeaderChar">
    <w:name w:val="Header Char"/>
    <w:basedOn w:val="DefaultParagraphFont"/>
    <w:link w:val="Header"/>
    <w:uiPriority w:val="99"/>
    <w:rsid w:val="00D05F51"/>
    <w:rPr>
      <w:rFonts w:ascii="Times New Roman" w:eastAsia="Times New Roman" w:hAnsi="Times New Roman" w:cs="Times New Roman"/>
      <w:kern w:val="0"/>
      <w:sz w:val="20"/>
      <w:szCs w:val="20"/>
      <w:lang w:eastAsia="en-ZW"/>
      <w14:ligatures w14:val="none"/>
    </w:rPr>
  </w:style>
  <w:style w:type="paragraph" w:styleId="Footer">
    <w:name w:val="footer"/>
    <w:basedOn w:val="Normal"/>
    <w:link w:val="FooterChar"/>
    <w:uiPriority w:val="99"/>
    <w:unhideWhenUsed/>
    <w:rsid w:val="00D05F51"/>
    <w:pPr>
      <w:tabs>
        <w:tab w:val="center" w:pos="4680"/>
        <w:tab w:val="right" w:pos="9360"/>
      </w:tabs>
    </w:pPr>
  </w:style>
  <w:style w:type="character" w:customStyle="1" w:styleId="FooterChar">
    <w:name w:val="Footer Char"/>
    <w:basedOn w:val="DefaultParagraphFont"/>
    <w:link w:val="Footer"/>
    <w:uiPriority w:val="99"/>
    <w:rsid w:val="00D05F51"/>
    <w:rPr>
      <w:rFonts w:ascii="Times New Roman" w:eastAsia="Times New Roman" w:hAnsi="Times New Roman" w:cs="Times New Roman"/>
      <w:kern w:val="0"/>
      <w:sz w:val="20"/>
      <w:szCs w:val="20"/>
      <w:lang w:eastAsia="en-ZW"/>
      <w14:ligatures w14:val="none"/>
    </w:rPr>
  </w:style>
  <w:style w:type="paragraph" w:customStyle="1" w:styleId="Default">
    <w:name w:val="Default"/>
    <w:rsid w:val="00BD5E53"/>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B6078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476988">
      <w:bodyDiv w:val="1"/>
      <w:marLeft w:val="0"/>
      <w:marRight w:val="0"/>
      <w:marTop w:val="0"/>
      <w:marBottom w:val="0"/>
      <w:divBdr>
        <w:top w:val="none" w:sz="0" w:space="0" w:color="auto"/>
        <w:left w:val="none" w:sz="0" w:space="0" w:color="auto"/>
        <w:bottom w:val="none" w:sz="0" w:space="0" w:color="auto"/>
        <w:right w:val="none" w:sz="0" w:space="0" w:color="auto"/>
      </w:divBdr>
    </w:div>
    <w:div w:id="199644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0F3BB-E602-4E89-A0A7-3004A240F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Mushure</dc:creator>
  <cp:keywords/>
  <dc:description/>
  <cp:lastModifiedBy>JSC</cp:lastModifiedBy>
  <cp:revision>2</cp:revision>
  <dcterms:created xsi:type="dcterms:W3CDTF">2024-11-08T08:31:00Z</dcterms:created>
  <dcterms:modified xsi:type="dcterms:W3CDTF">2024-11-08T08:31:00Z</dcterms:modified>
</cp:coreProperties>
</file>