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75C" w:rsidRPr="00EE257D" w:rsidRDefault="00EE257D" w:rsidP="0013475C">
      <w:pPr>
        <w:spacing w:after="0" w:line="240" w:lineRule="auto"/>
        <w:rPr>
          <w:rFonts w:ascii="Times New Roman" w:hAnsi="Times New Roman" w:cs="Times New Roman"/>
          <w:b/>
          <w:sz w:val="24"/>
          <w:szCs w:val="24"/>
        </w:rPr>
      </w:pPr>
      <w:r>
        <w:rPr>
          <w:rFonts w:ascii="Times New Roman" w:hAnsi="Times New Roman" w:cs="Times New Roman"/>
          <w:b/>
          <w:sz w:val="24"/>
          <w:szCs w:val="24"/>
        </w:rPr>
        <w:t>THUTHUKA MATOB</w:t>
      </w:r>
      <w:r w:rsidR="0013475C" w:rsidRPr="00EE257D">
        <w:rPr>
          <w:rFonts w:ascii="Times New Roman" w:hAnsi="Times New Roman" w:cs="Times New Roman"/>
          <w:b/>
          <w:sz w:val="24"/>
          <w:szCs w:val="24"/>
        </w:rPr>
        <w:t xml:space="preserve">O MINING CO-OP LIMITED </w:t>
      </w:r>
    </w:p>
    <w:p w:rsidR="00EE257D" w:rsidRDefault="00EE257D" w:rsidP="0013475C">
      <w:pPr>
        <w:spacing w:after="0" w:line="240" w:lineRule="auto"/>
        <w:rPr>
          <w:rFonts w:ascii="Times New Roman" w:hAnsi="Times New Roman" w:cs="Times New Roman"/>
          <w:b/>
          <w:sz w:val="24"/>
          <w:szCs w:val="24"/>
        </w:rPr>
      </w:pPr>
    </w:p>
    <w:p w:rsidR="0013475C" w:rsidRPr="00EE257D" w:rsidRDefault="00EE257D" w:rsidP="0013475C">
      <w:pPr>
        <w:spacing w:after="0" w:line="240" w:lineRule="auto"/>
        <w:rPr>
          <w:rFonts w:ascii="Times New Roman" w:hAnsi="Times New Roman" w:cs="Times New Roman"/>
          <w:b/>
          <w:sz w:val="24"/>
          <w:szCs w:val="24"/>
        </w:rPr>
      </w:pPr>
      <w:r>
        <w:rPr>
          <w:rFonts w:ascii="Times New Roman" w:hAnsi="Times New Roman" w:cs="Times New Roman"/>
          <w:b/>
          <w:sz w:val="24"/>
          <w:szCs w:val="24"/>
        </w:rPr>
        <w:t>V</w:t>
      </w:r>
      <w:r w:rsidR="0013475C" w:rsidRPr="00EE257D">
        <w:rPr>
          <w:rFonts w:ascii="Times New Roman" w:hAnsi="Times New Roman" w:cs="Times New Roman"/>
          <w:b/>
          <w:sz w:val="24"/>
          <w:szCs w:val="24"/>
        </w:rPr>
        <w:t>ersus</w:t>
      </w:r>
    </w:p>
    <w:p w:rsidR="00EE257D" w:rsidRDefault="00EE257D" w:rsidP="0013475C">
      <w:pPr>
        <w:spacing w:after="0" w:line="240" w:lineRule="auto"/>
        <w:rPr>
          <w:rFonts w:ascii="Times New Roman" w:hAnsi="Times New Roman" w:cs="Times New Roman"/>
          <w:b/>
          <w:sz w:val="24"/>
          <w:szCs w:val="24"/>
        </w:rPr>
      </w:pPr>
    </w:p>
    <w:p w:rsidR="0013475C" w:rsidRPr="00EE257D" w:rsidRDefault="0013475C" w:rsidP="0013475C">
      <w:pPr>
        <w:spacing w:after="0" w:line="240" w:lineRule="auto"/>
        <w:rPr>
          <w:rFonts w:ascii="Times New Roman" w:hAnsi="Times New Roman" w:cs="Times New Roman"/>
          <w:b/>
          <w:sz w:val="24"/>
          <w:szCs w:val="24"/>
        </w:rPr>
      </w:pPr>
      <w:r w:rsidRPr="00EE257D">
        <w:rPr>
          <w:rFonts w:ascii="Times New Roman" w:hAnsi="Times New Roman" w:cs="Times New Roman"/>
          <w:b/>
          <w:sz w:val="24"/>
          <w:szCs w:val="24"/>
        </w:rPr>
        <w:t xml:space="preserve">TEDDY GUMBI </w:t>
      </w:r>
    </w:p>
    <w:p w:rsidR="00EE257D" w:rsidRDefault="00EE257D" w:rsidP="0013475C">
      <w:pPr>
        <w:spacing w:after="0" w:line="240" w:lineRule="auto"/>
        <w:rPr>
          <w:rFonts w:ascii="Times New Roman" w:hAnsi="Times New Roman" w:cs="Times New Roman"/>
          <w:b/>
          <w:sz w:val="24"/>
          <w:szCs w:val="24"/>
        </w:rPr>
      </w:pPr>
    </w:p>
    <w:p w:rsidR="0013475C" w:rsidRPr="00EE257D" w:rsidRDefault="00EE257D" w:rsidP="0013475C">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13475C" w:rsidRPr="00EE257D">
        <w:rPr>
          <w:rFonts w:ascii="Times New Roman" w:hAnsi="Times New Roman" w:cs="Times New Roman"/>
          <w:b/>
          <w:sz w:val="24"/>
          <w:szCs w:val="24"/>
        </w:rPr>
        <w:t>nd</w:t>
      </w:r>
    </w:p>
    <w:p w:rsidR="00EE257D" w:rsidRDefault="00EE257D" w:rsidP="0013475C">
      <w:pPr>
        <w:spacing w:after="0" w:line="240" w:lineRule="auto"/>
        <w:rPr>
          <w:rFonts w:ascii="Times New Roman" w:hAnsi="Times New Roman" w:cs="Times New Roman"/>
          <w:b/>
          <w:sz w:val="24"/>
          <w:szCs w:val="24"/>
        </w:rPr>
      </w:pPr>
    </w:p>
    <w:p w:rsidR="0013475C" w:rsidRPr="00EE257D" w:rsidRDefault="0013475C" w:rsidP="0013475C">
      <w:pPr>
        <w:spacing w:after="0" w:line="240" w:lineRule="auto"/>
        <w:rPr>
          <w:rFonts w:ascii="Times New Roman" w:hAnsi="Times New Roman" w:cs="Times New Roman"/>
          <w:b/>
          <w:sz w:val="24"/>
          <w:szCs w:val="24"/>
        </w:rPr>
      </w:pPr>
      <w:r w:rsidRPr="00EE257D">
        <w:rPr>
          <w:rFonts w:ascii="Times New Roman" w:hAnsi="Times New Roman" w:cs="Times New Roman"/>
          <w:b/>
          <w:sz w:val="24"/>
          <w:szCs w:val="24"/>
        </w:rPr>
        <w:t xml:space="preserve">MICHEAL CHRISTOPHER STONE </w:t>
      </w:r>
    </w:p>
    <w:p w:rsidR="00EE257D" w:rsidRDefault="00EE257D" w:rsidP="0013475C">
      <w:pPr>
        <w:spacing w:after="0" w:line="240" w:lineRule="auto"/>
        <w:rPr>
          <w:rFonts w:ascii="Times New Roman" w:hAnsi="Times New Roman" w:cs="Times New Roman"/>
          <w:b/>
          <w:sz w:val="24"/>
          <w:szCs w:val="24"/>
        </w:rPr>
      </w:pPr>
    </w:p>
    <w:p w:rsidR="0013475C" w:rsidRPr="00EE257D" w:rsidRDefault="00EE257D" w:rsidP="0013475C">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13475C" w:rsidRPr="00EE257D">
        <w:rPr>
          <w:rFonts w:ascii="Times New Roman" w:hAnsi="Times New Roman" w:cs="Times New Roman"/>
          <w:b/>
          <w:sz w:val="24"/>
          <w:szCs w:val="24"/>
        </w:rPr>
        <w:t>nd</w:t>
      </w:r>
    </w:p>
    <w:p w:rsidR="00EE257D" w:rsidRDefault="00EE257D" w:rsidP="0013475C">
      <w:pPr>
        <w:spacing w:after="0" w:line="240" w:lineRule="auto"/>
        <w:rPr>
          <w:rFonts w:ascii="Times New Roman" w:hAnsi="Times New Roman" w:cs="Times New Roman"/>
          <w:b/>
          <w:sz w:val="24"/>
          <w:szCs w:val="24"/>
        </w:rPr>
      </w:pPr>
    </w:p>
    <w:p w:rsidR="0013475C" w:rsidRPr="00EE257D" w:rsidRDefault="0013475C" w:rsidP="0013475C">
      <w:pPr>
        <w:spacing w:after="0" w:line="240" w:lineRule="auto"/>
        <w:rPr>
          <w:rFonts w:ascii="Times New Roman" w:hAnsi="Times New Roman" w:cs="Times New Roman"/>
          <w:b/>
          <w:sz w:val="24"/>
          <w:szCs w:val="24"/>
        </w:rPr>
      </w:pPr>
      <w:r w:rsidRPr="00EE257D">
        <w:rPr>
          <w:rFonts w:ascii="Times New Roman" w:hAnsi="Times New Roman" w:cs="Times New Roman"/>
          <w:b/>
          <w:sz w:val="24"/>
          <w:szCs w:val="24"/>
        </w:rPr>
        <w:t xml:space="preserve">AKENAKA MINERAL SOLUTIONS (PVT) LTD </w:t>
      </w:r>
    </w:p>
    <w:p w:rsidR="0013475C" w:rsidRPr="00EE257D" w:rsidRDefault="0013475C" w:rsidP="0013475C">
      <w:pPr>
        <w:spacing w:after="0" w:line="240" w:lineRule="auto"/>
        <w:rPr>
          <w:rFonts w:ascii="Times New Roman" w:hAnsi="Times New Roman" w:cs="Times New Roman"/>
          <w:b/>
          <w:sz w:val="24"/>
          <w:szCs w:val="24"/>
        </w:rPr>
      </w:pPr>
    </w:p>
    <w:p w:rsidR="0013475C" w:rsidRPr="0012740F" w:rsidRDefault="0013475C" w:rsidP="0013475C">
      <w:pPr>
        <w:spacing w:after="0" w:line="240" w:lineRule="auto"/>
        <w:rPr>
          <w:rFonts w:ascii="Times New Roman" w:hAnsi="Times New Roman" w:cs="Times New Roman"/>
          <w:sz w:val="24"/>
          <w:szCs w:val="24"/>
        </w:rPr>
      </w:pPr>
    </w:p>
    <w:p w:rsidR="0013475C" w:rsidRPr="0012740F" w:rsidRDefault="0013475C" w:rsidP="0013475C">
      <w:pPr>
        <w:pStyle w:val="NoSpacing"/>
        <w:rPr>
          <w:rFonts w:ascii="Times New Roman" w:hAnsi="Times New Roman" w:cs="Times New Roman"/>
          <w:sz w:val="24"/>
          <w:szCs w:val="24"/>
        </w:rPr>
      </w:pPr>
      <w:r w:rsidRPr="0012740F">
        <w:rPr>
          <w:rFonts w:ascii="Times New Roman" w:hAnsi="Times New Roman" w:cs="Times New Roman"/>
          <w:sz w:val="24"/>
          <w:szCs w:val="24"/>
        </w:rPr>
        <w:t>HIGH COURT OF ZIMBABWE</w:t>
      </w:r>
    </w:p>
    <w:p w:rsidR="0013475C" w:rsidRPr="0012740F" w:rsidRDefault="0013475C" w:rsidP="0013475C">
      <w:pPr>
        <w:pStyle w:val="NoSpacing"/>
        <w:rPr>
          <w:rFonts w:ascii="Times New Roman" w:hAnsi="Times New Roman" w:cs="Times New Roman"/>
          <w:sz w:val="24"/>
          <w:szCs w:val="24"/>
        </w:rPr>
      </w:pPr>
      <w:r>
        <w:rPr>
          <w:rFonts w:ascii="Times New Roman" w:hAnsi="Times New Roman" w:cs="Times New Roman"/>
          <w:sz w:val="24"/>
          <w:szCs w:val="24"/>
        </w:rPr>
        <w:t>DUBE-BANDA J</w:t>
      </w:r>
    </w:p>
    <w:p w:rsidR="0013475C" w:rsidRPr="0012740F" w:rsidRDefault="0013475C" w:rsidP="0013475C">
      <w:pPr>
        <w:pStyle w:val="NoSpacing"/>
        <w:rPr>
          <w:rFonts w:ascii="Times New Roman" w:hAnsi="Times New Roman" w:cs="Times New Roman"/>
          <w:sz w:val="24"/>
          <w:szCs w:val="24"/>
        </w:rPr>
      </w:pPr>
      <w:r>
        <w:rPr>
          <w:rFonts w:ascii="Times New Roman" w:hAnsi="Times New Roman" w:cs="Times New Roman"/>
          <w:sz w:val="24"/>
          <w:szCs w:val="24"/>
        </w:rPr>
        <w:t xml:space="preserve">BULWAYO 15 </w:t>
      </w:r>
      <w:r w:rsidR="00EE257D">
        <w:rPr>
          <w:rFonts w:ascii="Times New Roman" w:hAnsi="Times New Roman" w:cs="Times New Roman"/>
          <w:sz w:val="24"/>
          <w:szCs w:val="24"/>
        </w:rPr>
        <w:t>JULY 2020 AND 6 AGUST 2020</w:t>
      </w:r>
    </w:p>
    <w:p w:rsidR="0013475C" w:rsidRPr="0012740F" w:rsidRDefault="0013475C" w:rsidP="0013475C">
      <w:pPr>
        <w:pStyle w:val="NoSpacing"/>
        <w:rPr>
          <w:rFonts w:ascii="Times New Roman" w:hAnsi="Times New Roman" w:cs="Times New Roman"/>
          <w:sz w:val="24"/>
          <w:szCs w:val="24"/>
        </w:rPr>
      </w:pPr>
    </w:p>
    <w:p w:rsidR="0013475C" w:rsidRDefault="0013475C" w:rsidP="0013475C">
      <w:pPr>
        <w:rPr>
          <w:rFonts w:ascii="Times New Roman" w:hAnsi="Times New Roman" w:cs="Times New Roman"/>
          <w:b/>
          <w:sz w:val="24"/>
          <w:szCs w:val="24"/>
        </w:rPr>
      </w:pPr>
      <w:r>
        <w:rPr>
          <w:rFonts w:ascii="Times New Roman" w:hAnsi="Times New Roman" w:cs="Times New Roman"/>
          <w:b/>
          <w:sz w:val="24"/>
          <w:szCs w:val="24"/>
        </w:rPr>
        <w:t xml:space="preserve">Opposed court application </w:t>
      </w:r>
    </w:p>
    <w:p w:rsidR="0013475C" w:rsidRPr="0012740F" w:rsidRDefault="0013475C" w:rsidP="0013475C">
      <w:pPr>
        <w:pStyle w:val="NoSpacing"/>
        <w:rPr>
          <w:rFonts w:ascii="Times New Roman" w:hAnsi="Times New Roman" w:cs="Times New Roman"/>
          <w:sz w:val="24"/>
          <w:szCs w:val="24"/>
        </w:rPr>
      </w:pPr>
      <w:r>
        <w:rPr>
          <w:rFonts w:ascii="Times New Roman" w:hAnsi="Times New Roman" w:cs="Times New Roman"/>
          <w:i/>
          <w:sz w:val="24"/>
          <w:szCs w:val="24"/>
        </w:rPr>
        <w:t>G. Sengweni,</w:t>
      </w:r>
      <w:r w:rsidRPr="0013475C">
        <w:rPr>
          <w:rFonts w:ascii="Times New Roman" w:hAnsi="Times New Roman" w:cs="Times New Roman"/>
          <w:sz w:val="24"/>
          <w:szCs w:val="24"/>
        </w:rPr>
        <w:t xml:space="preserve"> for the applicant </w:t>
      </w:r>
    </w:p>
    <w:p w:rsidR="0013475C" w:rsidRPr="0013475C" w:rsidRDefault="0013475C" w:rsidP="0013475C">
      <w:pPr>
        <w:pStyle w:val="NoSpacing"/>
        <w:rPr>
          <w:rFonts w:ascii="Times New Roman" w:hAnsi="Times New Roman" w:cs="Times New Roman"/>
          <w:sz w:val="24"/>
          <w:szCs w:val="24"/>
        </w:rPr>
      </w:pPr>
      <w:r>
        <w:rPr>
          <w:rFonts w:ascii="Times New Roman" w:hAnsi="Times New Roman" w:cs="Times New Roman"/>
          <w:i/>
          <w:sz w:val="24"/>
          <w:szCs w:val="24"/>
        </w:rPr>
        <w:t xml:space="preserve">N. Mangena, </w:t>
      </w:r>
      <w:r>
        <w:rPr>
          <w:rFonts w:ascii="Times New Roman" w:hAnsi="Times New Roman" w:cs="Times New Roman"/>
          <w:sz w:val="24"/>
          <w:szCs w:val="24"/>
        </w:rPr>
        <w:t xml:space="preserve">for the respondents </w:t>
      </w:r>
    </w:p>
    <w:p w:rsidR="0013475C" w:rsidRPr="0012740F" w:rsidRDefault="0013475C" w:rsidP="0013475C">
      <w:pPr>
        <w:pStyle w:val="NoSpacing"/>
        <w:rPr>
          <w:rFonts w:ascii="Times New Roman" w:hAnsi="Times New Roman" w:cs="Times New Roman"/>
          <w:sz w:val="24"/>
          <w:szCs w:val="24"/>
        </w:rPr>
      </w:pPr>
    </w:p>
    <w:p w:rsidR="00EA1D91" w:rsidRPr="0013475C" w:rsidRDefault="0013475C" w:rsidP="0013475C">
      <w:pPr>
        <w:autoSpaceDE w:val="0"/>
        <w:autoSpaceDN w:val="0"/>
        <w:adjustRightInd w:val="0"/>
        <w:spacing w:after="0" w:line="360" w:lineRule="auto"/>
        <w:jc w:val="both"/>
        <w:rPr>
          <w:rFonts w:ascii="Times New Roman" w:hAnsi="Times New Roman" w:cs="Times New Roman"/>
          <w:bCs/>
          <w:iCs/>
          <w:sz w:val="21"/>
          <w:szCs w:val="21"/>
        </w:rPr>
      </w:pPr>
      <w:r>
        <w:rPr>
          <w:rFonts w:ascii="Times New Roman" w:hAnsi="Times New Roman" w:cs="Times New Roman"/>
          <w:sz w:val="24"/>
          <w:szCs w:val="24"/>
        </w:rPr>
        <w:t xml:space="preserve">          </w:t>
      </w:r>
      <w:r w:rsidRPr="00EE257D">
        <w:rPr>
          <w:rFonts w:ascii="Times New Roman" w:hAnsi="Times New Roman" w:cs="Times New Roman"/>
          <w:b/>
          <w:sz w:val="24"/>
          <w:szCs w:val="24"/>
        </w:rPr>
        <w:t>DUBE-BANDA J</w:t>
      </w:r>
      <w:r>
        <w:rPr>
          <w:rFonts w:ascii="Times New Roman" w:hAnsi="Times New Roman" w:cs="Times New Roman"/>
          <w:sz w:val="24"/>
          <w:szCs w:val="24"/>
        </w:rPr>
        <w:t xml:space="preserve">. </w:t>
      </w:r>
      <w:r w:rsidR="00EE257D">
        <w:rPr>
          <w:rFonts w:ascii="Times New Roman" w:hAnsi="Times New Roman" w:cs="Times New Roman"/>
          <w:sz w:val="24"/>
          <w:szCs w:val="24"/>
        </w:rPr>
        <w:tab/>
      </w:r>
      <w:r w:rsidR="00EA1D91" w:rsidRPr="00EA1D91">
        <w:rPr>
          <w:rFonts w:ascii="Times New Roman" w:hAnsi="Times New Roman" w:cs="Times New Roman"/>
          <w:snapToGrid w:val="0"/>
          <w:sz w:val="24"/>
          <w:szCs w:val="24"/>
        </w:rPr>
        <w:t>On 12 May 2020</w:t>
      </w:r>
      <w:r w:rsidR="00637ABE">
        <w:rPr>
          <w:rFonts w:ascii="Times New Roman" w:hAnsi="Times New Roman" w:cs="Times New Roman"/>
          <w:snapToGrid w:val="0"/>
          <w:sz w:val="24"/>
          <w:szCs w:val="24"/>
        </w:rPr>
        <w:t>,</w:t>
      </w:r>
      <w:r w:rsidR="00EA1D91" w:rsidRPr="00EA1D91">
        <w:rPr>
          <w:rFonts w:ascii="Times New Roman" w:hAnsi="Times New Roman" w:cs="Times New Roman"/>
          <w:snapToGrid w:val="0"/>
          <w:sz w:val="24"/>
          <w:szCs w:val="24"/>
        </w:rPr>
        <w:t xml:space="preserve"> the applicant filed this court application seeking an order </w:t>
      </w:r>
      <w:r w:rsidR="008B76C2">
        <w:rPr>
          <w:rFonts w:ascii="Times New Roman" w:hAnsi="Times New Roman" w:cs="Times New Roman"/>
          <w:snapToGrid w:val="0"/>
          <w:sz w:val="24"/>
          <w:szCs w:val="24"/>
        </w:rPr>
        <w:t>to set aside a</w:t>
      </w:r>
      <w:r w:rsidR="00EA1D91" w:rsidRPr="00EA1D91">
        <w:rPr>
          <w:rFonts w:ascii="Times New Roman" w:hAnsi="Times New Roman" w:cs="Times New Roman"/>
          <w:snapToGrid w:val="0"/>
          <w:sz w:val="24"/>
          <w:szCs w:val="24"/>
        </w:rPr>
        <w:t xml:space="preserve"> consent orde</w:t>
      </w:r>
      <w:r w:rsidR="00EA1D91">
        <w:rPr>
          <w:rFonts w:ascii="Times New Roman" w:hAnsi="Times New Roman" w:cs="Times New Roman"/>
          <w:snapToGrid w:val="0"/>
          <w:sz w:val="24"/>
          <w:szCs w:val="24"/>
        </w:rPr>
        <w:t>r granted on 12 February 2020. It prayed that the</w:t>
      </w:r>
      <w:r w:rsidR="00EA1D91" w:rsidRPr="00EA1D91">
        <w:rPr>
          <w:rFonts w:ascii="Times New Roman" w:hAnsi="Times New Roman" w:cs="Times New Roman"/>
          <w:sz w:val="24"/>
          <w:szCs w:val="24"/>
        </w:rPr>
        <w:t xml:space="preserve"> consent order handed do</w:t>
      </w:r>
      <w:r w:rsidR="008C2B5C">
        <w:rPr>
          <w:rFonts w:ascii="Times New Roman" w:hAnsi="Times New Roman" w:cs="Times New Roman"/>
          <w:sz w:val="24"/>
          <w:szCs w:val="24"/>
        </w:rPr>
        <w:t>wn</w:t>
      </w:r>
      <w:r w:rsidR="00EA1D91" w:rsidRPr="00EA1D91">
        <w:rPr>
          <w:rFonts w:ascii="Times New Roman" w:hAnsi="Times New Roman" w:cs="Times New Roman"/>
          <w:sz w:val="24"/>
          <w:szCs w:val="24"/>
        </w:rPr>
        <w:t xml:space="preserve"> at Bulawayo on the 12 February 2020 under case number HC 320/</w:t>
      </w:r>
      <w:r w:rsidR="00855B3C">
        <w:rPr>
          <w:rFonts w:ascii="Times New Roman" w:hAnsi="Times New Roman" w:cs="Times New Roman"/>
          <w:sz w:val="24"/>
          <w:szCs w:val="24"/>
        </w:rPr>
        <w:t>2020 be</w:t>
      </w:r>
      <w:r w:rsidR="00EA1D91">
        <w:rPr>
          <w:rFonts w:ascii="Times New Roman" w:hAnsi="Times New Roman" w:cs="Times New Roman"/>
          <w:sz w:val="24"/>
          <w:szCs w:val="24"/>
        </w:rPr>
        <w:t xml:space="preserve"> set-aside; t</w:t>
      </w:r>
      <w:r w:rsidR="00EA1D91" w:rsidRPr="00EA1D91">
        <w:rPr>
          <w:rFonts w:ascii="Times New Roman" w:hAnsi="Times New Roman" w:cs="Times New Roman"/>
          <w:sz w:val="24"/>
          <w:szCs w:val="24"/>
        </w:rPr>
        <w:t xml:space="preserve">he interim relief prayed for by respondents in case number HC 320/2020 be and is hereby granted </w:t>
      </w:r>
      <w:r w:rsidR="00EA1D91" w:rsidRPr="00EA1D91">
        <w:rPr>
          <w:rFonts w:ascii="Times New Roman" w:hAnsi="Times New Roman" w:cs="Times New Roman"/>
          <w:i/>
          <w:sz w:val="24"/>
          <w:szCs w:val="24"/>
        </w:rPr>
        <w:t>in lieu</w:t>
      </w:r>
      <w:r w:rsidR="00EA1D91" w:rsidRPr="00EA1D91">
        <w:rPr>
          <w:rFonts w:ascii="Times New Roman" w:hAnsi="Times New Roman" w:cs="Times New Roman"/>
          <w:sz w:val="24"/>
          <w:szCs w:val="24"/>
        </w:rPr>
        <w:t xml:space="preserve"> of th</w:t>
      </w:r>
      <w:r w:rsidR="00EA1D91">
        <w:rPr>
          <w:rFonts w:ascii="Times New Roman" w:hAnsi="Times New Roman" w:cs="Times New Roman"/>
          <w:sz w:val="24"/>
          <w:szCs w:val="24"/>
        </w:rPr>
        <w:t>e consent order; a</w:t>
      </w:r>
      <w:r w:rsidR="00EA1D91" w:rsidRPr="00EA1D91">
        <w:rPr>
          <w:rFonts w:ascii="Times New Roman" w:hAnsi="Times New Roman" w:cs="Times New Roman"/>
          <w:sz w:val="24"/>
          <w:szCs w:val="24"/>
        </w:rPr>
        <w:t>pplicants be and hereby ordered to file their notice of oppositio</w:t>
      </w:r>
      <w:r w:rsidR="00EA1D91">
        <w:rPr>
          <w:rFonts w:ascii="Times New Roman" w:hAnsi="Times New Roman" w:cs="Times New Roman"/>
          <w:sz w:val="24"/>
          <w:szCs w:val="24"/>
        </w:rPr>
        <w:t xml:space="preserve">n within 10 days of this order and </w:t>
      </w:r>
      <w:r w:rsidR="008B76C2">
        <w:rPr>
          <w:rFonts w:ascii="Times New Roman" w:hAnsi="Times New Roman" w:cs="Times New Roman"/>
          <w:sz w:val="24"/>
          <w:szCs w:val="24"/>
        </w:rPr>
        <w:t xml:space="preserve">that there be </w:t>
      </w:r>
      <w:r w:rsidR="00EA1D91">
        <w:rPr>
          <w:rFonts w:ascii="Times New Roman" w:hAnsi="Times New Roman" w:cs="Times New Roman"/>
          <w:sz w:val="24"/>
          <w:szCs w:val="24"/>
        </w:rPr>
        <w:t>n</w:t>
      </w:r>
      <w:r w:rsidR="00EA1D91" w:rsidRPr="00EA1D91">
        <w:rPr>
          <w:rFonts w:ascii="Times New Roman" w:hAnsi="Times New Roman" w:cs="Times New Roman"/>
          <w:sz w:val="24"/>
          <w:szCs w:val="24"/>
        </w:rPr>
        <w:t xml:space="preserve">o order as to costs. </w:t>
      </w:r>
    </w:p>
    <w:p w:rsidR="00832379" w:rsidRPr="00C55AD2" w:rsidRDefault="008B76C2" w:rsidP="0013475C">
      <w:pPr>
        <w:spacing w:after="0" w:line="360" w:lineRule="auto"/>
        <w:ind w:firstLine="72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This application is opposed. </w:t>
      </w:r>
    </w:p>
    <w:p w:rsidR="00832379" w:rsidRDefault="00832379" w:rsidP="00975E77">
      <w:pPr>
        <w:autoSpaceDE w:val="0"/>
        <w:autoSpaceDN w:val="0"/>
        <w:adjustRightInd w:val="0"/>
        <w:spacing w:after="0" w:line="360" w:lineRule="auto"/>
        <w:ind w:firstLine="720"/>
        <w:jc w:val="both"/>
        <w:rPr>
          <w:rFonts w:ascii="Times New Roman" w:hAnsi="Times New Roman" w:cs="Times New Roman"/>
          <w:sz w:val="24"/>
          <w:szCs w:val="24"/>
        </w:rPr>
      </w:pPr>
    </w:p>
    <w:p w:rsidR="00832379" w:rsidRPr="00832379" w:rsidRDefault="00832379" w:rsidP="00832379">
      <w:pPr>
        <w:autoSpaceDE w:val="0"/>
        <w:autoSpaceDN w:val="0"/>
        <w:adjustRightInd w:val="0"/>
        <w:spacing w:after="0" w:line="360" w:lineRule="auto"/>
        <w:jc w:val="both"/>
        <w:rPr>
          <w:rFonts w:ascii="Times New Roman" w:hAnsi="Times New Roman" w:cs="Times New Roman"/>
          <w:b/>
          <w:sz w:val="24"/>
          <w:szCs w:val="24"/>
        </w:rPr>
      </w:pPr>
      <w:r w:rsidRPr="00832379">
        <w:rPr>
          <w:rFonts w:ascii="Times New Roman" w:hAnsi="Times New Roman" w:cs="Times New Roman"/>
          <w:b/>
          <w:sz w:val="24"/>
          <w:szCs w:val="24"/>
        </w:rPr>
        <w:t xml:space="preserve">Background </w:t>
      </w:r>
    </w:p>
    <w:p w:rsidR="00C55AD2" w:rsidRDefault="00975E77" w:rsidP="0051568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D6162">
        <w:rPr>
          <w:rFonts w:ascii="Times New Roman" w:hAnsi="Times New Roman" w:cs="Times New Roman"/>
          <w:sz w:val="24"/>
          <w:szCs w:val="24"/>
        </w:rPr>
        <w:t xml:space="preserve">background </w:t>
      </w:r>
      <w:r>
        <w:rPr>
          <w:rFonts w:ascii="Times New Roman" w:hAnsi="Times New Roman" w:cs="Times New Roman"/>
          <w:sz w:val="24"/>
          <w:szCs w:val="24"/>
        </w:rPr>
        <w:t xml:space="preserve">facts of the matter are that </w:t>
      </w:r>
      <w:r w:rsidR="00F55C92">
        <w:rPr>
          <w:rFonts w:ascii="Times New Roman" w:hAnsi="Times New Roman" w:cs="Times New Roman"/>
          <w:sz w:val="24"/>
          <w:szCs w:val="24"/>
        </w:rPr>
        <w:t>on the 7</w:t>
      </w:r>
      <w:r w:rsidR="00F55C92" w:rsidRPr="00F55C92">
        <w:rPr>
          <w:rFonts w:ascii="Times New Roman" w:hAnsi="Times New Roman" w:cs="Times New Roman"/>
          <w:sz w:val="24"/>
          <w:szCs w:val="24"/>
          <w:vertAlign w:val="superscript"/>
        </w:rPr>
        <w:t>th</w:t>
      </w:r>
      <w:r w:rsidR="00F55C92">
        <w:rPr>
          <w:rFonts w:ascii="Times New Roman" w:hAnsi="Times New Roman" w:cs="Times New Roman"/>
          <w:sz w:val="24"/>
          <w:szCs w:val="24"/>
        </w:rPr>
        <w:t xml:space="preserve"> February 2020</w:t>
      </w:r>
      <w:r w:rsidR="00637ABE">
        <w:rPr>
          <w:rFonts w:ascii="Times New Roman" w:hAnsi="Times New Roman" w:cs="Times New Roman"/>
          <w:sz w:val="24"/>
          <w:szCs w:val="24"/>
        </w:rPr>
        <w:t>,</w:t>
      </w:r>
      <w:r w:rsidR="00F55C92">
        <w:rPr>
          <w:rFonts w:ascii="Times New Roman" w:hAnsi="Times New Roman" w:cs="Times New Roman"/>
          <w:sz w:val="24"/>
          <w:szCs w:val="24"/>
        </w:rPr>
        <w:t xml:space="preserve"> respondent’s filed an urgent application under cover of case number HC 320/20. The matter was set down </w:t>
      </w:r>
      <w:r w:rsidR="000D6162">
        <w:rPr>
          <w:rFonts w:ascii="Times New Roman" w:hAnsi="Times New Roman" w:cs="Times New Roman"/>
          <w:sz w:val="24"/>
          <w:szCs w:val="24"/>
        </w:rPr>
        <w:t xml:space="preserve">for a hearing </w:t>
      </w:r>
      <w:r w:rsidR="00F55C92">
        <w:rPr>
          <w:rFonts w:ascii="Times New Roman" w:hAnsi="Times New Roman" w:cs="Times New Roman"/>
          <w:sz w:val="24"/>
          <w:szCs w:val="24"/>
        </w:rPr>
        <w:t>for the 12</w:t>
      </w:r>
      <w:r w:rsidR="00F55C92" w:rsidRPr="00F55C92">
        <w:rPr>
          <w:rFonts w:ascii="Times New Roman" w:hAnsi="Times New Roman" w:cs="Times New Roman"/>
          <w:sz w:val="24"/>
          <w:szCs w:val="24"/>
          <w:vertAlign w:val="superscript"/>
        </w:rPr>
        <w:t>th</w:t>
      </w:r>
      <w:r w:rsidR="000D6162">
        <w:rPr>
          <w:rFonts w:ascii="Times New Roman" w:hAnsi="Times New Roman" w:cs="Times New Roman"/>
          <w:sz w:val="24"/>
          <w:szCs w:val="24"/>
        </w:rPr>
        <w:t xml:space="preserve"> February 2020</w:t>
      </w:r>
      <w:r w:rsidR="008C2B5C">
        <w:rPr>
          <w:rFonts w:ascii="Times New Roman" w:hAnsi="Times New Roman" w:cs="Times New Roman"/>
          <w:sz w:val="24"/>
          <w:szCs w:val="24"/>
        </w:rPr>
        <w:t xml:space="preserve">. On the set down date </w:t>
      </w:r>
      <w:r w:rsidR="00F55C92">
        <w:rPr>
          <w:rFonts w:ascii="Times New Roman" w:hAnsi="Times New Roman" w:cs="Times New Roman"/>
          <w:sz w:val="24"/>
          <w:szCs w:val="24"/>
        </w:rPr>
        <w:t xml:space="preserve">the litigants were in attendance with their respective legal practitioners. </w:t>
      </w:r>
      <w:r w:rsidR="00F55C92" w:rsidRPr="004156CD">
        <w:rPr>
          <w:rFonts w:ascii="Times New Roman" w:hAnsi="Times New Roman" w:cs="Times New Roman"/>
          <w:i/>
          <w:sz w:val="24"/>
          <w:szCs w:val="24"/>
        </w:rPr>
        <w:t>Mr N</w:t>
      </w:r>
      <w:r w:rsidR="00F55C92">
        <w:rPr>
          <w:rFonts w:ascii="Times New Roman" w:hAnsi="Times New Roman" w:cs="Times New Roman"/>
          <w:sz w:val="24"/>
          <w:szCs w:val="24"/>
        </w:rPr>
        <w:t xml:space="preserve">. </w:t>
      </w:r>
      <w:r w:rsidR="00F55C92" w:rsidRPr="008C2B5C">
        <w:rPr>
          <w:rFonts w:ascii="Times New Roman" w:hAnsi="Times New Roman" w:cs="Times New Roman"/>
          <w:i/>
          <w:sz w:val="24"/>
          <w:szCs w:val="24"/>
        </w:rPr>
        <w:t>Sithole,</w:t>
      </w:r>
      <w:r w:rsidR="00F55C92">
        <w:rPr>
          <w:rFonts w:ascii="Times New Roman" w:hAnsi="Times New Roman" w:cs="Times New Roman"/>
          <w:sz w:val="24"/>
          <w:szCs w:val="24"/>
        </w:rPr>
        <w:t xml:space="preserve"> of Ncube</w:t>
      </w:r>
      <w:r w:rsidR="00EE257D">
        <w:rPr>
          <w:rFonts w:ascii="Times New Roman" w:hAnsi="Times New Roman" w:cs="Times New Roman"/>
          <w:sz w:val="24"/>
          <w:szCs w:val="24"/>
        </w:rPr>
        <w:t xml:space="preserve"> </w:t>
      </w:r>
      <w:r w:rsidR="00F55C92">
        <w:rPr>
          <w:rFonts w:ascii="Times New Roman" w:hAnsi="Times New Roman" w:cs="Times New Roman"/>
          <w:sz w:val="24"/>
          <w:szCs w:val="24"/>
        </w:rPr>
        <w:t>&amp; Partners represented</w:t>
      </w:r>
      <w:r w:rsidR="00C55AD2">
        <w:rPr>
          <w:rFonts w:ascii="Times New Roman" w:hAnsi="Times New Roman" w:cs="Times New Roman"/>
          <w:sz w:val="24"/>
          <w:szCs w:val="24"/>
        </w:rPr>
        <w:t xml:space="preserve"> the now applicants (as respondents)</w:t>
      </w:r>
      <w:r w:rsidR="00F55C92">
        <w:rPr>
          <w:rFonts w:ascii="Times New Roman" w:hAnsi="Times New Roman" w:cs="Times New Roman"/>
          <w:sz w:val="24"/>
          <w:szCs w:val="24"/>
        </w:rPr>
        <w:t xml:space="preserve"> in HC 320/20. </w:t>
      </w:r>
    </w:p>
    <w:p w:rsidR="00C55AD2" w:rsidRDefault="00C55AD2" w:rsidP="00E112C1">
      <w:pPr>
        <w:autoSpaceDE w:val="0"/>
        <w:autoSpaceDN w:val="0"/>
        <w:adjustRightInd w:val="0"/>
        <w:spacing w:after="0" w:line="360" w:lineRule="auto"/>
        <w:ind w:firstLine="720"/>
        <w:jc w:val="both"/>
        <w:rPr>
          <w:rFonts w:ascii="Times New Roman" w:hAnsi="Times New Roman" w:cs="Times New Roman"/>
          <w:snapToGrid w:val="0"/>
          <w:sz w:val="24"/>
          <w:szCs w:val="24"/>
        </w:rPr>
      </w:pPr>
      <w:r w:rsidRPr="00C55AD2">
        <w:rPr>
          <w:rFonts w:ascii="Times New Roman" w:hAnsi="Times New Roman" w:cs="Times New Roman"/>
          <w:snapToGrid w:val="0"/>
          <w:sz w:val="24"/>
          <w:szCs w:val="24"/>
        </w:rPr>
        <w:lastRenderedPageBreak/>
        <w:t>At the hearing of the chamber application, it was ordered by consent that the</w:t>
      </w:r>
      <w:r>
        <w:rPr>
          <w:rFonts w:ascii="Times New Roman" w:hAnsi="Times New Roman" w:cs="Times New Roman"/>
          <w:snapToGrid w:val="0"/>
          <w:sz w:val="24"/>
          <w:szCs w:val="24"/>
        </w:rPr>
        <w:t xml:space="preserve"> Trib</w:t>
      </w:r>
      <w:r w:rsidR="00E112C1">
        <w:rPr>
          <w:rFonts w:ascii="Times New Roman" w:hAnsi="Times New Roman" w:cs="Times New Roman"/>
          <w:snapToGrid w:val="0"/>
          <w:sz w:val="24"/>
          <w:szCs w:val="24"/>
        </w:rPr>
        <w:t>ute Agreement entered into</w:t>
      </w:r>
      <w:r w:rsidR="00000933">
        <w:rPr>
          <w:rFonts w:ascii="Times New Roman" w:hAnsi="Times New Roman" w:cs="Times New Roman"/>
          <w:snapToGrid w:val="0"/>
          <w:sz w:val="24"/>
          <w:szCs w:val="24"/>
        </w:rPr>
        <w:t xml:space="preserve">on the 28 January 2020 be and is hereby declared null and void </w:t>
      </w:r>
      <w:r w:rsidR="00E112C1">
        <w:rPr>
          <w:rFonts w:ascii="Times New Roman" w:hAnsi="Times New Roman" w:cs="Times New Roman"/>
          <w:snapToGrid w:val="0"/>
          <w:sz w:val="24"/>
          <w:szCs w:val="24"/>
        </w:rPr>
        <w:t xml:space="preserve">and of no force or effect; that Thuthuka Matopo Mining Co-op Limited, respondent therein,be </w:t>
      </w:r>
      <w:r w:rsidR="00000933">
        <w:rPr>
          <w:rFonts w:ascii="Times New Roman" w:hAnsi="Times New Roman" w:cs="Times New Roman"/>
          <w:snapToGrid w:val="0"/>
          <w:sz w:val="24"/>
          <w:szCs w:val="24"/>
        </w:rPr>
        <w:t>permanently interdicted from carrying out any mining operations o</w:t>
      </w:r>
      <w:r w:rsidR="0090318C">
        <w:rPr>
          <w:rFonts w:ascii="Times New Roman" w:hAnsi="Times New Roman" w:cs="Times New Roman"/>
          <w:snapToGrid w:val="0"/>
          <w:sz w:val="24"/>
          <w:szCs w:val="24"/>
        </w:rPr>
        <w:t xml:space="preserve">n the basis of the said Tribute </w:t>
      </w:r>
      <w:r w:rsidR="00000933">
        <w:rPr>
          <w:rFonts w:ascii="Times New Roman" w:hAnsi="Times New Roman" w:cs="Times New Roman"/>
          <w:snapToGrid w:val="0"/>
          <w:sz w:val="24"/>
          <w:szCs w:val="24"/>
        </w:rPr>
        <w:t xml:space="preserve"> Agreement at the following mining claims: Stella C</w:t>
      </w:r>
      <w:r w:rsidR="0090318C">
        <w:rPr>
          <w:rFonts w:ascii="Times New Roman" w:hAnsi="Times New Roman" w:cs="Times New Roman"/>
          <w:snapToGrid w:val="0"/>
          <w:sz w:val="24"/>
          <w:szCs w:val="24"/>
        </w:rPr>
        <w:t xml:space="preserve">ity H Mine registration number 11230BM; Rod C Mine registration number 11235BM; Rod D registration 11236BM and Simple Simon registration number 11233BM. </w:t>
      </w:r>
    </w:p>
    <w:p w:rsidR="00C55AD2" w:rsidRDefault="0090318C" w:rsidP="00444740">
      <w:pPr>
        <w:pStyle w:val="BodyText"/>
        <w:spacing w:line="360" w:lineRule="auto"/>
        <w:ind w:firstLine="720"/>
        <w:jc w:val="both"/>
        <w:rPr>
          <w:rFonts w:ascii="Graphos" w:hAnsi="Graphos"/>
          <w:snapToGrid w:val="0"/>
          <w:sz w:val="24"/>
        </w:rPr>
      </w:pPr>
      <w:r>
        <w:rPr>
          <w:rFonts w:ascii="Graphos" w:hAnsi="Graphos"/>
          <w:snapToGrid w:val="0"/>
          <w:sz w:val="24"/>
        </w:rPr>
        <w:t xml:space="preserve">The </w:t>
      </w:r>
      <w:r w:rsidR="00DC6372">
        <w:rPr>
          <w:rFonts w:ascii="Graphos" w:hAnsi="Graphos"/>
          <w:snapToGrid w:val="0"/>
          <w:sz w:val="24"/>
        </w:rPr>
        <w:t xml:space="preserve">applicant now seeks to </w:t>
      </w:r>
      <w:r w:rsidR="000D6162">
        <w:rPr>
          <w:rFonts w:ascii="Graphos" w:hAnsi="Graphos"/>
          <w:snapToGrid w:val="0"/>
          <w:sz w:val="24"/>
        </w:rPr>
        <w:t xml:space="preserve">have this </w:t>
      </w:r>
      <w:r w:rsidR="00DC6372">
        <w:rPr>
          <w:rFonts w:ascii="Graphos" w:hAnsi="Graphos"/>
          <w:snapToGrid w:val="0"/>
          <w:sz w:val="24"/>
        </w:rPr>
        <w:t>consent order set aside on the grounds that i</w:t>
      </w:r>
      <w:r w:rsidR="008C2B5C">
        <w:rPr>
          <w:rFonts w:ascii="Graphos" w:hAnsi="Graphos"/>
          <w:snapToGrid w:val="0"/>
          <w:sz w:val="24"/>
        </w:rPr>
        <w:t>ts erstwhile legal practitioner, Mr</w:t>
      </w:r>
      <w:r w:rsidR="009E1F1C">
        <w:rPr>
          <w:rFonts w:ascii="Graphos" w:hAnsi="Graphos"/>
          <w:snapToGrid w:val="0"/>
          <w:sz w:val="24"/>
        </w:rPr>
        <w:t xml:space="preserve"> </w:t>
      </w:r>
      <w:r w:rsidR="008C2B5C" w:rsidRPr="008C2B5C">
        <w:rPr>
          <w:i/>
          <w:snapToGrid w:val="0"/>
          <w:sz w:val="24"/>
        </w:rPr>
        <w:t>Sithole</w:t>
      </w:r>
      <w:r w:rsidR="009E1F1C">
        <w:rPr>
          <w:i/>
          <w:snapToGrid w:val="0"/>
          <w:sz w:val="24"/>
        </w:rPr>
        <w:t xml:space="preserve"> </w:t>
      </w:r>
      <w:r w:rsidR="00DC6372">
        <w:rPr>
          <w:rFonts w:ascii="Graphos" w:hAnsi="Graphos"/>
          <w:snapToGrid w:val="0"/>
          <w:sz w:val="24"/>
        </w:rPr>
        <w:t xml:space="preserve">misled it into believing that the </w:t>
      </w:r>
      <w:r w:rsidR="00C93900">
        <w:rPr>
          <w:rFonts w:ascii="Graphos" w:hAnsi="Graphos"/>
          <w:snapToGrid w:val="0"/>
          <w:sz w:val="24"/>
        </w:rPr>
        <w:t xml:space="preserve">consent </w:t>
      </w:r>
      <w:r w:rsidR="00DC6372">
        <w:rPr>
          <w:rFonts w:ascii="Graphos" w:hAnsi="Graphos"/>
          <w:snapToGrid w:val="0"/>
          <w:sz w:val="24"/>
        </w:rPr>
        <w:t>order was in respect of the interim relief, not the final</w:t>
      </w:r>
      <w:r w:rsidR="003D515A">
        <w:rPr>
          <w:rFonts w:ascii="Graphos" w:hAnsi="Graphos"/>
          <w:snapToGrid w:val="0"/>
          <w:sz w:val="24"/>
        </w:rPr>
        <w:t xml:space="preserve"> relief sought </w:t>
      </w:r>
      <w:r w:rsidR="00C93900">
        <w:rPr>
          <w:rFonts w:ascii="Graphos" w:hAnsi="Graphos"/>
          <w:snapToGrid w:val="0"/>
          <w:sz w:val="24"/>
        </w:rPr>
        <w:t>therein</w:t>
      </w:r>
      <w:r w:rsidR="00DC6372">
        <w:rPr>
          <w:rFonts w:ascii="Graphos" w:hAnsi="Graphos"/>
          <w:snapToGrid w:val="0"/>
          <w:sz w:val="24"/>
        </w:rPr>
        <w:t xml:space="preserve">. </w:t>
      </w:r>
      <w:r w:rsidR="003D515A">
        <w:rPr>
          <w:rFonts w:ascii="Graphos" w:hAnsi="Graphos"/>
          <w:snapToGrid w:val="0"/>
          <w:sz w:val="24"/>
        </w:rPr>
        <w:t>What was granted is the final relief that was sought, not the inter</w:t>
      </w:r>
      <w:r w:rsidR="000D6162">
        <w:rPr>
          <w:rFonts w:ascii="Graphos" w:hAnsi="Graphos"/>
          <w:snapToGrid w:val="0"/>
          <w:sz w:val="24"/>
        </w:rPr>
        <w:t>im relief. The allegation is that the erstwhilelegal practitioner failed</w:t>
      </w:r>
      <w:r w:rsidR="00F85BC9">
        <w:rPr>
          <w:rFonts w:ascii="Graphos" w:hAnsi="Graphos"/>
          <w:snapToGrid w:val="0"/>
          <w:sz w:val="24"/>
        </w:rPr>
        <w:t xml:space="preserve"> to take proper in</w:t>
      </w:r>
      <w:r w:rsidR="000D6162">
        <w:rPr>
          <w:rFonts w:ascii="Graphos" w:hAnsi="Graphos"/>
          <w:snapToGrid w:val="0"/>
          <w:sz w:val="24"/>
        </w:rPr>
        <w:t xml:space="preserve">structions and misled the applicants into consenting to a final relief that was sought by the opposing parties. </w:t>
      </w:r>
      <w:r w:rsidR="000F5EC1">
        <w:rPr>
          <w:rFonts w:ascii="Graphos" w:hAnsi="Graphos"/>
          <w:snapToGrid w:val="0"/>
          <w:sz w:val="24"/>
        </w:rPr>
        <w:t xml:space="preserve"> In a nutshell the complaint is that the erstwhile legal practitioner failed to provide</w:t>
      </w:r>
      <w:r>
        <w:rPr>
          <w:rFonts w:ascii="Graphos" w:hAnsi="Graphos"/>
          <w:snapToGrid w:val="0"/>
          <w:sz w:val="24"/>
        </w:rPr>
        <w:t xml:space="preserve"> proper, effective and </w:t>
      </w:r>
      <w:r w:rsidR="000F5EC1">
        <w:rPr>
          <w:rFonts w:ascii="Graphos" w:hAnsi="Graphos"/>
          <w:snapToGrid w:val="0"/>
          <w:sz w:val="24"/>
        </w:rPr>
        <w:t>competent legal representation.</w:t>
      </w:r>
    </w:p>
    <w:p w:rsidR="000A1908" w:rsidRDefault="000A1908" w:rsidP="000F5EC1">
      <w:pPr>
        <w:autoSpaceDE w:val="0"/>
        <w:autoSpaceDN w:val="0"/>
        <w:adjustRightInd w:val="0"/>
        <w:spacing w:after="0" w:line="360" w:lineRule="auto"/>
        <w:jc w:val="both"/>
        <w:rPr>
          <w:rFonts w:ascii="Times New Roman" w:hAnsi="Times New Roman" w:cs="Times New Roman"/>
          <w:sz w:val="24"/>
          <w:szCs w:val="24"/>
        </w:rPr>
      </w:pPr>
    </w:p>
    <w:p w:rsidR="00515680" w:rsidRDefault="00E00F23" w:rsidP="00515680">
      <w:pPr>
        <w:autoSpaceDE w:val="0"/>
        <w:autoSpaceDN w:val="0"/>
        <w:adjustRightInd w:val="0"/>
        <w:spacing w:after="0" w:line="360" w:lineRule="auto"/>
        <w:jc w:val="both"/>
        <w:rPr>
          <w:rFonts w:ascii="Times New Roman" w:hAnsi="Times New Roman" w:cs="Times New Roman"/>
          <w:b/>
          <w:sz w:val="24"/>
          <w:szCs w:val="24"/>
        </w:rPr>
      </w:pPr>
      <w:r w:rsidRPr="00822168">
        <w:rPr>
          <w:rFonts w:ascii="Times New Roman" w:hAnsi="Times New Roman" w:cs="Times New Roman"/>
          <w:b/>
          <w:sz w:val="24"/>
          <w:szCs w:val="24"/>
        </w:rPr>
        <w:t xml:space="preserve">The </w:t>
      </w:r>
      <w:r>
        <w:rPr>
          <w:rFonts w:ascii="Times New Roman" w:hAnsi="Times New Roman" w:cs="Times New Roman"/>
          <w:b/>
          <w:sz w:val="24"/>
          <w:szCs w:val="24"/>
        </w:rPr>
        <w:t>law and the facts</w:t>
      </w:r>
    </w:p>
    <w:p w:rsidR="00822168" w:rsidRDefault="00822168" w:rsidP="00822168">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This application has been launched in terms of</w:t>
      </w:r>
      <w:r w:rsidRPr="00975E77">
        <w:rPr>
          <w:rFonts w:ascii="Times New Roman" w:hAnsi="Times New Roman" w:cs="Times New Roman"/>
          <w:sz w:val="24"/>
          <w:szCs w:val="24"/>
        </w:rPr>
        <w:t xml:space="preserve"> Order 8 rule 5</w:t>
      </w:r>
      <w:r w:rsidR="000F5EC1">
        <w:rPr>
          <w:rFonts w:ascii="Times New Roman" w:hAnsi="Times New Roman" w:cs="Times New Roman"/>
          <w:sz w:val="24"/>
          <w:szCs w:val="24"/>
        </w:rPr>
        <w:t>6 of the High Court Rules, 1971 (Rules).  This</w:t>
      </w:r>
      <w:r w:rsidRPr="00975E77">
        <w:rPr>
          <w:rFonts w:ascii="Times New Roman" w:hAnsi="Times New Roman" w:cs="Times New Roman"/>
          <w:sz w:val="24"/>
          <w:szCs w:val="24"/>
        </w:rPr>
        <w:t xml:space="preserve"> rule provides that a judgment given by consent under these rules may be set aside by the court and leave may be given to the defendant to defend, or to plaintiff to prosecute his action. Such leave shall only be given on good and sufficient cause and upon such</w:t>
      </w:r>
      <w:r w:rsidR="000F5EC1">
        <w:rPr>
          <w:rFonts w:ascii="Times New Roman" w:hAnsi="Times New Roman" w:cs="Times New Roman"/>
          <w:sz w:val="24"/>
          <w:szCs w:val="24"/>
        </w:rPr>
        <w:t xml:space="preserve"> terms as to costs</w:t>
      </w:r>
      <w:r w:rsidRPr="00975E77">
        <w:rPr>
          <w:rFonts w:ascii="Times New Roman" w:hAnsi="Times New Roman" w:cs="Times New Roman"/>
          <w:sz w:val="24"/>
          <w:szCs w:val="24"/>
        </w:rPr>
        <w:t xml:space="preserve"> as the court deems just.</w:t>
      </w:r>
    </w:p>
    <w:p w:rsidR="00515680" w:rsidRDefault="00515680" w:rsidP="00444740">
      <w:pPr>
        <w:autoSpaceDE w:val="0"/>
        <w:autoSpaceDN w:val="0"/>
        <w:adjustRightInd w:val="0"/>
        <w:spacing w:after="0" w:line="360" w:lineRule="auto"/>
        <w:ind w:firstLine="720"/>
        <w:jc w:val="both"/>
        <w:rPr>
          <w:rFonts w:ascii="Times New Roman" w:hAnsi="Times New Roman" w:cs="Times New Roman"/>
          <w:sz w:val="24"/>
          <w:szCs w:val="24"/>
        </w:rPr>
      </w:pPr>
      <w:r w:rsidRPr="00975E77">
        <w:rPr>
          <w:rFonts w:ascii="Times New Roman" w:hAnsi="Times New Roman" w:cs="Times New Roman"/>
          <w:sz w:val="24"/>
          <w:szCs w:val="24"/>
        </w:rPr>
        <w:t>It is a fundamental principle, dictated by p</w:t>
      </w:r>
      <w:r w:rsidR="003D515A">
        <w:rPr>
          <w:rFonts w:ascii="Times New Roman" w:hAnsi="Times New Roman" w:cs="Times New Roman"/>
          <w:sz w:val="24"/>
          <w:szCs w:val="24"/>
        </w:rPr>
        <w:t>ublic policy, that</w:t>
      </w:r>
      <w:r>
        <w:rPr>
          <w:rFonts w:ascii="Times New Roman" w:hAnsi="Times New Roman" w:cs="Times New Roman"/>
          <w:sz w:val="24"/>
          <w:szCs w:val="24"/>
        </w:rPr>
        <w:t xml:space="preserve"> as far as</w:t>
      </w:r>
      <w:r w:rsidRPr="00975E77">
        <w:rPr>
          <w:rFonts w:ascii="Times New Roman" w:hAnsi="Times New Roman" w:cs="Times New Roman"/>
          <w:sz w:val="24"/>
          <w:szCs w:val="24"/>
        </w:rPr>
        <w:t xml:space="preserve"> possible, there sh</w:t>
      </w:r>
      <w:r>
        <w:rPr>
          <w:rFonts w:ascii="Times New Roman" w:hAnsi="Times New Roman" w:cs="Times New Roman"/>
          <w:sz w:val="24"/>
          <w:szCs w:val="24"/>
        </w:rPr>
        <w:t xml:space="preserve">ould be finality in litigation. </w:t>
      </w:r>
      <w:r w:rsidRPr="00975E77">
        <w:rPr>
          <w:rFonts w:ascii="Times New Roman" w:hAnsi="Times New Roman" w:cs="Times New Roman"/>
          <w:sz w:val="24"/>
          <w:szCs w:val="24"/>
        </w:rPr>
        <w:t xml:space="preserve">The courts have accepted that </w:t>
      </w:r>
      <w:r>
        <w:rPr>
          <w:rFonts w:ascii="Times New Roman" w:hAnsi="Times New Roman" w:cs="Times New Roman"/>
          <w:sz w:val="24"/>
          <w:szCs w:val="24"/>
        </w:rPr>
        <w:t>in the case of consent orders</w:t>
      </w:r>
      <w:r w:rsidRPr="00975E77">
        <w:rPr>
          <w:rFonts w:ascii="Times New Roman" w:hAnsi="Times New Roman" w:cs="Times New Roman"/>
          <w:sz w:val="24"/>
          <w:szCs w:val="24"/>
        </w:rPr>
        <w:t xml:space="preserve"> c</w:t>
      </w:r>
      <w:r>
        <w:rPr>
          <w:rFonts w:ascii="Times New Roman" w:hAnsi="Times New Roman" w:cs="Times New Roman"/>
          <w:sz w:val="24"/>
          <w:szCs w:val="24"/>
        </w:rPr>
        <w:t>ircumstances do arise where such orders</w:t>
      </w:r>
      <w:r w:rsidRPr="00975E77">
        <w:rPr>
          <w:rFonts w:ascii="Times New Roman" w:hAnsi="Times New Roman" w:cs="Times New Roman"/>
          <w:sz w:val="24"/>
          <w:szCs w:val="24"/>
        </w:rPr>
        <w:t xml:space="preserve"> should, in the interests of justice, be set aside.In such </w:t>
      </w:r>
      <w:r w:rsidR="000F5EC1">
        <w:rPr>
          <w:rFonts w:ascii="Times New Roman" w:hAnsi="Times New Roman" w:cs="Times New Roman"/>
          <w:sz w:val="24"/>
          <w:szCs w:val="24"/>
        </w:rPr>
        <w:t>a case</w:t>
      </w:r>
      <w:r w:rsidRPr="00975E77">
        <w:rPr>
          <w:rFonts w:ascii="Times New Roman" w:hAnsi="Times New Roman" w:cs="Times New Roman"/>
          <w:sz w:val="24"/>
          <w:szCs w:val="24"/>
        </w:rPr>
        <w:t xml:space="preserve"> the applicant must show good and sufficien</w:t>
      </w:r>
      <w:r>
        <w:rPr>
          <w:rFonts w:ascii="Times New Roman" w:hAnsi="Times New Roman" w:cs="Times New Roman"/>
          <w:sz w:val="24"/>
          <w:szCs w:val="24"/>
        </w:rPr>
        <w:t>t cause</w:t>
      </w:r>
      <w:r w:rsidR="000F5EC1">
        <w:rPr>
          <w:rFonts w:ascii="Times New Roman" w:hAnsi="Times New Roman" w:cs="Times New Roman"/>
          <w:sz w:val="24"/>
          <w:szCs w:val="24"/>
        </w:rPr>
        <w:t xml:space="preserve"> to persuade a court set </w:t>
      </w:r>
      <w:r w:rsidR="00C12682">
        <w:rPr>
          <w:rFonts w:ascii="Times New Roman" w:hAnsi="Times New Roman" w:cs="Times New Roman"/>
          <w:sz w:val="24"/>
          <w:szCs w:val="24"/>
        </w:rPr>
        <w:t xml:space="preserve">to </w:t>
      </w:r>
      <w:r w:rsidR="000F5EC1">
        <w:rPr>
          <w:rFonts w:ascii="Times New Roman" w:hAnsi="Times New Roman" w:cs="Times New Roman"/>
          <w:sz w:val="24"/>
          <w:szCs w:val="24"/>
        </w:rPr>
        <w:t>aside a consent order</w:t>
      </w:r>
      <w:r>
        <w:rPr>
          <w:rFonts w:ascii="Times New Roman" w:hAnsi="Times New Roman" w:cs="Times New Roman"/>
          <w:sz w:val="24"/>
          <w:szCs w:val="24"/>
        </w:rPr>
        <w:t xml:space="preserve">.An applicant against whom a consent order has been entered can apply under the rules of court or under the </w:t>
      </w:r>
      <w:r w:rsidRPr="00444740">
        <w:rPr>
          <w:rFonts w:ascii="Times New Roman" w:hAnsi="Times New Roman" w:cs="Times New Roman"/>
          <w:sz w:val="24"/>
          <w:szCs w:val="24"/>
        </w:rPr>
        <w:t xml:space="preserve">common law or both for its rescission. </w:t>
      </w:r>
      <w:r w:rsidRPr="00444740">
        <w:rPr>
          <w:rFonts w:ascii="Times New Roman" w:hAnsi="Times New Roman" w:cs="Times New Roman"/>
          <w:smallCaps/>
          <w:sz w:val="24"/>
          <w:szCs w:val="24"/>
        </w:rPr>
        <w:t xml:space="preserve">Smith </w:t>
      </w:r>
      <w:r w:rsidRPr="00444740">
        <w:rPr>
          <w:rFonts w:ascii="Times New Roman" w:hAnsi="Times New Roman" w:cs="Times New Roman"/>
          <w:sz w:val="24"/>
          <w:szCs w:val="24"/>
        </w:rPr>
        <w:t xml:space="preserve">J states as much in </w:t>
      </w:r>
      <w:r w:rsidRPr="00444740">
        <w:rPr>
          <w:rFonts w:ascii="Times New Roman" w:hAnsi="Times New Roman" w:cs="Times New Roman"/>
          <w:i/>
          <w:sz w:val="24"/>
          <w:szCs w:val="24"/>
        </w:rPr>
        <w:t>Mukundadzviti</w:t>
      </w:r>
      <w:r w:rsidR="009E1F1C">
        <w:rPr>
          <w:rFonts w:ascii="Times New Roman" w:hAnsi="Times New Roman" w:cs="Times New Roman"/>
          <w:i/>
          <w:sz w:val="24"/>
          <w:szCs w:val="24"/>
        </w:rPr>
        <w:t xml:space="preserve"> </w:t>
      </w:r>
      <w:r w:rsidRPr="00444740">
        <w:rPr>
          <w:rFonts w:ascii="Times New Roman" w:hAnsi="Times New Roman" w:cs="Times New Roman"/>
          <w:sz w:val="24"/>
          <w:szCs w:val="24"/>
        </w:rPr>
        <w:t xml:space="preserve">v </w:t>
      </w:r>
      <w:r w:rsidRPr="00444740">
        <w:rPr>
          <w:rFonts w:ascii="Times New Roman" w:hAnsi="Times New Roman" w:cs="Times New Roman"/>
          <w:i/>
          <w:sz w:val="24"/>
          <w:szCs w:val="24"/>
        </w:rPr>
        <w:t>Mutasa</w:t>
      </w:r>
      <w:r w:rsidRPr="00444740">
        <w:rPr>
          <w:rFonts w:ascii="Times New Roman" w:hAnsi="Times New Roman" w:cs="Times New Roman"/>
          <w:sz w:val="24"/>
          <w:szCs w:val="24"/>
        </w:rPr>
        <w:t xml:space="preserve">, 1990 (1) ZLR 342 wherein he remarked that a judgment granted by consent can be set aside on the </w:t>
      </w:r>
      <w:r w:rsidR="0097558B">
        <w:rPr>
          <w:rFonts w:ascii="Times New Roman" w:hAnsi="Times New Roman" w:cs="Times New Roman"/>
          <w:sz w:val="24"/>
          <w:szCs w:val="24"/>
        </w:rPr>
        <w:t xml:space="preserve">grounds of fraud, discovery of </w:t>
      </w:r>
      <w:r w:rsidR="00A30352">
        <w:rPr>
          <w:rFonts w:ascii="Times New Roman" w:hAnsi="Times New Roman" w:cs="Times New Roman"/>
          <w:sz w:val="24"/>
          <w:szCs w:val="24"/>
        </w:rPr>
        <w:t xml:space="preserve">new </w:t>
      </w:r>
      <w:r w:rsidRPr="00444740">
        <w:rPr>
          <w:rFonts w:ascii="Times New Roman" w:hAnsi="Times New Roman" w:cs="Times New Roman"/>
          <w:sz w:val="24"/>
          <w:szCs w:val="24"/>
        </w:rPr>
        <w:t>documents, error or irregularities in procedure.</w:t>
      </w:r>
      <w:r w:rsidR="00997CBA">
        <w:rPr>
          <w:rFonts w:ascii="Times New Roman" w:hAnsi="Times New Roman" w:cs="Times New Roman"/>
          <w:sz w:val="24"/>
          <w:szCs w:val="24"/>
        </w:rPr>
        <w:t xml:space="preserve"> Rule 56</w:t>
      </w:r>
      <w:r w:rsidRPr="00444740">
        <w:rPr>
          <w:rFonts w:ascii="Times New Roman" w:hAnsi="Times New Roman" w:cs="Times New Roman"/>
          <w:sz w:val="24"/>
          <w:szCs w:val="24"/>
        </w:rPr>
        <w:t xml:space="preserve"> offers a leeway to the court to set aside a judgment or order given by consent. </w:t>
      </w:r>
    </w:p>
    <w:p w:rsidR="00997CBA" w:rsidRDefault="00997CBA" w:rsidP="003D515A">
      <w:pPr>
        <w:spacing w:after="0" w:line="360" w:lineRule="auto"/>
        <w:ind w:firstLine="720"/>
        <w:jc w:val="both"/>
        <w:rPr>
          <w:rFonts w:ascii="Times New Roman" w:hAnsi="Times New Roman" w:cs="Times New Roman"/>
          <w:snapToGrid w:val="0"/>
          <w:sz w:val="24"/>
          <w:szCs w:val="24"/>
        </w:rPr>
      </w:pPr>
      <w:r w:rsidRPr="00997CBA">
        <w:rPr>
          <w:rFonts w:ascii="Times New Roman" w:hAnsi="Times New Roman" w:cs="Times New Roman"/>
          <w:sz w:val="24"/>
          <w:szCs w:val="24"/>
        </w:rPr>
        <w:lastRenderedPageBreak/>
        <w:t>The law relating to the criteria that the court should take into account when considering an application to set aside a judgment given with the consen</w:t>
      </w:r>
      <w:r>
        <w:rPr>
          <w:rFonts w:ascii="Times New Roman" w:hAnsi="Times New Roman" w:cs="Times New Roman"/>
          <w:sz w:val="24"/>
          <w:szCs w:val="24"/>
        </w:rPr>
        <w:t>t of the parties was</w:t>
      </w:r>
      <w:r w:rsidRPr="00997CBA">
        <w:rPr>
          <w:rFonts w:ascii="Times New Roman" w:hAnsi="Times New Roman" w:cs="Times New Roman"/>
          <w:sz w:val="24"/>
          <w:szCs w:val="24"/>
        </w:rPr>
        <w:t xml:space="preserve"> clearly set out</w:t>
      </w:r>
      <w:r w:rsidR="00A30352">
        <w:rPr>
          <w:rFonts w:ascii="Times New Roman" w:hAnsi="Times New Roman" w:cs="Times New Roman"/>
          <w:sz w:val="24"/>
          <w:szCs w:val="24"/>
        </w:rPr>
        <w:t xml:space="preserve"> </w:t>
      </w:r>
      <w:r w:rsidRPr="00997CBA">
        <w:rPr>
          <w:rFonts w:ascii="Times New Roman" w:hAnsi="Times New Roman" w:cs="Times New Roman"/>
          <w:sz w:val="24"/>
          <w:szCs w:val="24"/>
        </w:rPr>
        <w:t xml:space="preserve">in the case of </w:t>
      </w:r>
      <w:r w:rsidRPr="00997CBA">
        <w:rPr>
          <w:rFonts w:ascii="Times New Roman" w:hAnsi="Times New Roman" w:cs="Times New Roman"/>
          <w:i/>
          <w:sz w:val="24"/>
          <w:szCs w:val="24"/>
        </w:rPr>
        <w:t>Georgias and Another v S</w:t>
      </w:r>
      <w:r>
        <w:rPr>
          <w:rFonts w:ascii="Times New Roman" w:hAnsi="Times New Roman" w:cs="Times New Roman"/>
          <w:i/>
          <w:sz w:val="24"/>
          <w:szCs w:val="24"/>
        </w:rPr>
        <w:t xml:space="preserve">tandard Chartered Bank </w:t>
      </w:r>
      <w:r w:rsidRPr="00997CBA">
        <w:rPr>
          <w:rFonts w:ascii="Times New Roman" w:hAnsi="Times New Roman" w:cs="Times New Roman"/>
          <w:snapToGrid w:val="0"/>
        </w:rPr>
        <w:t>1998 (1) ZLR 356 (H)</w:t>
      </w:r>
      <w:r w:rsidR="003D515A">
        <w:rPr>
          <w:rFonts w:ascii="Times New Roman" w:hAnsi="Times New Roman" w:cs="Times New Roman"/>
          <w:snapToGrid w:val="0"/>
        </w:rPr>
        <w:t>,</w:t>
      </w:r>
      <w:r w:rsidR="00C24113">
        <w:rPr>
          <w:rFonts w:ascii="Times New Roman" w:hAnsi="Times New Roman" w:cs="Times New Roman"/>
          <w:sz w:val="24"/>
          <w:szCs w:val="24"/>
        </w:rPr>
        <w:t>this is what the court</w:t>
      </w:r>
      <w:r>
        <w:rPr>
          <w:rFonts w:ascii="Times New Roman" w:hAnsi="Times New Roman" w:cs="Times New Roman"/>
          <w:sz w:val="24"/>
          <w:szCs w:val="24"/>
        </w:rPr>
        <w:t xml:space="preserve"> had to say at page 492 H- 493A</w:t>
      </w:r>
      <w:r w:rsidR="00C24113">
        <w:rPr>
          <w:rFonts w:ascii="Times New Roman" w:hAnsi="Times New Roman" w:cs="Times New Roman"/>
          <w:snapToGrid w:val="0"/>
          <w:sz w:val="24"/>
          <w:szCs w:val="24"/>
        </w:rPr>
        <w:t>“</w:t>
      </w:r>
      <w:r w:rsidR="003D515A">
        <w:rPr>
          <w:rFonts w:ascii="Times New Roman" w:hAnsi="Times New Roman" w:cs="Times New Roman"/>
          <w:snapToGrid w:val="0"/>
          <w:sz w:val="24"/>
          <w:szCs w:val="24"/>
        </w:rPr>
        <w:t xml:space="preserve">that </w:t>
      </w:r>
      <w:r w:rsidRPr="00997CBA">
        <w:rPr>
          <w:rFonts w:ascii="Times New Roman" w:hAnsi="Times New Roman" w:cs="Times New Roman"/>
          <w:snapToGrid w:val="0"/>
          <w:sz w:val="24"/>
          <w:szCs w:val="24"/>
        </w:rPr>
        <w:t xml:space="preserve">a judgment given </w:t>
      </w:r>
      <w:r w:rsidR="00C24113">
        <w:rPr>
          <w:rFonts w:ascii="Times New Roman" w:hAnsi="Times New Roman" w:cs="Times New Roman"/>
          <w:snapToGrid w:val="0"/>
          <w:sz w:val="24"/>
          <w:szCs w:val="24"/>
        </w:rPr>
        <w:t>by consent may be set aside on good and sufficient cause</w:t>
      </w:r>
      <w:r w:rsidRPr="00997CBA">
        <w:rPr>
          <w:rFonts w:ascii="Times New Roman" w:hAnsi="Times New Roman" w:cs="Times New Roman"/>
          <w:snapToGrid w:val="0"/>
          <w:sz w:val="24"/>
          <w:szCs w:val="24"/>
        </w:rPr>
        <w:t>; an inquiry to be determined in accordance with the same principles as are applicable to the grant of the indulgence of rescission of a judgment given by default.</w:t>
      </w:r>
      <w:r w:rsidR="00C24113">
        <w:rPr>
          <w:rFonts w:ascii="Times New Roman" w:hAnsi="Times New Roman" w:cs="Times New Roman"/>
          <w:snapToGrid w:val="0"/>
          <w:sz w:val="24"/>
          <w:szCs w:val="24"/>
        </w:rPr>
        <w:t>”</w:t>
      </w:r>
    </w:p>
    <w:p w:rsidR="00E00F23" w:rsidRPr="00DE06BC" w:rsidRDefault="00997CBA" w:rsidP="00DE06BC">
      <w:pPr>
        <w:spacing w:after="0" w:line="360" w:lineRule="auto"/>
        <w:ind w:firstLine="720"/>
        <w:jc w:val="both"/>
        <w:rPr>
          <w:rFonts w:ascii="Times New Roman" w:hAnsi="Times New Roman" w:cs="Times New Roman"/>
          <w:sz w:val="24"/>
          <w:szCs w:val="24"/>
        </w:rPr>
      </w:pPr>
      <w:r w:rsidRPr="00997CBA">
        <w:rPr>
          <w:rFonts w:ascii="Times New Roman" w:eastAsia="Times New Roman" w:hAnsi="Times New Roman" w:cs="Times New Roman"/>
          <w:snapToGrid w:val="0"/>
          <w:sz w:val="24"/>
          <w:szCs w:val="24"/>
        </w:rPr>
        <w:t>The adoption of those principles to an application to rescind a judgment given by consent enjoins the court to have regard to:</w:t>
      </w:r>
      <w:r w:rsidR="00A30352">
        <w:rPr>
          <w:rFonts w:ascii="Times New Roman" w:eastAsia="Times New Roman" w:hAnsi="Times New Roman" w:cs="Times New Roman"/>
          <w:snapToGrid w:val="0"/>
          <w:sz w:val="24"/>
          <w:szCs w:val="24"/>
        </w:rPr>
        <w:t xml:space="preserve"> </w:t>
      </w:r>
      <w:r w:rsidRPr="00997CBA">
        <w:rPr>
          <w:rFonts w:ascii="Times New Roman" w:hAnsi="Times New Roman" w:cs="Times New Roman"/>
          <w:snapToGrid w:val="0"/>
          <w:sz w:val="24"/>
          <w:szCs w:val="24"/>
        </w:rPr>
        <w:t>the reasonableness of the explanation proffered by the applicant of the circumstances in which the consent judgment was entered;</w:t>
      </w:r>
      <w:r w:rsidR="00A30352">
        <w:rPr>
          <w:rFonts w:ascii="Times New Roman" w:hAnsi="Times New Roman" w:cs="Times New Roman"/>
          <w:snapToGrid w:val="0"/>
          <w:sz w:val="24"/>
          <w:szCs w:val="24"/>
        </w:rPr>
        <w:t xml:space="preserve"> </w:t>
      </w:r>
      <w:r w:rsidRPr="00997CBA">
        <w:rPr>
          <w:rFonts w:ascii="Times New Roman" w:hAnsi="Times New Roman" w:cs="Times New Roman"/>
          <w:snapToGrid w:val="0"/>
          <w:sz w:val="24"/>
          <w:szCs w:val="24"/>
        </w:rPr>
        <w:t>the</w:t>
      </w:r>
      <w:r w:rsidRPr="00C24113">
        <w:rPr>
          <w:rFonts w:ascii="Times New Roman" w:hAnsi="Times New Roman" w:cs="Times New Roman"/>
          <w:i/>
          <w:snapToGrid w:val="0"/>
          <w:sz w:val="24"/>
          <w:szCs w:val="24"/>
        </w:rPr>
        <w:t xml:space="preserve"> bona fides</w:t>
      </w:r>
      <w:r w:rsidRPr="00997CBA">
        <w:rPr>
          <w:rFonts w:ascii="Times New Roman" w:hAnsi="Times New Roman" w:cs="Times New Roman"/>
          <w:snapToGrid w:val="0"/>
          <w:sz w:val="24"/>
          <w:szCs w:val="24"/>
        </w:rPr>
        <w:t xml:space="preserve"> of the application for rescission;</w:t>
      </w:r>
      <w:r w:rsidR="00A30352">
        <w:rPr>
          <w:rFonts w:ascii="Times New Roman" w:hAnsi="Times New Roman" w:cs="Times New Roman"/>
          <w:snapToGrid w:val="0"/>
          <w:sz w:val="24"/>
          <w:szCs w:val="24"/>
        </w:rPr>
        <w:t xml:space="preserve"> </w:t>
      </w:r>
      <w:r w:rsidRPr="00997CBA">
        <w:rPr>
          <w:rFonts w:ascii="Times New Roman" w:hAnsi="Times New Roman" w:cs="Times New Roman"/>
          <w:snapToGrid w:val="0"/>
          <w:sz w:val="24"/>
          <w:szCs w:val="24"/>
        </w:rPr>
        <w:t xml:space="preserve">the </w:t>
      </w:r>
      <w:r w:rsidRPr="00E00F23">
        <w:rPr>
          <w:rFonts w:ascii="Times New Roman" w:hAnsi="Times New Roman" w:cs="Times New Roman"/>
          <w:i/>
          <w:snapToGrid w:val="0"/>
          <w:sz w:val="24"/>
          <w:szCs w:val="24"/>
        </w:rPr>
        <w:t>bona fides</w:t>
      </w:r>
      <w:r w:rsidRPr="00997CBA">
        <w:rPr>
          <w:rFonts w:ascii="Times New Roman" w:hAnsi="Times New Roman" w:cs="Times New Roman"/>
          <w:snapToGrid w:val="0"/>
          <w:sz w:val="24"/>
          <w:szCs w:val="24"/>
        </w:rPr>
        <w:t xml:space="preserve"> of the defence on the merits of the case which </w:t>
      </w:r>
      <w:r w:rsidRPr="00DE06BC">
        <w:rPr>
          <w:rFonts w:ascii="Times New Roman" w:hAnsi="Times New Roman" w:cs="Times New Roman"/>
          <w:i/>
          <w:snapToGrid w:val="0"/>
          <w:sz w:val="24"/>
          <w:szCs w:val="24"/>
        </w:rPr>
        <w:t>prima facie</w:t>
      </w:r>
      <w:r w:rsidRPr="00997CBA">
        <w:rPr>
          <w:rFonts w:ascii="Times New Roman" w:hAnsi="Times New Roman" w:cs="Times New Roman"/>
          <w:snapToGrid w:val="0"/>
          <w:sz w:val="24"/>
          <w:szCs w:val="24"/>
        </w:rPr>
        <w:t xml:space="preserve"> carries some p</w:t>
      </w:r>
      <w:r w:rsidR="00DE06BC">
        <w:rPr>
          <w:rFonts w:ascii="Times New Roman" w:hAnsi="Times New Roman" w:cs="Times New Roman"/>
          <w:snapToGrid w:val="0"/>
          <w:sz w:val="24"/>
          <w:szCs w:val="24"/>
        </w:rPr>
        <w:t xml:space="preserve">rospects of success. </w:t>
      </w:r>
      <w:r>
        <w:rPr>
          <w:rFonts w:ascii="Times New Roman" w:hAnsi="Times New Roman" w:cs="Times New Roman"/>
          <w:sz w:val="24"/>
          <w:szCs w:val="24"/>
        </w:rPr>
        <w:t>T</w:t>
      </w:r>
      <w:r w:rsidRPr="00997CBA">
        <w:rPr>
          <w:rFonts w:ascii="Times New Roman" w:hAnsi="Times New Roman" w:cs="Times New Roman"/>
          <w:snapToGrid w:val="0"/>
          <w:sz w:val="24"/>
          <w:szCs w:val="24"/>
        </w:rPr>
        <w:t>oo much emphasis should not be placed on any one of the above factors. They must be viewed in conjunction with each other and with the application as a whole. A very strong defence on the merits may strengthen an unsatisfact</w:t>
      </w:r>
      <w:r>
        <w:rPr>
          <w:rFonts w:ascii="Times New Roman" w:hAnsi="Times New Roman" w:cs="Times New Roman"/>
          <w:snapToGrid w:val="0"/>
          <w:sz w:val="24"/>
          <w:szCs w:val="24"/>
        </w:rPr>
        <w:t xml:space="preserve">ory explanation. </w:t>
      </w:r>
      <w:r>
        <w:rPr>
          <w:rFonts w:ascii="Times New Roman" w:hAnsi="Times New Roman" w:cs="Times New Roman"/>
          <w:sz w:val="24"/>
          <w:szCs w:val="24"/>
        </w:rPr>
        <w:t xml:space="preserve">See </w:t>
      </w:r>
      <w:r w:rsidRPr="00652417">
        <w:rPr>
          <w:rFonts w:ascii="Times New Roman" w:hAnsi="Times New Roman" w:cs="Times New Roman"/>
          <w:i/>
          <w:sz w:val="24"/>
          <w:szCs w:val="24"/>
        </w:rPr>
        <w:t>Masulani v Masulani</w:t>
      </w:r>
      <w:r>
        <w:rPr>
          <w:rFonts w:ascii="Times New Roman" w:hAnsi="Times New Roman" w:cs="Times New Roman"/>
          <w:sz w:val="24"/>
          <w:szCs w:val="24"/>
        </w:rPr>
        <w:t xml:space="preserve"> HH 68-2. The </w:t>
      </w:r>
      <w:r w:rsidRPr="00997CBA">
        <w:rPr>
          <w:rFonts w:ascii="Times New Roman" w:hAnsi="Times New Roman" w:cs="Times New Roman"/>
          <w:i/>
          <w:snapToGrid w:val="0"/>
          <w:sz w:val="24"/>
          <w:szCs w:val="24"/>
        </w:rPr>
        <w:t>onus</w:t>
      </w:r>
      <w:r w:rsidRPr="00997CBA">
        <w:rPr>
          <w:rFonts w:ascii="Times New Roman" w:hAnsi="Times New Roman" w:cs="Times New Roman"/>
          <w:snapToGrid w:val="0"/>
          <w:sz w:val="24"/>
          <w:szCs w:val="24"/>
        </w:rPr>
        <w:t xml:space="preserve"> is upon the applicant to move the court to grant the indulgence sought. The judgment will not be set aside for the mere asking. </w:t>
      </w:r>
    </w:p>
    <w:p w:rsidR="00515680" w:rsidRDefault="00515680" w:rsidP="00E00F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examination of the </w:t>
      </w:r>
      <w:r w:rsidR="00E00F23">
        <w:rPr>
          <w:rFonts w:ascii="Times New Roman" w:hAnsi="Times New Roman" w:cs="Times New Roman"/>
          <w:sz w:val="24"/>
          <w:szCs w:val="24"/>
        </w:rPr>
        <w:t xml:space="preserve">reasonableness of the explanation is anchored on </w:t>
      </w:r>
      <w:r>
        <w:rPr>
          <w:rFonts w:ascii="Times New Roman" w:hAnsi="Times New Roman" w:cs="Times New Roman"/>
          <w:sz w:val="24"/>
          <w:szCs w:val="24"/>
        </w:rPr>
        <w:t>circumstances under which the</w:t>
      </w:r>
      <w:r w:rsidR="00DE06BC">
        <w:rPr>
          <w:rFonts w:ascii="Times New Roman" w:hAnsi="Times New Roman" w:cs="Times New Roman"/>
          <w:sz w:val="24"/>
          <w:szCs w:val="24"/>
        </w:rPr>
        <w:t xml:space="preserve"> consent was granted. </w:t>
      </w:r>
      <w:r w:rsidR="00DE06BC" w:rsidRPr="00A30352">
        <w:rPr>
          <w:rFonts w:ascii="Times New Roman" w:hAnsi="Times New Roman" w:cs="Times New Roman"/>
          <w:i/>
          <w:sz w:val="24"/>
          <w:szCs w:val="24"/>
        </w:rPr>
        <w:t>In</w:t>
      </w:r>
      <w:r w:rsidR="00DE06BC">
        <w:rPr>
          <w:rFonts w:ascii="Times New Roman" w:hAnsi="Times New Roman" w:cs="Times New Roman"/>
          <w:sz w:val="24"/>
          <w:szCs w:val="24"/>
        </w:rPr>
        <w:t xml:space="preserve"> </w:t>
      </w:r>
      <w:r w:rsidR="00DE06BC" w:rsidRPr="00DE06BC">
        <w:rPr>
          <w:rFonts w:ascii="Times New Roman" w:hAnsi="Times New Roman" w:cs="Times New Roman"/>
          <w:i/>
          <w:sz w:val="24"/>
          <w:szCs w:val="24"/>
        </w:rPr>
        <w:t>casu</w:t>
      </w:r>
      <w:r w:rsidR="00DE06BC">
        <w:rPr>
          <w:rFonts w:ascii="Times New Roman" w:hAnsi="Times New Roman" w:cs="Times New Roman"/>
          <w:sz w:val="24"/>
          <w:szCs w:val="24"/>
        </w:rPr>
        <w:t xml:space="preserve"> the </w:t>
      </w:r>
      <w:r w:rsidR="00E00F23">
        <w:rPr>
          <w:rFonts w:ascii="Times New Roman" w:hAnsi="Times New Roman" w:cs="Times New Roman"/>
          <w:sz w:val="24"/>
          <w:szCs w:val="24"/>
        </w:rPr>
        <w:t>explanation</w:t>
      </w:r>
      <w:r>
        <w:rPr>
          <w:rFonts w:ascii="Times New Roman" w:hAnsi="Times New Roman" w:cs="Times New Roman"/>
          <w:sz w:val="24"/>
          <w:szCs w:val="24"/>
        </w:rPr>
        <w:t xml:space="preserve"> is predicated on the alleged misapprehension on the part of the applicant arising f</w:t>
      </w:r>
      <w:r w:rsidR="000F5EC1">
        <w:rPr>
          <w:rFonts w:ascii="Times New Roman" w:hAnsi="Times New Roman" w:cs="Times New Roman"/>
          <w:sz w:val="24"/>
          <w:szCs w:val="24"/>
        </w:rPr>
        <w:t>rom the alleged failure by its</w:t>
      </w:r>
      <w:r>
        <w:rPr>
          <w:rFonts w:ascii="Times New Roman" w:hAnsi="Times New Roman" w:cs="Times New Roman"/>
          <w:sz w:val="24"/>
          <w:szCs w:val="24"/>
        </w:rPr>
        <w:t xml:space="preserve"> erstwhile legal practitioner, </w:t>
      </w:r>
      <w:r w:rsidRPr="009E1F1C">
        <w:rPr>
          <w:rFonts w:ascii="Times New Roman" w:hAnsi="Times New Roman" w:cs="Times New Roman"/>
          <w:i/>
          <w:sz w:val="24"/>
          <w:szCs w:val="24"/>
        </w:rPr>
        <w:t>Mr</w:t>
      </w:r>
      <w:r>
        <w:rPr>
          <w:rFonts w:ascii="Times New Roman" w:hAnsi="Times New Roman" w:cs="Times New Roman"/>
          <w:sz w:val="24"/>
          <w:szCs w:val="24"/>
        </w:rPr>
        <w:t xml:space="preserve"> </w:t>
      </w:r>
      <w:r w:rsidRPr="00DE06BC">
        <w:rPr>
          <w:rFonts w:ascii="Times New Roman" w:hAnsi="Times New Roman" w:cs="Times New Roman"/>
          <w:i/>
          <w:sz w:val="24"/>
          <w:szCs w:val="24"/>
        </w:rPr>
        <w:t>Sithole</w:t>
      </w:r>
      <w:r w:rsidR="00DE06BC">
        <w:rPr>
          <w:rFonts w:ascii="Times New Roman" w:hAnsi="Times New Roman" w:cs="Times New Roman"/>
          <w:sz w:val="24"/>
          <w:szCs w:val="24"/>
        </w:rPr>
        <w:t xml:space="preserve"> to consult</w:t>
      </w:r>
      <w:r>
        <w:rPr>
          <w:rFonts w:ascii="Times New Roman" w:hAnsi="Times New Roman" w:cs="Times New Roman"/>
          <w:sz w:val="24"/>
          <w:szCs w:val="24"/>
        </w:rPr>
        <w:t xml:space="preserve"> and explain the import of the consent he entered into w</w:t>
      </w:r>
      <w:r w:rsidR="00E00F23">
        <w:rPr>
          <w:rFonts w:ascii="Times New Roman" w:hAnsi="Times New Roman" w:cs="Times New Roman"/>
          <w:sz w:val="24"/>
          <w:szCs w:val="24"/>
        </w:rPr>
        <w:t xml:space="preserve">ith the respondents. It is contended that the applicant was made to believe that </w:t>
      </w:r>
      <w:r>
        <w:rPr>
          <w:rFonts w:ascii="Times New Roman" w:hAnsi="Times New Roman" w:cs="Times New Roman"/>
          <w:sz w:val="24"/>
          <w:szCs w:val="24"/>
        </w:rPr>
        <w:t xml:space="preserve">the consent </w:t>
      </w:r>
      <w:r w:rsidR="00E00F23">
        <w:rPr>
          <w:rFonts w:ascii="Times New Roman" w:hAnsi="Times New Roman" w:cs="Times New Roman"/>
          <w:sz w:val="24"/>
          <w:szCs w:val="24"/>
        </w:rPr>
        <w:t>ord</w:t>
      </w:r>
      <w:r w:rsidR="000D2802">
        <w:rPr>
          <w:rFonts w:ascii="Times New Roman" w:hAnsi="Times New Roman" w:cs="Times New Roman"/>
          <w:sz w:val="24"/>
          <w:szCs w:val="24"/>
        </w:rPr>
        <w:t>er had the effect of stopping applicant</w:t>
      </w:r>
      <w:r>
        <w:rPr>
          <w:rFonts w:ascii="Times New Roman" w:hAnsi="Times New Roman" w:cs="Times New Roman"/>
          <w:sz w:val="24"/>
          <w:szCs w:val="24"/>
        </w:rPr>
        <w:t xml:space="preserve"> from carrying out any mining operations at the affected mining locations pending the finalization of the dispute between the parties. It is alleged that the applicant did not realise that the consent order handed down was in fact the final relief sought by the now respondents. </w:t>
      </w:r>
    </w:p>
    <w:p w:rsidR="00BD65AE" w:rsidRDefault="00C61186" w:rsidP="00CE7B4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deponent alleges that its</w:t>
      </w:r>
      <w:r w:rsidR="00444740">
        <w:rPr>
          <w:rFonts w:ascii="Times New Roman" w:hAnsi="Times New Roman" w:cs="Times New Roman"/>
          <w:sz w:val="24"/>
          <w:szCs w:val="24"/>
        </w:rPr>
        <w:t xml:space="preserve"> er</w:t>
      </w:r>
      <w:r w:rsidR="00BD65AE">
        <w:rPr>
          <w:rFonts w:ascii="Times New Roman" w:hAnsi="Times New Roman" w:cs="Times New Roman"/>
          <w:sz w:val="24"/>
          <w:szCs w:val="24"/>
        </w:rPr>
        <w:t>stwhile legal</w:t>
      </w:r>
      <w:r w:rsidR="00B6383C">
        <w:rPr>
          <w:rFonts w:ascii="Times New Roman" w:hAnsi="Times New Roman" w:cs="Times New Roman"/>
          <w:sz w:val="24"/>
          <w:szCs w:val="24"/>
        </w:rPr>
        <w:t xml:space="preserve"> practitioner did not advise it</w:t>
      </w:r>
      <w:r w:rsidR="00BD65AE">
        <w:rPr>
          <w:rFonts w:ascii="Times New Roman" w:hAnsi="Times New Roman" w:cs="Times New Roman"/>
          <w:sz w:val="24"/>
          <w:szCs w:val="24"/>
        </w:rPr>
        <w:t xml:space="preserve"> of the import of the order that applicant was consenting to. The allegation is that applicant was made to believe that it was consenting to the interim relief, not the final relief in the application. The point is made that if t</w:t>
      </w:r>
      <w:r w:rsidR="00B6383C">
        <w:rPr>
          <w:rFonts w:ascii="Times New Roman" w:hAnsi="Times New Roman" w:cs="Times New Roman"/>
          <w:sz w:val="24"/>
          <w:szCs w:val="24"/>
        </w:rPr>
        <w:t>he import of the final order</w:t>
      </w:r>
      <w:r w:rsidR="00BD65AE">
        <w:rPr>
          <w:rFonts w:ascii="Times New Roman" w:hAnsi="Times New Roman" w:cs="Times New Roman"/>
          <w:sz w:val="24"/>
          <w:szCs w:val="24"/>
        </w:rPr>
        <w:t xml:space="preserve"> granted </w:t>
      </w:r>
      <w:r w:rsidR="00B6383C">
        <w:rPr>
          <w:rFonts w:ascii="Times New Roman" w:hAnsi="Times New Roman" w:cs="Times New Roman"/>
          <w:sz w:val="24"/>
          <w:szCs w:val="24"/>
        </w:rPr>
        <w:t xml:space="preserve">was </w:t>
      </w:r>
      <w:r w:rsidR="00163C95">
        <w:rPr>
          <w:rFonts w:ascii="Times New Roman" w:hAnsi="Times New Roman" w:cs="Times New Roman"/>
          <w:sz w:val="24"/>
          <w:szCs w:val="24"/>
        </w:rPr>
        <w:t xml:space="preserve">explained applicant </w:t>
      </w:r>
      <w:r w:rsidR="00BD65AE">
        <w:rPr>
          <w:rFonts w:ascii="Times New Roman" w:hAnsi="Times New Roman" w:cs="Times New Roman"/>
          <w:sz w:val="24"/>
          <w:szCs w:val="24"/>
        </w:rPr>
        <w:t xml:space="preserve">could not have consented to it. </w:t>
      </w:r>
    </w:p>
    <w:p w:rsidR="001E491A" w:rsidRDefault="001E491A" w:rsidP="00B6383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Respondents contend that the deponent to the founding affidavit in this applic</w:t>
      </w:r>
      <w:r w:rsidR="00B6383C">
        <w:rPr>
          <w:rFonts w:ascii="Times New Roman" w:hAnsi="Times New Roman" w:cs="Times New Roman"/>
          <w:sz w:val="24"/>
          <w:szCs w:val="24"/>
        </w:rPr>
        <w:t>ation was in attendance</w:t>
      </w:r>
      <w:r w:rsidR="00DC7748">
        <w:rPr>
          <w:rFonts w:ascii="Times New Roman" w:hAnsi="Times New Roman" w:cs="Times New Roman"/>
          <w:sz w:val="24"/>
          <w:szCs w:val="24"/>
        </w:rPr>
        <w:t xml:space="preserve"> during the hearing of the matter</w:t>
      </w:r>
      <w:r>
        <w:rPr>
          <w:rFonts w:ascii="Times New Roman" w:hAnsi="Times New Roman" w:cs="Times New Roman"/>
          <w:sz w:val="24"/>
          <w:szCs w:val="24"/>
        </w:rPr>
        <w:t>. It is argued that the consent order was entered after both litigants caucused with their respective legal practitioners and reached an agreement to have a consent order</w:t>
      </w:r>
      <w:r w:rsidR="00DE06BC">
        <w:rPr>
          <w:rFonts w:ascii="Times New Roman" w:hAnsi="Times New Roman" w:cs="Times New Roman"/>
          <w:sz w:val="24"/>
          <w:szCs w:val="24"/>
        </w:rPr>
        <w:t xml:space="preserve"> granted</w:t>
      </w:r>
      <w:r>
        <w:rPr>
          <w:rFonts w:ascii="Times New Roman" w:hAnsi="Times New Roman" w:cs="Times New Roman"/>
          <w:sz w:val="24"/>
          <w:szCs w:val="24"/>
        </w:rPr>
        <w:t xml:space="preserve">. It is further contended that the import of the consent order was explained to the parties inside the presiding judge’s chambers. </w:t>
      </w:r>
      <w:r w:rsidR="00B6383C">
        <w:rPr>
          <w:rFonts w:ascii="Times New Roman" w:hAnsi="Times New Roman" w:cs="Times New Roman"/>
          <w:sz w:val="24"/>
          <w:szCs w:val="24"/>
        </w:rPr>
        <w:t>It is contended that the</w:t>
      </w:r>
      <w:r w:rsidR="00DC7748">
        <w:rPr>
          <w:rFonts w:ascii="Times New Roman" w:hAnsi="Times New Roman" w:cs="Times New Roman"/>
          <w:sz w:val="24"/>
          <w:szCs w:val="24"/>
        </w:rPr>
        <w:t xml:space="preserve"> judge read out the consent order </w:t>
      </w:r>
      <w:r w:rsidR="00B6383C">
        <w:rPr>
          <w:rFonts w:ascii="Times New Roman" w:hAnsi="Times New Roman" w:cs="Times New Roman"/>
          <w:sz w:val="24"/>
          <w:szCs w:val="24"/>
        </w:rPr>
        <w:t>to the parties in chambers.</w:t>
      </w:r>
      <w:r w:rsidR="00DC7748">
        <w:rPr>
          <w:rFonts w:ascii="Times New Roman" w:hAnsi="Times New Roman" w:cs="Times New Roman"/>
          <w:sz w:val="24"/>
          <w:szCs w:val="24"/>
        </w:rPr>
        <w:t xml:space="preserve"> The net effect of the submissions of the respondents is that applicant is not being truthful that it was misled by its erstwhile legal practitioner. </w:t>
      </w:r>
    </w:p>
    <w:p w:rsidR="00D46BDC" w:rsidRDefault="00B6383C" w:rsidP="00B6383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 serious allegation ma</w:t>
      </w:r>
      <w:r w:rsidR="00DC7748">
        <w:rPr>
          <w:rFonts w:ascii="Times New Roman" w:hAnsi="Times New Roman" w:cs="Times New Roman"/>
          <w:sz w:val="24"/>
          <w:szCs w:val="24"/>
        </w:rPr>
        <w:t xml:space="preserve">de against the erstwhile </w:t>
      </w:r>
      <w:r w:rsidR="00DC7748" w:rsidRPr="009E1F1C">
        <w:rPr>
          <w:rFonts w:ascii="Times New Roman" w:hAnsi="Times New Roman" w:cs="Times New Roman"/>
          <w:i/>
          <w:sz w:val="24"/>
          <w:szCs w:val="24"/>
        </w:rPr>
        <w:t xml:space="preserve">Mr </w:t>
      </w:r>
      <w:r w:rsidR="00DC7748" w:rsidRPr="00DC7748">
        <w:rPr>
          <w:rFonts w:ascii="Times New Roman" w:hAnsi="Times New Roman" w:cs="Times New Roman"/>
          <w:i/>
          <w:sz w:val="24"/>
          <w:szCs w:val="24"/>
        </w:rPr>
        <w:t>Sithole</w:t>
      </w:r>
      <w:r>
        <w:rPr>
          <w:rFonts w:ascii="Times New Roman" w:hAnsi="Times New Roman" w:cs="Times New Roman"/>
          <w:sz w:val="24"/>
          <w:szCs w:val="24"/>
        </w:rPr>
        <w:t xml:space="preserve">. </w:t>
      </w:r>
      <w:r w:rsidR="00D46BDC" w:rsidRPr="00D46BDC">
        <w:rPr>
          <w:rFonts w:ascii="Times New Roman" w:hAnsi="Times New Roman" w:cs="Times New Roman"/>
          <w:sz w:val="24"/>
          <w:szCs w:val="24"/>
        </w:rPr>
        <w:t>The Const</w:t>
      </w:r>
      <w:r>
        <w:rPr>
          <w:rFonts w:ascii="Times New Roman" w:hAnsi="Times New Roman" w:cs="Times New Roman"/>
          <w:sz w:val="24"/>
          <w:szCs w:val="24"/>
        </w:rPr>
        <w:t>itution guarantees every</w:t>
      </w:r>
      <w:r w:rsidR="00A30352">
        <w:rPr>
          <w:rFonts w:ascii="Times New Roman" w:hAnsi="Times New Roman" w:cs="Times New Roman"/>
          <w:sz w:val="24"/>
          <w:szCs w:val="24"/>
        </w:rPr>
        <w:t xml:space="preserve"> </w:t>
      </w:r>
      <w:r w:rsidR="00CB5149">
        <w:rPr>
          <w:rFonts w:ascii="Times New Roman" w:hAnsi="Times New Roman" w:cs="Times New Roman"/>
          <w:sz w:val="24"/>
          <w:szCs w:val="24"/>
        </w:rPr>
        <w:t xml:space="preserve">person the right to a fair hearing. This includes the right </w:t>
      </w:r>
      <w:r w:rsidR="00D46BDC" w:rsidRPr="00D46BDC">
        <w:rPr>
          <w:rFonts w:ascii="Times New Roman" w:hAnsi="Times New Roman" w:cs="Times New Roman"/>
          <w:sz w:val="24"/>
          <w:szCs w:val="24"/>
        </w:rPr>
        <w:t>to c</w:t>
      </w:r>
      <w:r w:rsidR="00DE06BC">
        <w:rPr>
          <w:rFonts w:ascii="Times New Roman" w:hAnsi="Times New Roman" w:cs="Times New Roman"/>
          <w:sz w:val="24"/>
          <w:szCs w:val="24"/>
        </w:rPr>
        <w:t>hoose, and to be represented by</w:t>
      </w:r>
      <w:r w:rsidR="00D46BDC" w:rsidRPr="00D46BDC">
        <w:rPr>
          <w:rFonts w:ascii="Times New Roman" w:hAnsi="Times New Roman" w:cs="Times New Roman"/>
          <w:sz w:val="24"/>
          <w:szCs w:val="24"/>
        </w:rPr>
        <w:t xml:space="preserve"> a l</w:t>
      </w:r>
      <w:r w:rsidR="00CB5149">
        <w:rPr>
          <w:rFonts w:ascii="Times New Roman" w:hAnsi="Times New Roman" w:cs="Times New Roman"/>
          <w:sz w:val="24"/>
          <w:szCs w:val="24"/>
        </w:rPr>
        <w:t>egal practitioner. The right to</w:t>
      </w:r>
      <w:r w:rsidR="00A30352">
        <w:rPr>
          <w:rFonts w:ascii="Times New Roman" w:hAnsi="Times New Roman" w:cs="Times New Roman"/>
          <w:sz w:val="24"/>
          <w:szCs w:val="24"/>
        </w:rPr>
        <w:t xml:space="preserve"> </w:t>
      </w:r>
      <w:r w:rsidR="00D46BDC">
        <w:rPr>
          <w:rFonts w:ascii="Times New Roman" w:hAnsi="Times New Roman" w:cs="Times New Roman"/>
          <w:sz w:val="24"/>
          <w:szCs w:val="24"/>
        </w:rPr>
        <w:t xml:space="preserve">legal representation is a right of substance, not form: </w:t>
      </w:r>
      <w:r w:rsidR="00D46BDC" w:rsidRPr="00D46BDC">
        <w:rPr>
          <w:rFonts w:ascii="Times New Roman" w:hAnsi="Times New Roman" w:cs="Times New Roman"/>
          <w:sz w:val="24"/>
          <w:szCs w:val="24"/>
        </w:rPr>
        <w:t>The constitutional right to counsel must be real and n</w:t>
      </w:r>
      <w:r w:rsidR="00CB5149">
        <w:rPr>
          <w:rFonts w:ascii="Times New Roman" w:hAnsi="Times New Roman" w:cs="Times New Roman"/>
          <w:sz w:val="24"/>
          <w:szCs w:val="24"/>
        </w:rPr>
        <w:t>ot illusory and a litigant</w:t>
      </w:r>
      <w:r w:rsidR="00D46BDC">
        <w:rPr>
          <w:rFonts w:ascii="Times New Roman" w:hAnsi="Times New Roman" w:cs="Times New Roman"/>
          <w:sz w:val="24"/>
          <w:szCs w:val="24"/>
        </w:rPr>
        <w:t xml:space="preserve"> has, </w:t>
      </w:r>
      <w:r w:rsidR="001A4A0A">
        <w:rPr>
          <w:rFonts w:ascii="Times New Roman" w:hAnsi="Times New Roman" w:cs="Times New Roman"/>
          <w:sz w:val="24"/>
          <w:szCs w:val="24"/>
        </w:rPr>
        <w:t>in principle, the right to</w:t>
      </w:r>
      <w:r w:rsidR="00D46BDC" w:rsidRPr="00D46BDC">
        <w:rPr>
          <w:rFonts w:ascii="Times New Roman" w:hAnsi="Times New Roman" w:cs="Times New Roman"/>
          <w:sz w:val="24"/>
          <w:szCs w:val="24"/>
        </w:rPr>
        <w:t xml:space="preserve"> proper, </w:t>
      </w:r>
      <w:r w:rsidR="00CB5149">
        <w:rPr>
          <w:rFonts w:ascii="Times New Roman" w:hAnsi="Times New Roman" w:cs="Times New Roman"/>
          <w:sz w:val="24"/>
          <w:szCs w:val="24"/>
        </w:rPr>
        <w:t>effective or competent legal representation.</w:t>
      </w:r>
      <w:r w:rsidR="00A30352">
        <w:rPr>
          <w:rFonts w:ascii="Times New Roman" w:hAnsi="Times New Roman" w:cs="Times New Roman"/>
          <w:sz w:val="24"/>
          <w:szCs w:val="24"/>
        </w:rPr>
        <w:t xml:space="preserve"> </w:t>
      </w:r>
      <w:r w:rsidR="00D46BDC" w:rsidRPr="00D46BDC">
        <w:rPr>
          <w:rFonts w:ascii="Times New Roman" w:hAnsi="Times New Roman" w:cs="Times New Roman"/>
          <w:sz w:val="24"/>
          <w:szCs w:val="24"/>
        </w:rPr>
        <w:t xml:space="preserve">Incompetent lawyering can wreck </w:t>
      </w:r>
      <w:r w:rsidR="00DC7748">
        <w:rPr>
          <w:rFonts w:ascii="Times New Roman" w:hAnsi="Times New Roman" w:cs="Times New Roman"/>
          <w:sz w:val="24"/>
          <w:szCs w:val="24"/>
        </w:rPr>
        <w:t>a hearing</w:t>
      </w:r>
      <w:r w:rsidR="00D46BDC" w:rsidRPr="00D46BDC">
        <w:rPr>
          <w:rFonts w:ascii="Times New Roman" w:hAnsi="Times New Roman" w:cs="Times New Roman"/>
          <w:sz w:val="24"/>
          <w:szCs w:val="24"/>
        </w:rPr>
        <w:t>, th</w:t>
      </w:r>
      <w:r w:rsidR="00CB5149">
        <w:rPr>
          <w:rFonts w:ascii="Times New Roman" w:hAnsi="Times New Roman" w:cs="Times New Roman"/>
          <w:sz w:val="24"/>
          <w:szCs w:val="24"/>
        </w:rPr>
        <w:t xml:space="preserve">us violating a litigant’s right to a fair hearing. </w:t>
      </w:r>
      <w:r w:rsidR="00D46BDC" w:rsidRPr="00D46BDC">
        <w:rPr>
          <w:rFonts w:ascii="Times New Roman" w:hAnsi="Times New Roman" w:cs="Times New Roman"/>
          <w:sz w:val="24"/>
          <w:szCs w:val="24"/>
        </w:rPr>
        <w:t>The right to legal representa</w:t>
      </w:r>
      <w:r w:rsidR="00D46BDC">
        <w:rPr>
          <w:rFonts w:ascii="Times New Roman" w:hAnsi="Times New Roman" w:cs="Times New Roman"/>
          <w:sz w:val="24"/>
          <w:szCs w:val="24"/>
        </w:rPr>
        <w:t xml:space="preserve">tion therefore means a right to </w:t>
      </w:r>
      <w:r w:rsidR="00D46BDC" w:rsidRPr="00D46BDC">
        <w:rPr>
          <w:rFonts w:ascii="Times New Roman" w:hAnsi="Times New Roman" w:cs="Times New Roman"/>
          <w:sz w:val="24"/>
          <w:szCs w:val="24"/>
        </w:rPr>
        <w:t>competent representation – representati</w:t>
      </w:r>
      <w:r w:rsidR="00D46BDC">
        <w:rPr>
          <w:rFonts w:ascii="Times New Roman" w:hAnsi="Times New Roman" w:cs="Times New Roman"/>
          <w:sz w:val="24"/>
          <w:szCs w:val="24"/>
        </w:rPr>
        <w:t xml:space="preserve">on of a quality and nature that </w:t>
      </w:r>
      <w:r w:rsidR="00CB5149">
        <w:rPr>
          <w:rFonts w:ascii="Times New Roman" w:hAnsi="Times New Roman" w:cs="Times New Roman"/>
          <w:sz w:val="24"/>
          <w:szCs w:val="24"/>
        </w:rPr>
        <w:t>ensures that the hearing</w:t>
      </w:r>
      <w:r w:rsidR="00D46BDC" w:rsidRPr="00D46BDC">
        <w:rPr>
          <w:rFonts w:ascii="Times New Roman" w:hAnsi="Times New Roman" w:cs="Times New Roman"/>
          <w:sz w:val="24"/>
          <w:szCs w:val="24"/>
        </w:rPr>
        <w:t xml:space="preserve"> is indeed fair.</w:t>
      </w:r>
      <w:r w:rsidR="00A30352">
        <w:rPr>
          <w:rFonts w:ascii="Times New Roman" w:hAnsi="Times New Roman" w:cs="Times New Roman"/>
          <w:sz w:val="24"/>
          <w:szCs w:val="24"/>
        </w:rPr>
        <w:t xml:space="preserve"> </w:t>
      </w:r>
      <w:r w:rsidR="00CE7B40">
        <w:rPr>
          <w:rFonts w:ascii="Times New Roman" w:hAnsi="Times New Roman" w:cs="Times New Roman"/>
          <w:sz w:val="24"/>
          <w:szCs w:val="24"/>
        </w:rPr>
        <w:t xml:space="preserve">When a litigant </w:t>
      </w:r>
      <w:r w:rsidR="00D46BDC" w:rsidRPr="00D46BDC">
        <w:rPr>
          <w:rFonts w:ascii="Times New Roman" w:hAnsi="Times New Roman" w:cs="Times New Roman"/>
          <w:sz w:val="24"/>
          <w:szCs w:val="24"/>
        </w:rPr>
        <w:t xml:space="preserve">complains about the quality of legal representation, </w:t>
      </w:r>
      <w:r w:rsidR="00CE7B40">
        <w:rPr>
          <w:rFonts w:ascii="Times New Roman" w:hAnsi="Times New Roman" w:cs="Times New Roman"/>
          <w:sz w:val="24"/>
          <w:szCs w:val="24"/>
        </w:rPr>
        <w:t xml:space="preserve">such a complaint must be given serious consideration. </w:t>
      </w:r>
      <w:r w:rsidR="0003327C">
        <w:rPr>
          <w:rFonts w:ascii="Times New Roman" w:hAnsi="Times New Roman" w:cs="Times New Roman"/>
          <w:sz w:val="24"/>
          <w:szCs w:val="24"/>
        </w:rPr>
        <w:t xml:space="preserve">If </w:t>
      </w:r>
      <w:r w:rsidR="00DC7748">
        <w:rPr>
          <w:rFonts w:ascii="Times New Roman" w:hAnsi="Times New Roman" w:cs="Times New Roman"/>
          <w:sz w:val="24"/>
          <w:szCs w:val="24"/>
        </w:rPr>
        <w:t xml:space="preserve">there is evidence that </w:t>
      </w:r>
      <w:r w:rsidR="0003327C">
        <w:rPr>
          <w:rFonts w:ascii="Times New Roman" w:hAnsi="Times New Roman" w:cs="Times New Roman"/>
          <w:sz w:val="24"/>
          <w:szCs w:val="24"/>
        </w:rPr>
        <w:t xml:space="preserve">an </w:t>
      </w:r>
      <w:r w:rsidR="00D46BDC" w:rsidRPr="00D46BDC">
        <w:rPr>
          <w:rFonts w:ascii="Times New Roman" w:hAnsi="Times New Roman" w:cs="Times New Roman"/>
          <w:sz w:val="24"/>
          <w:szCs w:val="24"/>
        </w:rPr>
        <w:t xml:space="preserve">inept advice of counsel </w:t>
      </w:r>
      <w:r w:rsidR="00CE7B40">
        <w:rPr>
          <w:rFonts w:ascii="Times New Roman" w:hAnsi="Times New Roman" w:cs="Times New Roman"/>
          <w:sz w:val="24"/>
          <w:szCs w:val="24"/>
        </w:rPr>
        <w:t>improperly and</w:t>
      </w:r>
      <w:r w:rsidR="00D46BDC" w:rsidRPr="00D46BDC">
        <w:rPr>
          <w:rFonts w:ascii="Times New Roman" w:hAnsi="Times New Roman" w:cs="Times New Roman"/>
          <w:sz w:val="24"/>
          <w:szCs w:val="24"/>
        </w:rPr>
        <w:t xml:space="preserve"> unfairly thwarted </w:t>
      </w:r>
      <w:r w:rsidR="00CE7B40">
        <w:rPr>
          <w:rFonts w:ascii="Times New Roman" w:hAnsi="Times New Roman" w:cs="Times New Roman"/>
          <w:sz w:val="24"/>
          <w:szCs w:val="24"/>
        </w:rPr>
        <w:t>a litigant’</w:t>
      </w:r>
      <w:r w:rsidR="0003327C">
        <w:rPr>
          <w:rFonts w:ascii="Times New Roman" w:hAnsi="Times New Roman" w:cs="Times New Roman"/>
          <w:sz w:val="24"/>
          <w:szCs w:val="24"/>
        </w:rPr>
        <w:t>s</w:t>
      </w:r>
      <w:r w:rsidR="00D46BDC" w:rsidRPr="00D46BDC">
        <w:rPr>
          <w:rFonts w:ascii="Times New Roman" w:hAnsi="Times New Roman" w:cs="Times New Roman"/>
          <w:sz w:val="24"/>
          <w:szCs w:val="24"/>
        </w:rPr>
        <w:t xml:space="preserve"> exe</w:t>
      </w:r>
      <w:r w:rsidR="0003327C">
        <w:rPr>
          <w:rFonts w:ascii="Times New Roman" w:hAnsi="Times New Roman" w:cs="Times New Roman"/>
          <w:sz w:val="24"/>
          <w:szCs w:val="24"/>
        </w:rPr>
        <w:t>rcise of the right to a fair h</w:t>
      </w:r>
      <w:r w:rsidR="00DC7748">
        <w:rPr>
          <w:rFonts w:ascii="Times New Roman" w:hAnsi="Times New Roman" w:cs="Times New Roman"/>
          <w:sz w:val="24"/>
          <w:szCs w:val="24"/>
        </w:rPr>
        <w:t xml:space="preserve">earing, the court must come to the rescue of such a litigant. See </w:t>
      </w:r>
      <w:r w:rsidR="00DC7748" w:rsidRPr="004F3496">
        <w:rPr>
          <w:rFonts w:ascii="Times New Roman" w:hAnsi="Times New Roman" w:cs="Times New Roman"/>
          <w:bCs/>
          <w:i/>
          <w:sz w:val="24"/>
          <w:szCs w:val="24"/>
        </w:rPr>
        <w:t>S v Tandwa</w:t>
      </w:r>
      <w:r w:rsidR="009E1F1C">
        <w:rPr>
          <w:rFonts w:ascii="Times New Roman" w:hAnsi="Times New Roman" w:cs="Times New Roman"/>
          <w:bCs/>
          <w:i/>
          <w:sz w:val="24"/>
          <w:szCs w:val="24"/>
        </w:rPr>
        <w:t xml:space="preserve"> </w:t>
      </w:r>
      <w:r w:rsidR="00DC7748" w:rsidRPr="004F3496">
        <w:rPr>
          <w:rFonts w:ascii="Times New Roman" w:hAnsi="Times New Roman" w:cs="Times New Roman"/>
          <w:bCs/>
          <w:sz w:val="24"/>
          <w:szCs w:val="24"/>
        </w:rPr>
        <w:t>[2007] SCA 34 (RSA)</w:t>
      </w:r>
      <w:r w:rsidR="00DC7748">
        <w:rPr>
          <w:rFonts w:ascii="Arial" w:hAnsi="Arial" w:cs="Arial"/>
          <w:b/>
          <w:bCs/>
          <w:sz w:val="24"/>
          <w:szCs w:val="24"/>
        </w:rPr>
        <w:t>.</w:t>
      </w:r>
    </w:p>
    <w:p w:rsidR="008A55E1" w:rsidRDefault="008A55E1" w:rsidP="00BD65A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w:t>
      </w:r>
      <w:r w:rsidR="00DC7748">
        <w:rPr>
          <w:rFonts w:ascii="Times New Roman" w:hAnsi="Times New Roman" w:cs="Times New Roman"/>
          <w:sz w:val="24"/>
          <w:szCs w:val="24"/>
        </w:rPr>
        <w:t xml:space="preserve">hearing I asked </w:t>
      </w:r>
      <w:r w:rsidR="00DC7748" w:rsidRPr="009E1F1C">
        <w:rPr>
          <w:rFonts w:ascii="Times New Roman" w:hAnsi="Times New Roman" w:cs="Times New Roman"/>
          <w:i/>
          <w:sz w:val="24"/>
          <w:szCs w:val="24"/>
        </w:rPr>
        <w:t>Mr</w:t>
      </w:r>
      <w:r w:rsidR="00DC7748">
        <w:rPr>
          <w:rFonts w:ascii="Times New Roman" w:hAnsi="Times New Roman" w:cs="Times New Roman"/>
          <w:sz w:val="24"/>
          <w:szCs w:val="24"/>
        </w:rPr>
        <w:t xml:space="preserve"> </w:t>
      </w:r>
      <w:r w:rsidR="00DC7748" w:rsidRPr="00DC7748">
        <w:rPr>
          <w:rFonts w:ascii="Times New Roman" w:hAnsi="Times New Roman" w:cs="Times New Roman"/>
          <w:i/>
          <w:sz w:val="24"/>
          <w:szCs w:val="24"/>
        </w:rPr>
        <w:t>Sengweni,</w:t>
      </w:r>
      <w:r w:rsidR="00DC7748">
        <w:rPr>
          <w:rFonts w:ascii="Times New Roman" w:hAnsi="Times New Roman" w:cs="Times New Roman"/>
          <w:sz w:val="24"/>
          <w:szCs w:val="24"/>
        </w:rPr>
        <w:t xml:space="preserve"> counsel</w:t>
      </w:r>
      <w:r>
        <w:rPr>
          <w:rFonts w:ascii="Times New Roman" w:hAnsi="Times New Roman" w:cs="Times New Roman"/>
          <w:sz w:val="24"/>
          <w:szCs w:val="24"/>
        </w:rPr>
        <w:t xml:space="preserve"> for the applican</w:t>
      </w:r>
      <w:r w:rsidR="00DC7748">
        <w:rPr>
          <w:rFonts w:ascii="Times New Roman" w:hAnsi="Times New Roman" w:cs="Times New Roman"/>
          <w:sz w:val="24"/>
          <w:szCs w:val="24"/>
        </w:rPr>
        <w:t>t, whether the erstwhile legal practi</w:t>
      </w:r>
      <w:r w:rsidR="009E1F1C">
        <w:rPr>
          <w:rFonts w:ascii="Times New Roman" w:hAnsi="Times New Roman" w:cs="Times New Roman"/>
          <w:sz w:val="24"/>
          <w:szCs w:val="24"/>
        </w:rPr>
        <w:t>ti</w:t>
      </w:r>
      <w:r w:rsidR="00DC7748">
        <w:rPr>
          <w:rFonts w:ascii="Times New Roman" w:hAnsi="Times New Roman" w:cs="Times New Roman"/>
          <w:sz w:val="24"/>
          <w:szCs w:val="24"/>
        </w:rPr>
        <w:t>oner</w:t>
      </w:r>
      <w:r>
        <w:rPr>
          <w:rFonts w:ascii="Times New Roman" w:hAnsi="Times New Roman" w:cs="Times New Roman"/>
          <w:sz w:val="24"/>
          <w:szCs w:val="24"/>
        </w:rPr>
        <w:t xml:space="preserve"> was given an opportunity to put his version bef</w:t>
      </w:r>
      <w:r w:rsidR="00B6383C">
        <w:rPr>
          <w:rFonts w:ascii="Times New Roman" w:hAnsi="Times New Roman" w:cs="Times New Roman"/>
          <w:sz w:val="24"/>
          <w:szCs w:val="24"/>
        </w:rPr>
        <w:t xml:space="preserve">ore </w:t>
      </w:r>
      <w:r w:rsidR="00DE06BC">
        <w:rPr>
          <w:rFonts w:ascii="Times New Roman" w:hAnsi="Times New Roman" w:cs="Times New Roman"/>
          <w:sz w:val="24"/>
          <w:szCs w:val="24"/>
        </w:rPr>
        <w:t xml:space="preserve">this </w:t>
      </w:r>
      <w:r w:rsidR="00B6383C">
        <w:rPr>
          <w:rFonts w:ascii="Times New Roman" w:hAnsi="Times New Roman" w:cs="Times New Roman"/>
          <w:sz w:val="24"/>
          <w:szCs w:val="24"/>
        </w:rPr>
        <w:t>court. Counsel submitted from</w:t>
      </w:r>
      <w:r>
        <w:rPr>
          <w:rFonts w:ascii="Times New Roman" w:hAnsi="Times New Roman" w:cs="Times New Roman"/>
          <w:sz w:val="24"/>
          <w:szCs w:val="24"/>
        </w:rPr>
        <w:t xml:space="preserve"> the bar that the erstwhile counsel was asked to put his version before court, and he declined. I find this unsatisfactory, first this explanation is not contained in the affidavits before court</w:t>
      </w:r>
      <w:r w:rsidR="00B6383C">
        <w:rPr>
          <w:rFonts w:ascii="Times New Roman" w:hAnsi="Times New Roman" w:cs="Times New Roman"/>
          <w:sz w:val="24"/>
          <w:szCs w:val="24"/>
        </w:rPr>
        <w:t>, i.e. the founding affidavit and answering affidavit</w:t>
      </w:r>
      <w:r>
        <w:rPr>
          <w:rFonts w:ascii="Times New Roman" w:hAnsi="Times New Roman" w:cs="Times New Roman"/>
          <w:sz w:val="24"/>
          <w:szCs w:val="24"/>
        </w:rPr>
        <w:t xml:space="preserve">. Second, no correspondence has been placed before court to show that the erstwhile counsel was requested to put his version before </w:t>
      </w:r>
      <w:r w:rsidR="00B6383C">
        <w:rPr>
          <w:rFonts w:ascii="Times New Roman" w:hAnsi="Times New Roman" w:cs="Times New Roman"/>
          <w:sz w:val="24"/>
          <w:szCs w:val="24"/>
        </w:rPr>
        <w:t xml:space="preserve">this </w:t>
      </w:r>
      <w:r>
        <w:rPr>
          <w:rFonts w:ascii="Times New Roman" w:hAnsi="Times New Roman" w:cs="Times New Roman"/>
          <w:sz w:val="24"/>
          <w:szCs w:val="24"/>
        </w:rPr>
        <w:t xml:space="preserve">court. I take the view that where the erstwhile counsel declines to put his version before court, he must </w:t>
      </w:r>
      <w:r w:rsidR="00DE06BC">
        <w:rPr>
          <w:rFonts w:ascii="Times New Roman" w:hAnsi="Times New Roman" w:cs="Times New Roman"/>
          <w:sz w:val="24"/>
          <w:szCs w:val="24"/>
        </w:rPr>
        <w:t xml:space="preserve">still </w:t>
      </w:r>
      <w:r>
        <w:rPr>
          <w:rFonts w:ascii="Times New Roman" w:hAnsi="Times New Roman" w:cs="Times New Roman"/>
          <w:sz w:val="24"/>
          <w:szCs w:val="24"/>
        </w:rPr>
        <w:t xml:space="preserve">be served with the application, to give him an opportunity to seriously consider whether to put his version or let go. </w:t>
      </w:r>
      <w:r w:rsidR="00B6383C">
        <w:rPr>
          <w:rFonts w:ascii="Times New Roman" w:hAnsi="Times New Roman" w:cs="Times New Roman"/>
          <w:sz w:val="24"/>
          <w:szCs w:val="24"/>
        </w:rPr>
        <w:t xml:space="preserve">If he has been served with the court papers containing allegations against him and he declines to put his version before court, </w:t>
      </w:r>
      <w:r w:rsidR="009A6A94">
        <w:rPr>
          <w:rFonts w:ascii="Times New Roman" w:hAnsi="Times New Roman" w:cs="Times New Roman"/>
          <w:sz w:val="24"/>
          <w:szCs w:val="24"/>
        </w:rPr>
        <w:t xml:space="preserve">the court may then draw adverse inferences against such </w:t>
      </w:r>
      <w:r w:rsidR="00DE06BC">
        <w:rPr>
          <w:rFonts w:ascii="Times New Roman" w:hAnsi="Times New Roman" w:cs="Times New Roman"/>
          <w:sz w:val="24"/>
          <w:szCs w:val="24"/>
        </w:rPr>
        <w:t xml:space="preserve">a </w:t>
      </w:r>
      <w:r w:rsidR="009A6A94">
        <w:rPr>
          <w:rFonts w:ascii="Times New Roman" w:hAnsi="Times New Roman" w:cs="Times New Roman"/>
          <w:sz w:val="24"/>
          <w:szCs w:val="24"/>
        </w:rPr>
        <w:t xml:space="preserve">counsel. </w:t>
      </w:r>
    </w:p>
    <w:p w:rsidR="001163CC" w:rsidRPr="000B447F" w:rsidRDefault="009A6A94" w:rsidP="000B447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court would not</w:t>
      </w:r>
      <w:r w:rsidR="008A55E1">
        <w:rPr>
          <w:rFonts w:ascii="Times New Roman" w:hAnsi="Times New Roman" w:cs="Times New Roman"/>
          <w:sz w:val="24"/>
          <w:szCs w:val="24"/>
        </w:rPr>
        <w:t xml:space="preserve"> make a serious finding against an individual </w:t>
      </w:r>
      <w:r w:rsidR="00975E77">
        <w:rPr>
          <w:rFonts w:ascii="Times New Roman" w:hAnsi="Times New Roman" w:cs="Times New Roman"/>
          <w:sz w:val="24"/>
          <w:szCs w:val="24"/>
        </w:rPr>
        <w:t xml:space="preserve">when there is no evidence that such an individual has </w:t>
      </w:r>
      <w:r w:rsidR="00DE06BC">
        <w:rPr>
          <w:rFonts w:ascii="Times New Roman" w:hAnsi="Times New Roman" w:cs="Times New Roman"/>
          <w:sz w:val="24"/>
          <w:szCs w:val="24"/>
        </w:rPr>
        <w:t xml:space="preserve">had </w:t>
      </w:r>
      <w:r w:rsidR="00975E77">
        <w:rPr>
          <w:rFonts w:ascii="Times New Roman" w:hAnsi="Times New Roman" w:cs="Times New Roman"/>
          <w:sz w:val="24"/>
          <w:szCs w:val="24"/>
        </w:rPr>
        <w:t>notice of the allegation being levelled ag</w:t>
      </w:r>
      <w:r w:rsidR="001177BF">
        <w:rPr>
          <w:rFonts w:ascii="Times New Roman" w:hAnsi="Times New Roman" w:cs="Times New Roman"/>
          <w:sz w:val="24"/>
          <w:szCs w:val="24"/>
        </w:rPr>
        <w:t>ainst him. This court cannot conclude that</w:t>
      </w:r>
      <w:r w:rsidR="00975E77">
        <w:rPr>
          <w:rFonts w:ascii="Times New Roman" w:hAnsi="Times New Roman" w:cs="Times New Roman"/>
          <w:sz w:val="24"/>
          <w:szCs w:val="24"/>
        </w:rPr>
        <w:t xml:space="preserve"> the erstwhile counsel did not provide </w:t>
      </w:r>
      <w:r w:rsidR="00975E77" w:rsidRPr="00D46BDC">
        <w:rPr>
          <w:rFonts w:ascii="Times New Roman" w:hAnsi="Times New Roman" w:cs="Times New Roman"/>
          <w:sz w:val="24"/>
          <w:szCs w:val="24"/>
        </w:rPr>
        <w:t xml:space="preserve">proper, </w:t>
      </w:r>
      <w:r w:rsidR="00975E77">
        <w:rPr>
          <w:rFonts w:ascii="Times New Roman" w:hAnsi="Times New Roman" w:cs="Times New Roman"/>
          <w:sz w:val="24"/>
          <w:szCs w:val="24"/>
        </w:rPr>
        <w:t>effective or competent legal representation, without his versi</w:t>
      </w:r>
      <w:r w:rsidR="00C61186">
        <w:rPr>
          <w:rFonts w:ascii="Times New Roman" w:hAnsi="Times New Roman" w:cs="Times New Roman"/>
          <w:sz w:val="24"/>
          <w:szCs w:val="24"/>
        </w:rPr>
        <w:t xml:space="preserve">on being before court or evidence </w:t>
      </w:r>
      <w:r w:rsidR="00975E77">
        <w:rPr>
          <w:rFonts w:ascii="Times New Roman" w:hAnsi="Times New Roman" w:cs="Times New Roman"/>
          <w:sz w:val="24"/>
          <w:szCs w:val="24"/>
        </w:rPr>
        <w:t xml:space="preserve">that he is aware of the allegations being made against him. </w:t>
      </w:r>
      <w:r>
        <w:rPr>
          <w:rFonts w:ascii="Times New Roman" w:hAnsi="Times New Roman" w:cs="Times New Roman"/>
          <w:sz w:val="24"/>
          <w:szCs w:val="24"/>
        </w:rPr>
        <w:t>Faced with an attack on his professionalism, counsel h</w:t>
      </w:r>
      <w:r w:rsidR="00EC7E6F">
        <w:rPr>
          <w:rFonts w:ascii="Times New Roman" w:hAnsi="Times New Roman" w:cs="Times New Roman"/>
          <w:sz w:val="24"/>
          <w:szCs w:val="24"/>
        </w:rPr>
        <w:t>as a right to defend his name.</w:t>
      </w:r>
      <w:r>
        <w:rPr>
          <w:rFonts w:ascii="Times New Roman" w:hAnsi="Times New Roman" w:cs="Times New Roman"/>
          <w:sz w:val="24"/>
          <w:szCs w:val="24"/>
        </w:rPr>
        <w:t xml:space="preserve"> See </w:t>
      </w:r>
      <w:r w:rsidR="004F3496" w:rsidRPr="004F3496">
        <w:rPr>
          <w:rFonts w:ascii="Times New Roman" w:hAnsi="Times New Roman" w:cs="Times New Roman"/>
          <w:bCs/>
          <w:i/>
          <w:sz w:val="24"/>
          <w:szCs w:val="24"/>
        </w:rPr>
        <w:t>S v Tandwa</w:t>
      </w:r>
      <w:r w:rsidR="009E1F1C">
        <w:rPr>
          <w:rFonts w:ascii="Times New Roman" w:hAnsi="Times New Roman" w:cs="Times New Roman"/>
          <w:bCs/>
          <w:i/>
          <w:sz w:val="24"/>
          <w:szCs w:val="24"/>
        </w:rPr>
        <w:t xml:space="preserve"> </w:t>
      </w:r>
      <w:r w:rsidR="004F3496" w:rsidRPr="004F3496">
        <w:rPr>
          <w:rFonts w:ascii="Times New Roman" w:hAnsi="Times New Roman" w:cs="Times New Roman"/>
          <w:bCs/>
          <w:sz w:val="24"/>
          <w:szCs w:val="24"/>
        </w:rPr>
        <w:t>[2007] SCA 34 (RSA)</w:t>
      </w:r>
      <w:r w:rsidR="00926F20">
        <w:rPr>
          <w:rFonts w:ascii="Arial" w:hAnsi="Arial" w:cs="Arial"/>
          <w:b/>
          <w:bCs/>
          <w:sz w:val="24"/>
          <w:szCs w:val="24"/>
        </w:rPr>
        <w:t>.</w:t>
      </w:r>
      <w:r w:rsidR="000B447F">
        <w:rPr>
          <w:rFonts w:ascii="Times New Roman" w:hAnsi="Times New Roman" w:cs="Times New Roman"/>
          <w:sz w:val="24"/>
          <w:szCs w:val="24"/>
        </w:rPr>
        <w:t xml:space="preserve">To accuse a legal practitioner of misleading a client, and not give him an opportunity to defend his name is unacceptable and wrong. </w:t>
      </w:r>
    </w:p>
    <w:p w:rsidR="008A55E1" w:rsidRPr="004F3496" w:rsidRDefault="004F3496" w:rsidP="00926F20">
      <w:pPr>
        <w:spacing w:after="0" w:line="360" w:lineRule="auto"/>
        <w:ind w:firstLine="720"/>
        <w:jc w:val="both"/>
        <w:rPr>
          <w:rFonts w:ascii="Times New Roman" w:hAnsi="Times New Roman" w:cs="Times New Roman"/>
          <w:snapToGrid w:val="0"/>
          <w:sz w:val="24"/>
          <w:szCs w:val="24"/>
        </w:rPr>
      </w:pPr>
      <w:r w:rsidRPr="004F3496">
        <w:rPr>
          <w:rFonts w:ascii="Times New Roman" w:hAnsi="Times New Roman" w:cs="Times New Roman"/>
          <w:snapToGrid w:val="0"/>
          <w:sz w:val="24"/>
          <w:szCs w:val="24"/>
        </w:rPr>
        <w:t>The applicant’s case is de</w:t>
      </w:r>
      <w:r>
        <w:rPr>
          <w:rFonts w:ascii="Times New Roman" w:hAnsi="Times New Roman" w:cs="Times New Roman"/>
          <w:snapToGrid w:val="0"/>
          <w:sz w:val="24"/>
          <w:szCs w:val="24"/>
        </w:rPr>
        <w:t>ficient in that, in its</w:t>
      </w:r>
      <w:r w:rsidRPr="004F3496">
        <w:rPr>
          <w:rFonts w:ascii="Times New Roman" w:hAnsi="Times New Roman" w:cs="Times New Roman"/>
          <w:snapToGrid w:val="0"/>
          <w:sz w:val="24"/>
          <w:szCs w:val="24"/>
        </w:rPr>
        <w:t xml:space="preserve"> affidavit</w:t>
      </w:r>
      <w:r>
        <w:rPr>
          <w:rFonts w:ascii="Times New Roman" w:hAnsi="Times New Roman" w:cs="Times New Roman"/>
          <w:snapToGrid w:val="0"/>
          <w:sz w:val="24"/>
          <w:szCs w:val="24"/>
        </w:rPr>
        <w:t>s, it</w:t>
      </w:r>
      <w:r w:rsidR="001177BF">
        <w:rPr>
          <w:rFonts w:ascii="Times New Roman" w:hAnsi="Times New Roman" w:cs="Times New Roman"/>
          <w:snapToGrid w:val="0"/>
          <w:sz w:val="24"/>
          <w:szCs w:val="24"/>
        </w:rPr>
        <w:t xml:space="preserve"> does not place before court</w:t>
      </w:r>
      <w:r w:rsidRPr="004F3496">
        <w:rPr>
          <w:rFonts w:ascii="Times New Roman" w:hAnsi="Times New Roman" w:cs="Times New Roman"/>
          <w:snapToGrid w:val="0"/>
          <w:sz w:val="24"/>
          <w:szCs w:val="24"/>
        </w:rPr>
        <w:t xml:space="preserve"> facts upon whic</w:t>
      </w:r>
      <w:r w:rsidR="00DE06BC">
        <w:rPr>
          <w:rFonts w:ascii="Times New Roman" w:hAnsi="Times New Roman" w:cs="Times New Roman"/>
          <w:snapToGrid w:val="0"/>
          <w:sz w:val="24"/>
          <w:szCs w:val="24"/>
        </w:rPr>
        <w:t>h a finding can be made that it</w:t>
      </w:r>
      <w:r w:rsidRPr="004F3496">
        <w:rPr>
          <w:rFonts w:ascii="Times New Roman" w:hAnsi="Times New Roman" w:cs="Times New Roman"/>
          <w:snapToGrid w:val="0"/>
          <w:sz w:val="24"/>
          <w:szCs w:val="24"/>
        </w:rPr>
        <w:t xml:space="preserve"> did not consent to the order when it was entered into. It is trite that an application falls or succeeds on the basis</w:t>
      </w:r>
      <w:r>
        <w:rPr>
          <w:rFonts w:ascii="Times New Roman" w:hAnsi="Times New Roman" w:cs="Times New Roman"/>
          <w:snapToGrid w:val="0"/>
          <w:sz w:val="24"/>
          <w:szCs w:val="24"/>
        </w:rPr>
        <w:t xml:space="preserve"> of the contents of the</w:t>
      </w:r>
      <w:r w:rsidRPr="004F3496">
        <w:rPr>
          <w:rFonts w:ascii="Times New Roman" w:hAnsi="Times New Roman" w:cs="Times New Roman"/>
          <w:snapToGrid w:val="0"/>
          <w:sz w:val="24"/>
          <w:szCs w:val="24"/>
        </w:rPr>
        <w:t xml:space="preserve"> affidavit</w:t>
      </w:r>
      <w:r>
        <w:rPr>
          <w:rFonts w:ascii="Times New Roman" w:hAnsi="Times New Roman" w:cs="Times New Roman"/>
          <w:snapToGrid w:val="0"/>
          <w:sz w:val="24"/>
          <w:szCs w:val="24"/>
        </w:rPr>
        <w:t>s before court</w:t>
      </w:r>
      <w:r w:rsidRPr="004F3496">
        <w:rPr>
          <w:rFonts w:ascii="Times New Roman" w:hAnsi="Times New Roman" w:cs="Times New Roman"/>
          <w:snapToGrid w:val="0"/>
          <w:sz w:val="24"/>
          <w:szCs w:val="24"/>
        </w:rPr>
        <w:t xml:space="preserve">. </w:t>
      </w:r>
      <w:r w:rsidR="00975E77">
        <w:rPr>
          <w:rFonts w:ascii="Times New Roman" w:hAnsi="Times New Roman" w:cs="Times New Roman"/>
          <w:sz w:val="24"/>
          <w:szCs w:val="24"/>
        </w:rPr>
        <w:t xml:space="preserve">I therefore, find that there is no evidence that the erstwhile legal practitioner did not give applicant </w:t>
      </w:r>
      <w:r w:rsidR="00975E77" w:rsidRPr="00D46BDC">
        <w:rPr>
          <w:rFonts w:ascii="Times New Roman" w:hAnsi="Times New Roman" w:cs="Times New Roman"/>
          <w:sz w:val="24"/>
          <w:szCs w:val="24"/>
        </w:rPr>
        <w:t xml:space="preserve">proper, </w:t>
      </w:r>
      <w:r w:rsidR="00975E77">
        <w:rPr>
          <w:rFonts w:ascii="Times New Roman" w:hAnsi="Times New Roman" w:cs="Times New Roman"/>
          <w:sz w:val="24"/>
          <w:szCs w:val="24"/>
        </w:rPr>
        <w:t>effective or competent legal representation.</w:t>
      </w:r>
      <w:r w:rsidR="00A30352">
        <w:rPr>
          <w:rFonts w:ascii="Times New Roman" w:hAnsi="Times New Roman" w:cs="Times New Roman"/>
          <w:sz w:val="24"/>
          <w:szCs w:val="24"/>
        </w:rPr>
        <w:t xml:space="preserve">  </w:t>
      </w:r>
      <w:r w:rsidR="003D2D3C">
        <w:rPr>
          <w:rFonts w:ascii="Times New Roman" w:hAnsi="Times New Roman" w:cs="Times New Roman"/>
          <w:sz w:val="24"/>
          <w:szCs w:val="24"/>
        </w:rPr>
        <w:t xml:space="preserve">The </w:t>
      </w:r>
      <w:r w:rsidR="003D2D3C" w:rsidRPr="003D2D3C">
        <w:rPr>
          <w:rFonts w:ascii="Times New Roman" w:hAnsi="Times New Roman" w:cs="Times New Roman"/>
          <w:i/>
          <w:sz w:val="24"/>
          <w:szCs w:val="24"/>
        </w:rPr>
        <w:t>onus</w:t>
      </w:r>
      <w:r w:rsidR="003D2D3C">
        <w:rPr>
          <w:rFonts w:ascii="Times New Roman" w:hAnsi="Times New Roman" w:cs="Times New Roman"/>
          <w:sz w:val="24"/>
          <w:szCs w:val="24"/>
        </w:rPr>
        <w:t xml:space="preserve"> is on the </w:t>
      </w:r>
      <w:r w:rsidR="001A4A0A">
        <w:rPr>
          <w:rFonts w:ascii="Times New Roman" w:hAnsi="Times New Roman" w:cs="Times New Roman"/>
          <w:sz w:val="24"/>
          <w:szCs w:val="24"/>
        </w:rPr>
        <w:t>applicant to show that in</w:t>
      </w:r>
      <w:r w:rsidR="003D2D3C">
        <w:rPr>
          <w:rFonts w:ascii="Times New Roman" w:hAnsi="Times New Roman" w:cs="Times New Roman"/>
          <w:sz w:val="24"/>
          <w:szCs w:val="24"/>
        </w:rPr>
        <w:t>deed its complaint has merit, it has failed to do so. I conclude on this issue that a</w:t>
      </w:r>
      <w:r>
        <w:rPr>
          <w:rFonts w:ascii="Times New Roman" w:hAnsi="Times New Roman" w:cs="Times New Roman"/>
          <w:sz w:val="24"/>
          <w:szCs w:val="24"/>
        </w:rPr>
        <w:t>pplicant</w:t>
      </w:r>
      <w:r w:rsidR="003D2D3C">
        <w:rPr>
          <w:rFonts w:ascii="Times New Roman" w:hAnsi="Times New Roman" w:cs="Times New Roman"/>
          <w:sz w:val="24"/>
          <w:szCs w:val="24"/>
        </w:rPr>
        <w:t>, with correct legal advice</w:t>
      </w:r>
      <w:r>
        <w:rPr>
          <w:rFonts w:ascii="Times New Roman" w:hAnsi="Times New Roman" w:cs="Times New Roman"/>
          <w:sz w:val="24"/>
          <w:szCs w:val="24"/>
        </w:rPr>
        <w:t xml:space="preserve"> consented to the consent order. </w:t>
      </w:r>
    </w:p>
    <w:p w:rsidR="003437AF" w:rsidRPr="003437AF" w:rsidRDefault="007703C1" w:rsidP="003437AF">
      <w:pPr>
        <w:spacing w:after="0" w:line="360" w:lineRule="auto"/>
        <w:ind w:firstLine="720"/>
        <w:jc w:val="both"/>
        <w:rPr>
          <w:rFonts w:ascii="Times New Roman" w:hAnsi="Times New Roman" w:cs="Times New Roman"/>
          <w:snapToGrid w:val="0"/>
          <w:sz w:val="24"/>
          <w:szCs w:val="24"/>
        </w:rPr>
      </w:pPr>
      <w:r>
        <w:rPr>
          <w:rFonts w:ascii="Times New Roman" w:hAnsi="Times New Roman" w:cs="Times New Roman"/>
          <w:sz w:val="24"/>
          <w:szCs w:val="24"/>
        </w:rPr>
        <w:t>On the merits</w:t>
      </w:r>
      <w:r w:rsidR="001A4A0A">
        <w:rPr>
          <w:rFonts w:ascii="Times New Roman" w:hAnsi="Times New Roman" w:cs="Times New Roman"/>
          <w:sz w:val="24"/>
          <w:szCs w:val="24"/>
        </w:rPr>
        <w:t>,</w:t>
      </w:r>
      <w:r>
        <w:rPr>
          <w:rFonts w:ascii="Times New Roman" w:hAnsi="Times New Roman" w:cs="Times New Roman"/>
          <w:sz w:val="24"/>
          <w:szCs w:val="24"/>
        </w:rPr>
        <w:t xml:space="preserve"> has applicant</w:t>
      </w:r>
      <w:r w:rsidR="003437AF">
        <w:rPr>
          <w:rFonts w:ascii="Times New Roman" w:hAnsi="Times New Roman" w:cs="Times New Roman"/>
          <w:sz w:val="24"/>
          <w:szCs w:val="24"/>
        </w:rPr>
        <w:t xml:space="preserve"> presented a </w:t>
      </w:r>
      <w:r w:rsidR="003437AF" w:rsidRPr="00B87062">
        <w:rPr>
          <w:rFonts w:ascii="Times New Roman" w:hAnsi="Times New Roman" w:cs="Times New Roman"/>
          <w:i/>
          <w:sz w:val="24"/>
          <w:szCs w:val="24"/>
        </w:rPr>
        <w:t>bona fide</w:t>
      </w:r>
      <w:r w:rsidR="003437AF">
        <w:rPr>
          <w:rFonts w:ascii="Times New Roman" w:hAnsi="Times New Roman" w:cs="Times New Roman"/>
          <w:sz w:val="24"/>
          <w:szCs w:val="24"/>
        </w:rPr>
        <w:t xml:space="preserve"> defence which, </w:t>
      </w:r>
      <w:r w:rsidR="003437AF" w:rsidRPr="00B87062">
        <w:rPr>
          <w:rFonts w:ascii="Times New Roman" w:hAnsi="Times New Roman" w:cs="Times New Roman"/>
          <w:i/>
          <w:sz w:val="24"/>
          <w:szCs w:val="24"/>
        </w:rPr>
        <w:t>prima facie</w:t>
      </w:r>
      <w:r w:rsidR="003437AF">
        <w:rPr>
          <w:rFonts w:ascii="Times New Roman" w:hAnsi="Times New Roman" w:cs="Times New Roman"/>
          <w:sz w:val="24"/>
          <w:szCs w:val="24"/>
        </w:rPr>
        <w:t>, carries some prospect or probability of success? In the founding affidav</w:t>
      </w:r>
      <w:r>
        <w:rPr>
          <w:rFonts w:ascii="Times New Roman" w:hAnsi="Times New Roman" w:cs="Times New Roman"/>
          <w:sz w:val="24"/>
          <w:szCs w:val="24"/>
        </w:rPr>
        <w:t xml:space="preserve">it, </w:t>
      </w:r>
      <w:r w:rsidR="003437AF">
        <w:rPr>
          <w:rFonts w:ascii="Times New Roman" w:hAnsi="Times New Roman" w:cs="Times New Roman"/>
          <w:sz w:val="24"/>
          <w:szCs w:val="24"/>
        </w:rPr>
        <w:t>it is contend</w:t>
      </w:r>
      <w:r>
        <w:rPr>
          <w:rFonts w:ascii="Times New Roman" w:hAnsi="Times New Roman" w:cs="Times New Roman"/>
          <w:sz w:val="24"/>
          <w:szCs w:val="24"/>
        </w:rPr>
        <w:t>ed</w:t>
      </w:r>
      <w:r w:rsidR="009A27E8">
        <w:rPr>
          <w:rFonts w:ascii="Times New Roman" w:hAnsi="Times New Roman" w:cs="Times New Roman"/>
          <w:sz w:val="24"/>
          <w:szCs w:val="24"/>
        </w:rPr>
        <w:t>,</w:t>
      </w:r>
      <w:r w:rsidR="00A30352">
        <w:rPr>
          <w:rFonts w:ascii="Times New Roman" w:hAnsi="Times New Roman" w:cs="Times New Roman"/>
          <w:sz w:val="24"/>
          <w:szCs w:val="24"/>
        </w:rPr>
        <w:t xml:space="preserve"> </w:t>
      </w:r>
      <w:r w:rsidR="009A27E8" w:rsidRPr="009A27E8">
        <w:rPr>
          <w:rFonts w:ascii="Times New Roman" w:hAnsi="Times New Roman" w:cs="Times New Roman"/>
          <w:i/>
          <w:sz w:val="24"/>
          <w:szCs w:val="24"/>
        </w:rPr>
        <w:t xml:space="preserve">inter alia </w:t>
      </w:r>
      <w:r w:rsidR="003437AF">
        <w:rPr>
          <w:rFonts w:ascii="Times New Roman" w:hAnsi="Times New Roman" w:cs="Times New Roman"/>
          <w:sz w:val="24"/>
          <w:szCs w:val="24"/>
        </w:rPr>
        <w:t>as follows:</w:t>
      </w:r>
    </w:p>
    <w:p w:rsidR="003437AF" w:rsidRDefault="007703C1" w:rsidP="009A27E8">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entered into a Tribute Agreement with Progressive Mining Syndicate where the second resp</w:t>
      </w:r>
      <w:r w:rsidR="001A4A0A">
        <w:rPr>
          <w:rFonts w:ascii="Times New Roman" w:hAnsi="Times New Roman" w:cs="Times New Roman"/>
          <w:sz w:val="24"/>
          <w:szCs w:val="24"/>
        </w:rPr>
        <w:t>ondent and the third respondent</w:t>
      </w:r>
      <w:r>
        <w:rPr>
          <w:rFonts w:ascii="Times New Roman" w:hAnsi="Times New Roman" w:cs="Times New Roman"/>
          <w:sz w:val="24"/>
          <w:szCs w:val="24"/>
        </w:rPr>
        <w:t xml:space="preserve"> in the urgent chamber application under case No. HC 320/2020 are members on the 21</w:t>
      </w:r>
      <w:r w:rsidRPr="007703C1">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2016. </w:t>
      </w:r>
    </w:p>
    <w:p w:rsidR="000913DC" w:rsidRDefault="000913DC" w:rsidP="009A27E8">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Tribute Agreement was in respect </w:t>
      </w:r>
      <w:r w:rsidR="009A27E8">
        <w:rPr>
          <w:rFonts w:ascii="Times New Roman" w:hAnsi="Times New Roman" w:cs="Times New Roman"/>
          <w:sz w:val="24"/>
          <w:szCs w:val="24"/>
        </w:rPr>
        <w:t xml:space="preserve">of the mining locations reflected in the preamble of the Tribute Agreement. </w:t>
      </w:r>
    </w:p>
    <w:p w:rsidR="009A27E8" w:rsidRDefault="009A27E8" w:rsidP="009A27E8">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terms of clause 1(b) of the said Tribute Agreement applicant had a right to extend the Tribute Agreement for a further three years on condition that they has complied with the terms of the agreement and they gave notice to the grantor. The grantor, through their accredited agent Michael Peter Mlilo confirmed applicant’s notice of extension and extended the Tribute Agreement for a further three years in the letter to the Fourth respondent dated 28 January 2020. </w:t>
      </w:r>
    </w:p>
    <w:p w:rsidR="00DA110F" w:rsidRDefault="00DA110F" w:rsidP="009A27E8">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mining locations in question are owned by Progressive Mining Syndicate which is wholly owned by Michael Peter Mlilo and Michael Christopher Stone t/a Progressive Mining Syndicate.</w:t>
      </w:r>
    </w:p>
    <w:p w:rsidR="00DA110F" w:rsidRDefault="00DA110F" w:rsidP="009A27E8">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Third respondent is not anywhere near the ownership of the mining locations in question so there is no way they could be a party to any dispute arising from an agreement in respect  of the mining locations. </w:t>
      </w:r>
    </w:p>
    <w:p w:rsidR="00DA110F" w:rsidRDefault="00DA110F" w:rsidP="009A27E8">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 dealt with Progressive Mining Syndicate represented by their accredited agent, Michael Peter Mlilo. </w:t>
      </w:r>
    </w:p>
    <w:p w:rsidR="00DA110F" w:rsidRDefault="00DA110F" w:rsidP="009A27E8">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went into the Tribute Agreement as innocent third parties who had nothing to do with the internal issues of the grantor.</w:t>
      </w:r>
    </w:p>
    <w:p w:rsidR="00DA110F" w:rsidRDefault="00DA110F" w:rsidP="009A27E8">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Whatever agreement the grantor entered into with anyone in respect of their mining activities would not affect the Tribute Agreement innocently entered into by the applicants and the grantor. </w:t>
      </w:r>
    </w:p>
    <w:p w:rsidR="00DA110F" w:rsidRDefault="00DA110F" w:rsidP="009A27E8">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attach hereto as Annexure F the affidavit of Michael Peter Mlilo confirming his status as the accredited agent of the owners of the affected mining locations. </w:t>
      </w:r>
    </w:p>
    <w:p w:rsidR="00B66F5C" w:rsidRDefault="00B66F5C" w:rsidP="00B66F5C">
      <w:pPr>
        <w:pStyle w:val="ListParagraph"/>
        <w:spacing w:after="0" w:line="360" w:lineRule="auto"/>
        <w:ind w:left="1080"/>
        <w:jc w:val="both"/>
        <w:rPr>
          <w:rFonts w:ascii="Times New Roman" w:hAnsi="Times New Roman" w:cs="Times New Roman"/>
          <w:sz w:val="24"/>
          <w:szCs w:val="24"/>
        </w:rPr>
      </w:pPr>
    </w:p>
    <w:p w:rsidR="00B66F5C" w:rsidRDefault="00B66F5C" w:rsidP="00B66F5C">
      <w:pPr>
        <w:spacing w:after="0" w:line="360" w:lineRule="auto"/>
        <w:ind w:firstLine="720"/>
        <w:jc w:val="both"/>
        <w:rPr>
          <w:rFonts w:ascii="Times New Roman" w:hAnsi="Times New Roman" w:cs="Times New Roman"/>
          <w:sz w:val="24"/>
          <w:szCs w:val="24"/>
        </w:rPr>
      </w:pPr>
      <w:r w:rsidRPr="00B66F5C">
        <w:rPr>
          <w:rFonts w:ascii="Times New Roman" w:hAnsi="Times New Roman" w:cs="Times New Roman"/>
          <w:sz w:val="24"/>
          <w:szCs w:val="24"/>
        </w:rPr>
        <w:t xml:space="preserve">Mr Michael Peter Mlilo deposed to what is called a confirmatory affidavit, whose material parts reads as follows: </w:t>
      </w:r>
    </w:p>
    <w:p w:rsidR="00B66F5C" w:rsidRDefault="00B66F5C" w:rsidP="00B66F5C">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mining locations in question are owned by Progressive Mining Syndicate and not belong to the third respondent.</w:t>
      </w:r>
    </w:p>
    <w:p w:rsidR="00B66F5C" w:rsidRDefault="00B66F5C" w:rsidP="00B66F5C">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Third respondent and Progressive Mining Syndicate entered into a Joint Venture Agreement on the 25 April 2018 well after Progressive Mining Syndicate had entered into a Tribute Agreement with the applicant. </w:t>
      </w:r>
    </w:p>
    <w:p w:rsidR="00B66F5C" w:rsidRDefault="00B66F5C" w:rsidP="00B66F5C">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Progressive Mining Syndicate remain the lawful owner of the mining locations in question. </w:t>
      </w:r>
    </w:p>
    <w:p w:rsidR="00B66F5C" w:rsidRDefault="00B66F5C" w:rsidP="00B66F5C">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can confirm that in my capacity as Progressive Mining Syndicate’s accredited agent, I, on behalf of the Progressive Mining Syndicate endorsed the applicant’s right to extend the Tribute Agreement by signing the letter of renewal addressed to first respondent and dated 28 January 2020</w:t>
      </w:r>
      <w:r w:rsidR="006034B2">
        <w:rPr>
          <w:rFonts w:ascii="Times New Roman" w:hAnsi="Times New Roman" w:cs="Times New Roman"/>
          <w:sz w:val="24"/>
          <w:szCs w:val="24"/>
        </w:rPr>
        <w:t xml:space="preserve">. </w:t>
      </w:r>
    </w:p>
    <w:p w:rsidR="006034B2" w:rsidRDefault="006034B2" w:rsidP="00B66F5C">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is an innocent party to the Tribute Agreement and I believe they should be allowed to enjoy their rights in terms of the Tribute Agreement.</w:t>
      </w:r>
    </w:p>
    <w:p w:rsidR="006034B2" w:rsidRDefault="006034B2" w:rsidP="00B66F5C">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any event, the Joint Venture Agreement between the third respondent and Progressive Mining Syndicate explicitly spells out how any dispute arising from the agreement should be resolved and approaching this court for relief is not one of the options. </w:t>
      </w:r>
    </w:p>
    <w:p w:rsidR="006034B2" w:rsidRDefault="006034B2" w:rsidP="00B66F5C">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worst that can happen to the applicant is that it be stopped from carrying out mining operations as an interim measure pending the finalisation of the matter as to permanently stop them from mining would be a travesty of justice. </w:t>
      </w:r>
    </w:p>
    <w:p w:rsidR="006034B2" w:rsidRPr="00B66F5C" w:rsidRDefault="006034B2" w:rsidP="006034B2">
      <w:pPr>
        <w:pStyle w:val="ListParagraph"/>
        <w:spacing w:after="0" w:line="360" w:lineRule="auto"/>
        <w:ind w:left="1080"/>
        <w:jc w:val="both"/>
        <w:rPr>
          <w:rFonts w:ascii="Times New Roman" w:hAnsi="Times New Roman" w:cs="Times New Roman"/>
          <w:sz w:val="24"/>
          <w:szCs w:val="24"/>
        </w:rPr>
      </w:pPr>
    </w:p>
    <w:p w:rsidR="00613D35" w:rsidRDefault="00613D35" w:rsidP="003437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alleged Tribute Agreement between Progressive Mining Syndicate and Thuthuka Matopo Mining Co-Operative was signed on the 21</w:t>
      </w:r>
      <w:r w:rsidRPr="00613D35">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2016. The Joint Venture Agreement between Progressive Mining Syndicate and Akenaka Mineral Solutions (Pvt) Ltd was signed on the 20 April 2018. </w:t>
      </w:r>
    </w:p>
    <w:p w:rsidR="00EB1AC0" w:rsidRPr="00BE1E13" w:rsidRDefault="00EB1AC0" w:rsidP="00BE1E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case is that it signed a Tribute Agreement with Progressive Mining Syndicate. </w:t>
      </w:r>
      <w:r w:rsidR="00BE1E13">
        <w:rPr>
          <w:rFonts w:ascii="Times New Roman" w:hAnsi="Times New Roman" w:cs="Times New Roman"/>
          <w:snapToGrid w:val="0"/>
          <w:sz w:val="24"/>
          <w:szCs w:val="24"/>
        </w:rPr>
        <w:t>Mr Stone</w:t>
      </w:r>
      <w:r>
        <w:rPr>
          <w:rFonts w:ascii="Times New Roman" w:hAnsi="Times New Roman" w:cs="Times New Roman"/>
          <w:snapToGrid w:val="0"/>
          <w:sz w:val="24"/>
          <w:szCs w:val="24"/>
        </w:rPr>
        <w:t xml:space="preserve"> a member of the Progress Mining Syndicate categorically distances himself from the said tribute agreement with Thuthuka Matopo Mining Syndicate.  In his supporting affidavit in the </w:t>
      </w:r>
      <w:r w:rsidR="00BE1E13">
        <w:rPr>
          <w:rFonts w:ascii="Times New Roman" w:hAnsi="Times New Roman" w:cs="Times New Roman"/>
          <w:snapToGrid w:val="0"/>
          <w:sz w:val="24"/>
          <w:szCs w:val="24"/>
        </w:rPr>
        <w:t>notice of opposition, he</w:t>
      </w:r>
      <w:r>
        <w:rPr>
          <w:rFonts w:ascii="Times New Roman" w:hAnsi="Times New Roman" w:cs="Times New Roman"/>
          <w:snapToGrid w:val="0"/>
          <w:sz w:val="24"/>
          <w:szCs w:val="24"/>
        </w:rPr>
        <w:t xml:space="preserve"> contends that:</w:t>
      </w:r>
    </w:p>
    <w:p w:rsidR="00EB1AC0" w:rsidRDefault="00EB1AC0" w:rsidP="00EB1AC0">
      <w:pPr>
        <w:spacing w:after="0" w:line="360" w:lineRule="auto"/>
        <w:ind w:firstLine="720"/>
        <w:jc w:val="both"/>
        <w:rPr>
          <w:rFonts w:ascii="Times New Roman" w:hAnsi="Times New Roman" w:cs="Times New Roman"/>
          <w:snapToGrid w:val="0"/>
          <w:sz w:val="24"/>
          <w:szCs w:val="24"/>
        </w:rPr>
      </w:pPr>
    </w:p>
    <w:p w:rsidR="00EB1AC0" w:rsidRDefault="00EB1AC0" w:rsidP="00EB1AC0">
      <w:pPr>
        <w:pStyle w:val="ListParagraph"/>
        <w:numPr>
          <w:ilvl w:val="0"/>
          <w:numId w:val="3"/>
        </w:numPr>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I am indeed a member of the Progress Mining Syndicate together with one Michael Peter Mlilo. </w:t>
      </w:r>
    </w:p>
    <w:p w:rsidR="00EB1AC0" w:rsidRDefault="00EB1AC0" w:rsidP="00EB1AC0">
      <w:pPr>
        <w:pStyle w:val="ListParagraph"/>
        <w:numPr>
          <w:ilvl w:val="0"/>
          <w:numId w:val="3"/>
        </w:numPr>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I am however unaware of the particular Tribute Agreement that the said Mr Michael Peter Mlilo purportedly entered into with the applicants in this matter.</w:t>
      </w:r>
    </w:p>
    <w:p w:rsidR="00EB1AC0" w:rsidRDefault="00EB1AC0" w:rsidP="00EB1AC0">
      <w:pPr>
        <w:pStyle w:val="ListParagraph"/>
        <w:numPr>
          <w:ilvl w:val="0"/>
          <w:numId w:val="3"/>
        </w:numPr>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Accordingly, the said Tribute Agreement would be invalid as I was not aware of it and have never been benefited from the proceeds thereto.</w:t>
      </w:r>
    </w:p>
    <w:p w:rsidR="00EB1AC0" w:rsidRDefault="00EB1AC0" w:rsidP="00EB1AC0">
      <w:pPr>
        <w:pStyle w:val="ListParagraph"/>
        <w:numPr>
          <w:ilvl w:val="0"/>
          <w:numId w:val="3"/>
        </w:numPr>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On the basis that the Michael Peter Mlilo and myself ceded our claims in the mining locations in question in this matter to 3</w:t>
      </w:r>
      <w:r w:rsidRPr="007A7D51">
        <w:rPr>
          <w:rFonts w:ascii="Times New Roman" w:hAnsi="Times New Roman" w:cs="Times New Roman"/>
          <w:snapToGrid w:val="0"/>
          <w:sz w:val="24"/>
          <w:szCs w:val="24"/>
          <w:vertAlign w:val="superscript"/>
        </w:rPr>
        <w:t>rd</w:t>
      </w:r>
      <w:r>
        <w:rPr>
          <w:rFonts w:ascii="Times New Roman" w:hAnsi="Times New Roman" w:cs="Times New Roman"/>
          <w:snapToGrid w:val="0"/>
          <w:sz w:val="24"/>
          <w:szCs w:val="24"/>
        </w:rPr>
        <w:t xml:space="preserve"> respondent, I would never have agreed to and  / or gone ahead to enter into a Tribute Agreement with the applicant in respect of those claims.</w:t>
      </w:r>
    </w:p>
    <w:p w:rsidR="00EB1AC0" w:rsidRDefault="00EB1AC0" w:rsidP="00EB1AC0">
      <w:pPr>
        <w:pStyle w:val="ListParagraph"/>
        <w:numPr>
          <w:ilvl w:val="0"/>
          <w:numId w:val="3"/>
        </w:numPr>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In the circumstances, my position is that whatever Tribute Agreement Mr Mlilo purportedly entered into does not hold any water and is not binding on me neither is it binding on the 3</w:t>
      </w:r>
      <w:r w:rsidRPr="00A704E4">
        <w:rPr>
          <w:rFonts w:ascii="Times New Roman" w:hAnsi="Times New Roman" w:cs="Times New Roman"/>
          <w:snapToGrid w:val="0"/>
          <w:sz w:val="24"/>
          <w:szCs w:val="24"/>
          <w:vertAlign w:val="superscript"/>
        </w:rPr>
        <w:t>rd</w:t>
      </w:r>
      <w:r>
        <w:rPr>
          <w:rFonts w:ascii="Times New Roman" w:hAnsi="Times New Roman" w:cs="Times New Roman"/>
          <w:snapToGrid w:val="0"/>
          <w:sz w:val="24"/>
          <w:szCs w:val="24"/>
        </w:rPr>
        <w:t xml:space="preserve"> respondent.</w:t>
      </w:r>
    </w:p>
    <w:p w:rsidR="00EB1AC0" w:rsidRDefault="00EB1AC0" w:rsidP="00EB1AC0">
      <w:pPr>
        <w:pStyle w:val="ListParagraph"/>
        <w:numPr>
          <w:ilvl w:val="0"/>
          <w:numId w:val="3"/>
        </w:numPr>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In fact the purported Agreement appears to have been manipulated as articulated in the main opposing affidavit. I confirm that I have always initiated all the pages of any such agreement. In the present case, page I is not initiated. </w:t>
      </w:r>
    </w:p>
    <w:p w:rsidR="00EB1AC0" w:rsidRDefault="00EB1AC0" w:rsidP="00EB1AC0">
      <w:pPr>
        <w:pStyle w:val="ListParagraph"/>
        <w:numPr>
          <w:ilvl w:val="0"/>
          <w:numId w:val="3"/>
        </w:numPr>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I believe applicant simply took a Tribute Agreement done for some other claims and changed page one, which is why it has not initials. </w:t>
      </w:r>
    </w:p>
    <w:p w:rsidR="00EB1AC0" w:rsidRDefault="00EB1AC0" w:rsidP="00EB1AC0">
      <w:pPr>
        <w:pStyle w:val="ListParagraph"/>
        <w:numPr>
          <w:ilvl w:val="0"/>
          <w:numId w:val="3"/>
        </w:numPr>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 xml:space="preserve"> Mr Mlilo’s actions are clearly wrong and inconsistent with numerous board level decisions on these claims. </w:t>
      </w:r>
    </w:p>
    <w:p w:rsidR="00EB1AC0" w:rsidRDefault="00EB1AC0" w:rsidP="00EB1AC0">
      <w:pPr>
        <w:spacing w:after="0" w:line="360" w:lineRule="auto"/>
        <w:jc w:val="both"/>
        <w:rPr>
          <w:rFonts w:ascii="Times New Roman" w:hAnsi="Times New Roman" w:cs="Times New Roman"/>
          <w:snapToGrid w:val="0"/>
          <w:sz w:val="24"/>
          <w:szCs w:val="24"/>
        </w:rPr>
      </w:pPr>
    </w:p>
    <w:p w:rsidR="00BE1E13" w:rsidRDefault="00EB1AC0" w:rsidP="00EB1AC0">
      <w:pPr>
        <w:spacing w:after="0" w:line="360" w:lineRule="auto"/>
        <w:ind w:firstLine="72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First applicant filed an answering affidavit. </w:t>
      </w:r>
      <w:r w:rsidR="00BE1E13">
        <w:rPr>
          <w:rFonts w:ascii="Times New Roman" w:hAnsi="Times New Roman" w:cs="Times New Roman"/>
          <w:snapToGrid w:val="0"/>
          <w:sz w:val="24"/>
          <w:szCs w:val="24"/>
        </w:rPr>
        <w:t>In respect of the allegations made by Mr Stone, applicant avers that:</w:t>
      </w:r>
    </w:p>
    <w:p w:rsidR="00BE1E13" w:rsidRDefault="00BE1E13" w:rsidP="00BE1E13">
      <w:pPr>
        <w:pStyle w:val="ListParagraph"/>
        <w:numPr>
          <w:ilvl w:val="0"/>
          <w:numId w:val="12"/>
        </w:numPr>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No issues arise save that matters between the two Michaels are not for the applicant.</w:t>
      </w:r>
    </w:p>
    <w:p w:rsidR="00EB1AC0" w:rsidRPr="00BE1E13" w:rsidRDefault="00BE1E13" w:rsidP="00BE1E13">
      <w:pPr>
        <w:pStyle w:val="ListParagraph"/>
        <w:numPr>
          <w:ilvl w:val="0"/>
          <w:numId w:val="12"/>
        </w:numPr>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Applicant assumed at all material times </w:t>
      </w:r>
      <w:r w:rsidR="00367DF1">
        <w:rPr>
          <w:rFonts w:ascii="Times New Roman" w:hAnsi="Times New Roman" w:cs="Times New Roman"/>
          <w:snapToGrid w:val="0"/>
          <w:sz w:val="24"/>
          <w:szCs w:val="24"/>
        </w:rPr>
        <w:t>that the representation of P</w:t>
      </w:r>
      <w:r>
        <w:rPr>
          <w:rFonts w:ascii="Times New Roman" w:hAnsi="Times New Roman" w:cs="Times New Roman"/>
          <w:snapToGrid w:val="0"/>
          <w:sz w:val="24"/>
          <w:szCs w:val="24"/>
        </w:rPr>
        <w:t>rogressive Mining Syndicate was through their accredited agent. Internal matters of Progressive Mining Syndicate are theirs and applicant would not want to delve into such matters.</w:t>
      </w:r>
    </w:p>
    <w:p w:rsidR="00EB1AC0" w:rsidRDefault="00EB1AC0" w:rsidP="00EB1AC0">
      <w:pPr>
        <w:spacing w:after="0" w:line="360" w:lineRule="auto"/>
        <w:ind w:firstLine="720"/>
        <w:jc w:val="both"/>
        <w:rPr>
          <w:rFonts w:ascii="Times New Roman" w:hAnsi="Times New Roman" w:cs="Times New Roman"/>
          <w:snapToGrid w:val="0"/>
          <w:sz w:val="24"/>
          <w:szCs w:val="24"/>
        </w:rPr>
      </w:pPr>
    </w:p>
    <w:p w:rsidR="00367DF1" w:rsidRPr="00367DF1" w:rsidRDefault="00EB1AC0" w:rsidP="00367DF1">
      <w:pPr>
        <w:spacing w:after="0" w:line="360" w:lineRule="auto"/>
        <w:ind w:firstLine="720"/>
        <w:jc w:val="both"/>
        <w:rPr>
          <w:rFonts w:ascii="Times New Roman" w:hAnsi="Times New Roman" w:cs="Times New Roman"/>
          <w:snapToGrid w:val="0"/>
          <w:sz w:val="24"/>
          <w:szCs w:val="24"/>
        </w:rPr>
      </w:pPr>
      <w:r>
        <w:rPr>
          <w:rFonts w:ascii="Times New Roman" w:hAnsi="Times New Roman" w:cs="Times New Roman"/>
          <w:snapToGrid w:val="0"/>
          <w:sz w:val="24"/>
          <w:szCs w:val="24"/>
        </w:rPr>
        <w:t>These are serious allegations attacking the authenticity of the said Tribute Agreement, upon which applicant</w:t>
      </w:r>
      <w:r w:rsidR="00BE1E13">
        <w:rPr>
          <w:rFonts w:ascii="Times New Roman" w:hAnsi="Times New Roman" w:cs="Times New Roman"/>
          <w:snapToGrid w:val="0"/>
          <w:sz w:val="24"/>
          <w:szCs w:val="24"/>
        </w:rPr>
        <w:t>’s case turns. Mr Stone</w:t>
      </w:r>
      <w:r>
        <w:rPr>
          <w:rFonts w:ascii="Times New Roman" w:hAnsi="Times New Roman" w:cs="Times New Roman"/>
          <w:snapToGrid w:val="0"/>
          <w:sz w:val="24"/>
          <w:szCs w:val="24"/>
        </w:rPr>
        <w:t xml:space="preserve"> denies having signed the alleged Tribute Agreement. He contends that he </w:t>
      </w:r>
      <w:r w:rsidRPr="00844306">
        <w:rPr>
          <w:rFonts w:ascii="Times New Roman" w:hAnsi="Times New Roman" w:cs="Times New Roman"/>
          <w:snapToGrid w:val="0"/>
          <w:sz w:val="24"/>
          <w:szCs w:val="24"/>
        </w:rPr>
        <w:t xml:space="preserve"> believe</w:t>
      </w:r>
      <w:r>
        <w:rPr>
          <w:rFonts w:ascii="Times New Roman" w:hAnsi="Times New Roman" w:cs="Times New Roman"/>
          <w:snapToGrid w:val="0"/>
          <w:sz w:val="24"/>
          <w:szCs w:val="24"/>
        </w:rPr>
        <w:t>s</w:t>
      </w:r>
      <w:r w:rsidRPr="00844306">
        <w:rPr>
          <w:rFonts w:ascii="Times New Roman" w:hAnsi="Times New Roman" w:cs="Times New Roman"/>
          <w:snapToGrid w:val="0"/>
          <w:sz w:val="24"/>
          <w:szCs w:val="24"/>
        </w:rPr>
        <w:t xml:space="preserve"> applicant</w:t>
      </w:r>
      <w:r>
        <w:rPr>
          <w:rFonts w:ascii="Times New Roman" w:hAnsi="Times New Roman" w:cs="Times New Roman"/>
          <w:snapToGrid w:val="0"/>
          <w:sz w:val="24"/>
          <w:szCs w:val="24"/>
        </w:rPr>
        <w:t>, in connivance with Michael Peter Mlilo</w:t>
      </w:r>
      <w:r w:rsidRPr="00844306">
        <w:rPr>
          <w:rFonts w:ascii="Times New Roman" w:hAnsi="Times New Roman" w:cs="Times New Roman"/>
          <w:snapToGrid w:val="0"/>
          <w:sz w:val="24"/>
          <w:szCs w:val="24"/>
        </w:rPr>
        <w:t xml:space="preserve"> simply took a Tribute Agreement done for some other claims and changed</w:t>
      </w:r>
      <w:r>
        <w:rPr>
          <w:rFonts w:ascii="Times New Roman" w:hAnsi="Times New Roman" w:cs="Times New Roman"/>
          <w:snapToGrid w:val="0"/>
          <w:sz w:val="24"/>
          <w:szCs w:val="24"/>
        </w:rPr>
        <w:t xml:space="preserve"> or replaced </w:t>
      </w:r>
      <w:r w:rsidRPr="00844306">
        <w:rPr>
          <w:rFonts w:ascii="Times New Roman" w:hAnsi="Times New Roman" w:cs="Times New Roman"/>
          <w:snapToGrid w:val="0"/>
          <w:sz w:val="24"/>
          <w:szCs w:val="24"/>
        </w:rPr>
        <w:t xml:space="preserve"> page one</w:t>
      </w:r>
      <w:r>
        <w:rPr>
          <w:rFonts w:ascii="Times New Roman" w:hAnsi="Times New Roman" w:cs="Times New Roman"/>
          <w:snapToGrid w:val="0"/>
          <w:sz w:val="24"/>
          <w:szCs w:val="24"/>
        </w:rPr>
        <w:t xml:space="preserve">, which it says explains why page one has no </w:t>
      </w:r>
      <w:r w:rsidRPr="00844306">
        <w:rPr>
          <w:rFonts w:ascii="Times New Roman" w:hAnsi="Times New Roman" w:cs="Times New Roman"/>
          <w:snapToGrid w:val="0"/>
          <w:sz w:val="24"/>
          <w:szCs w:val="24"/>
        </w:rPr>
        <w:t xml:space="preserve">initials. </w:t>
      </w:r>
      <w:r>
        <w:rPr>
          <w:rFonts w:ascii="Times New Roman" w:hAnsi="Times New Roman" w:cs="Times New Roman"/>
          <w:snapToGrid w:val="0"/>
          <w:sz w:val="24"/>
          <w:szCs w:val="24"/>
        </w:rPr>
        <w:t xml:space="preserve">The applicant does not deal with this attack in its answering affidavit. It ignores it. </w:t>
      </w:r>
      <w:r w:rsidR="00367DF1">
        <w:rPr>
          <w:rFonts w:ascii="Times New Roman" w:hAnsi="Times New Roman" w:cs="Times New Roman"/>
          <w:snapToGrid w:val="0"/>
          <w:sz w:val="24"/>
          <w:szCs w:val="24"/>
        </w:rPr>
        <w:t>Mr Mlilo, despite the fact that he deposed to a confirmatory affidavit in the application</w:t>
      </w:r>
      <w:r w:rsidR="001A4A0A">
        <w:rPr>
          <w:rFonts w:ascii="Times New Roman" w:hAnsi="Times New Roman" w:cs="Times New Roman"/>
          <w:snapToGrid w:val="0"/>
          <w:sz w:val="24"/>
          <w:szCs w:val="24"/>
        </w:rPr>
        <w:t>, does not answer and respond</w:t>
      </w:r>
      <w:r w:rsidR="00367DF1">
        <w:rPr>
          <w:rFonts w:ascii="Times New Roman" w:hAnsi="Times New Roman" w:cs="Times New Roman"/>
          <w:snapToGrid w:val="0"/>
          <w:sz w:val="24"/>
          <w:szCs w:val="24"/>
        </w:rPr>
        <w:t xml:space="preserve"> to the legations made by Mr Stone. Mr Stone avers that</w:t>
      </w:r>
      <w:r w:rsidR="00367DF1" w:rsidRPr="00367DF1">
        <w:rPr>
          <w:rFonts w:ascii="Times New Roman" w:hAnsi="Times New Roman" w:cs="Times New Roman"/>
          <w:snapToGrid w:val="0"/>
          <w:sz w:val="24"/>
          <w:szCs w:val="24"/>
        </w:rPr>
        <w:t xml:space="preserve"> the purported </w:t>
      </w:r>
      <w:r w:rsidR="00367DF1">
        <w:rPr>
          <w:rFonts w:ascii="Times New Roman" w:hAnsi="Times New Roman" w:cs="Times New Roman"/>
          <w:snapToGrid w:val="0"/>
          <w:sz w:val="24"/>
          <w:szCs w:val="24"/>
        </w:rPr>
        <w:t xml:space="preserve">Tribute </w:t>
      </w:r>
      <w:r w:rsidR="00367DF1" w:rsidRPr="00367DF1">
        <w:rPr>
          <w:rFonts w:ascii="Times New Roman" w:hAnsi="Times New Roman" w:cs="Times New Roman"/>
          <w:snapToGrid w:val="0"/>
          <w:sz w:val="24"/>
          <w:szCs w:val="24"/>
        </w:rPr>
        <w:t xml:space="preserve">Agreement appears to have </w:t>
      </w:r>
      <w:r w:rsidR="00367DF1">
        <w:rPr>
          <w:rFonts w:ascii="Times New Roman" w:hAnsi="Times New Roman" w:cs="Times New Roman"/>
          <w:snapToGrid w:val="0"/>
          <w:sz w:val="24"/>
          <w:szCs w:val="24"/>
        </w:rPr>
        <w:t>been manipulated. He says he</w:t>
      </w:r>
      <w:r w:rsidR="00A30352">
        <w:rPr>
          <w:rFonts w:ascii="Times New Roman" w:hAnsi="Times New Roman" w:cs="Times New Roman"/>
          <w:snapToGrid w:val="0"/>
          <w:sz w:val="24"/>
          <w:szCs w:val="24"/>
        </w:rPr>
        <w:t xml:space="preserve"> </w:t>
      </w:r>
      <w:r w:rsidR="00367DF1">
        <w:rPr>
          <w:rFonts w:ascii="Times New Roman" w:hAnsi="Times New Roman" w:cs="Times New Roman"/>
          <w:snapToGrid w:val="0"/>
          <w:sz w:val="24"/>
          <w:szCs w:val="24"/>
        </w:rPr>
        <w:t>confirm</w:t>
      </w:r>
      <w:r w:rsidR="00103BD7">
        <w:rPr>
          <w:rFonts w:ascii="Times New Roman" w:hAnsi="Times New Roman" w:cs="Times New Roman"/>
          <w:snapToGrid w:val="0"/>
          <w:sz w:val="24"/>
          <w:szCs w:val="24"/>
        </w:rPr>
        <w:t>s</w:t>
      </w:r>
      <w:r w:rsidR="00367DF1">
        <w:rPr>
          <w:rFonts w:ascii="Times New Roman" w:hAnsi="Times New Roman" w:cs="Times New Roman"/>
          <w:snapToGrid w:val="0"/>
          <w:sz w:val="24"/>
          <w:szCs w:val="24"/>
        </w:rPr>
        <w:t xml:space="preserve"> that he has</w:t>
      </w:r>
      <w:r w:rsidR="00367DF1" w:rsidRPr="00367DF1">
        <w:rPr>
          <w:rFonts w:ascii="Times New Roman" w:hAnsi="Times New Roman" w:cs="Times New Roman"/>
          <w:snapToGrid w:val="0"/>
          <w:sz w:val="24"/>
          <w:szCs w:val="24"/>
        </w:rPr>
        <w:t xml:space="preserve"> always initiated all the pages of any such agreement. In the present</w:t>
      </w:r>
      <w:r w:rsidR="00367DF1">
        <w:rPr>
          <w:rFonts w:ascii="Times New Roman" w:hAnsi="Times New Roman" w:cs="Times New Roman"/>
          <w:snapToGrid w:val="0"/>
          <w:sz w:val="24"/>
          <w:szCs w:val="24"/>
        </w:rPr>
        <w:t xml:space="preserve"> case, page I is not initiated and he </w:t>
      </w:r>
      <w:r w:rsidR="00367DF1" w:rsidRPr="00367DF1">
        <w:rPr>
          <w:rFonts w:ascii="Times New Roman" w:hAnsi="Times New Roman" w:cs="Times New Roman"/>
          <w:snapToGrid w:val="0"/>
          <w:sz w:val="24"/>
          <w:szCs w:val="24"/>
        </w:rPr>
        <w:t>believe</w:t>
      </w:r>
      <w:r w:rsidR="00367DF1">
        <w:rPr>
          <w:rFonts w:ascii="Times New Roman" w:hAnsi="Times New Roman" w:cs="Times New Roman"/>
          <w:snapToGrid w:val="0"/>
          <w:sz w:val="24"/>
          <w:szCs w:val="24"/>
        </w:rPr>
        <w:t xml:space="preserve">s Mr Mlilo </w:t>
      </w:r>
      <w:r w:rsidR="00367DF1" w:rsidRPr="00367DF1">
        <w:rPr>
          <w:rFonts w:ascii="Times New Roman" w:hAnsi="Times New Roman" w:cs="Times New Roman"/>
          <w:snapToGrid w:val="0"/>
          <w:sz w:val="24"/>
          <w:szCs w:val="24"/>
        </w:rPr>
        <w:t>simply took a Tribute Agreement done for some other claims and changed p</w:t>
      </w:r>
      <w:r w:rsidR="00EE149C">
        <w:rPr>
          <w:rFonts w:ascii="Times New Roman" w:hAnsi="Times New Roman" w:cs="Times New Roman"/>
          <w:snapToGrid w:val="0"/>
          <w:sz w:val="24"/>
          <w:szCs w:val="24"/>
        </w:rPr>
        <w:t>age one, which is why it does not have his (Mr Stone’s)</w:t>
      </w:r>
      <w:r w:rsidR="00367DF1" w:rsidRPr="00367DF1">
        <w:rPr>
          <w:rFonts w:ascii="Times New Roman" w:hAnsi="Times New Roman" w:cs="Times New Roman"/>
          <w:snapToGrid w:val="0"/>
          <w:sz w:val="24"/>
          <w:szCs w:val="24"/>
        </w:rPr>
        <w:t xml:space="preserve"> initials. </w:t>
      </w:r>
    </w:p>
    <w:p w:rsidR="00EB1AC0" w:rsidRPr="00844306" w:rsidRDefault="00EB1AC0" w:rsidP="00EE149C">
      <w:pPr>
        <w:spacing w:after="0" w:line="360" w:lineRule="auto"/>
        <w:ind w:firstLine="720"/>
        <w:jc w:val="both"/>
        <w:rPr>
          <w:rFonts w:ascii="Times New Roman" w:hAnsi="Times New Roman" w:cs="Times New Roman"/>
          <w:snapToGrid w:val="0"/>
          <w:sz w:val="24"/>
          <w:szCs w:val="24"/>
        </w:rPr>
      </w:pPr>
      <w:r>
        <w:rPr>
          <w:rFonts w:ascii="Times New Roman" w:hAnsi="Times New Roman" w:cs="Times New Roman"/>
          <w:snapToGrid w:val="0"/>
          <w:sz w:val="24"/>
          <w:szCs w:val="24"/>
        </w:rPr>
        <w:t>This leaves this court with one versio</w:t>
      </w:r>
      <w:r w:rsidR="00BE1E13">
        <w:rPr>
          <w:rFonts w:ascii="Times New Roman" w:hAnsi="Times New Roman" w:cs="Times New Roman"/>
          <w:snapToGrid w:val="0"/>
          <w:sz w:val="24"/>
          <w:szCs w:val="24"/>
        </w:rPr>
        <w:t>n, i.e. of Mr Stone</w:t>
      </w:r>
      <w:r>
        <w:rPr>
          <w:rFonts w:ascii="Times New Roman" w:hAnsi="Times New Roman" w:cs="Times New Roman"/>
          <w:snapToGrid w:val="0"/>
          <w:sz w:val="24"/>
          <w:szCs w:val="24"/>
        </w:rPr>
        <w:t>, that the Tribute Agreement placed before court is not authentic.  The failure to meet and trav</w:t>
      </w:r>
      <w:r w:rsidR="00367DF1">
        <w:rPr>
          <w:rFonts w:ascii="Times New Roman" w:hAnsi="Times New Roman" w:cs="Times New Roman"/>
          <w:snapToGrid w:val="0"/>
          <w:sz w:val="24"/>
          <w:szCs w:val="24"/>
        </w:rPr>
        <w:t>erse the sting of Mr Stone’s version</w:t>
      </w:r>
      <w:r>
        <w:rPr>
          <w:rFonts w:ascii="Times New Roman" w:hAnsi="Times New Roman" w:cs="Times New Roman"/>
          <w:snapToGrid w:val="0"/>
          <w:sz w:val="24"/>
          <w:szCs w:val="24"/>
        </w:rPr>
        <w:t xml:space="preserve"> has the effect of defeating applicant’s claim. </w:t>
      </w:r>
      <w:r w:rsidRPr="0012740F">
        <w:rPr>
          <w:rFonts w:ascii="Times New Roman" w:hAnsi="Times New Roman" w:cs="Times New Roman"/>
          <w:sz w:val="24"/>
          <w:szCs w:val="24"/>
        </w:rPr>
        <w:t xml:space="preserve">This position was stated in the case of </w:t>
      </w:r>
      <w:r w:rsidRPr="007304F9">
        <w:rPr>
          <w:rFonts w:ascii="Times New Roman" w:hAnsi="Times New Roman" w:cs="Times New Roman"/>
          <w:i/>
          <w:sz w:val="24"/>
          <w:szCs w:val="24"/>
        </w:rPr>
        <w:t>Loveness</w:t>
      </w:r>
      <w:r w:rsidR="009E1F1C">
        <w:rPr>
          <w:rFonts w:ascii="Times New Roman" w:hAnsi="Times New Roman" w:cs="Times New Roman"/>
          <w:i/>
          <w:sz w:val="24"/>
          <w:szCs w:val="24"/>
        </w:rPr>
        <w:t xml:space="preserve"> </w:t>
      </w:r>
      <w:r w:rsidRPr="007304F9">
        <w:rPr>
          <w:rFonts w:ascii="Times New Roman" w:hAnsi="Times New Roman" w:cs="Times New Roman"/>
          <w:i/>
          <w:sz w:val="24"/>
          <w:szCs w:val="24"/>
        </w:rPr>
        <w:t>Sengeredo</w:t>
      </w:r>
      <w:r w:rsidRPr="0012740F">
        <w:rPr>
          <w:rFonts w:ascii="Times New Roman" w:hAnsi="Times New Roman" w:cs="Times New Roman"/>
          <w:sz w:val="24"/>
          <w:szCs w:val="24"/>
        </w:rPr>
        <w:t xml:space="preserve"> v </w:t>
      </w:r>
      <w:r w:rsidRPr="007304F9">
        <w:rPr>
          <w:rFonts w:ascii="Times New Roman" w:hAnsi="Times New Roman" w:cs="Times New Roman"/>
          <w:i/>
          <w:sz w:val="24"/>
          <w:szCs w:val="24"/>
        </w:rPr>
        <w:t>Eric Cable N.O.</w:t>
      </w:r>
      <w:r w:rsidRPr="0012740F">
        <w:rPr>
          <w:rFonts w:ascii="Times New Roman" w:hAnsi="Times New Roman" w:cs="Times New Roman"/>
          <w:sz w:val="24"/>
          <w:szCs w:val="24"/>
        </w:rPr>
        <w:t xml:space="preserve"> HH</w:t>
      </w:r>
      <w:r>
        <w:rPr>
          <w:rFonts w:ascii="Times New Roman" w:hAnsi="Times New Roman" w:cs="Times New Roman"/>
          <w:sz w:val="24"/>
          <w:szCs w:val="24"/>
        </w:rPr>
        <w:t xml:space="preserve"> 32/08 where </w:t>
      </w:r>
      <w:r w:rsidR="009E1F1C">
        <w:rPr>
          <w:rFonts w:ascii="Times New Roman" w:hAnsi="Times New Roman" w:cs="Times New Roman"/>
          <w:sz w:val="24"/>
          <w:szCs w:val="24"/>
        </w:rPr>
        <w:t>M</w:t>
      </w:r>
      <w:r w:rsidR="009E1F1C" w:rsidRPr="009E1F1C">
        <w:rPr>
          <w:rFonts w:ascii="Times New Roman" w:hAnsi="Times New Roman" w:cs="Times New Roman"/>
          <w:sz w:val="20"/>
          <w:szCs w:val="20"/>
        </w:rPr>
        <w:t>AKARAU JP</w:t>
      </w:r>
      <w:r>
        <w:rPr>
          <w:rFonts w:ascii="Times New Roman" w:hAnsi="Times New Roman" w:cs="Times New Roman"/>
          <w:sz w:val="24"/>
          <w:szCs w:val="24"/>
        </w:rPr>
        <w:t>, as she then was at p</w:t>
      </w:r>
      <w:r w:rsidRPr="0012740F">
        <w:rPr>
          <w:rFonts w:ascii="Times New Roman" w:hAnsi="Times New Roman" w:cs="Times New Roman"/>
          <w:sz w:val="24"/>
          <w:szCs w:val="24"/>
        </w:rPr>
        <w:t xml:space="preserve"> 2 stated that-</w:t>
      </w:r>
    </w:p>
    <w:p w:rsidR="00EB1AC0" w:rsidRPr="00E72A18" w:rsidRDefault="00EB1AC0" w:rsidP="00E72A18">
      <w:pPr>
        <w:spacing w:after="0" w:line="240" w:lineRule="auto"/>
        <w:ind w:left="720"/>
        <w:jc w:val="both"/>
        <w:rPr>
          <w:rFonts w:ascii="Times New Roman" w:hAnsi="Times New Roman" w:cs="Times New Roman"/>
        </w:rPr>
      </w:pPr>
      <w:r w:rsidRPr="00E72A18">
        <w:rPr>
          <w:rFonts w:ascii="Times New Roman" w:hAnsi="Times New Roman" w:cs="Times New Roman"/>
        </w:rPr>
        <w:t xml:space="preserve">In my view, the purpose of an answering affidavit is akin to that of a replication in an action. It is filed not merely for the form but to specifically meet and traverse all </w:t>
      </w:r>
      <w:r w:rsidRPr="00E72A18">
        <w:rPr>
          <w:rFonts w:ascii="Times New Roman" w:hAnsi="Times New Roman" w:cs="Times New Roman"/>
        </w:rPr>
        <w:tab/>
        <w:t xml:space="preserve">the averments made in the opposing affidavit that have the effect of defeating the applicant’s claim. Like in any pleading filed with the Court, all issues that are not specifically denied and traversed in the answering affidavit are to be taken as if they have been admitted… It is my </w:t>
      </w:r>
      <w:r w:rsidRPr="00E72A18">
        <w:rPr>
          <w:rFonts w:ascii="Times New Roman" w:hAnsi="Times New Roman" w:cs="Times New Roman"/>
        </w:rPr>
        <w:lastRenderedPageBreak/>
        <w:t xml:space="preserve">further view that answering affidavits, like all other affidavits, must be drafted with precision and must meet the sting of the defence being raised in the opposing affidavit. </w:t>
      </w:r>
    </w:p>
    <w:p w:rsidR="00EB1AC0" w:rsidRPr="00E72A18" w:rsidRDefault="00EB1AC0" w:rsidP="00EB1AC0">
      <w:pPr>
        <w:spacing w:after="0" w:line="240" w:lineRule="auto"/>
        <w:jc w:val="both"/>
        <w:rPr>
          <w:rFonts w:ascii="Times New Roman" w:hAnsi="Times New Roman" w:cs="Times New Roman"/>
        </w:rPr>
      </w:pPr>
    </w:p>
    <w:p w:rsidR="00EB1AC0" w:rsidRDefault="00EB1AC0" w:rsidP="00EB1A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take the view that applicant’s failure to deal with the attack on the authenticity of the said Tribute Agreement is fatal to the applicant’s case. The unchallenged net e</w:t>
      </w:r>
      <w:r w:rsidR="00367DF1">
        <w:rPr>
          <w:rFonts w:ascii="Times New Roman" w:hAnsi="Times New Roman" w:cs="Times New Roman"/>
          <w:sz w:val="24"/>
          <w:szCs w:val="24"/>
        </w:rPr>
        <w:t>ffect of Mr Stone’s</w:t>
      </w:r>
      <w:r>
        <w:rPr>
          <w:rFonts w:ascii="Times New Roman" w:hAnsi="Times New Roman" w:cs="Times New Roman"/>
          <w:sz w:val="24"/>
          <w:szCs w:val="24"/>
        </w:rPr>
        <w:t xml:space="preserve"> contention is that the Tribute Agreement before court is a fake document. If the authenticity of a document has been assailed, a court cannot attach any weight to its contents. I say so because a document is placed before court for the truthfulness of its contents, if it is not authentic, its contents cannot be true.</w:t>
      </w:r>
    </w:p>
    <w:p w:rsidR="00571F05" w:rsidRDefault="00571F05" w:rsidP="00571F05">
      <w:pPr>
        <w:spacing w:after="0" w:line="360" w:lineRule="auto"/>
        <w:ind w:firstLine="720"/>
        <w:jc w:val="both"/>
        <w:rPr>
          <w:rFonts w:ascii="Times New Roman" w:hAnsi="Times New Roman" w:cs="Times New Roman"/>
          <w:sz w:val="24"/>
          <w:szCs w:val="24"/>
        </w:rPr>
      </w:pPr>
      <w:r w:rsidRPr="009E1F1C">
        <w:rPr>
          <w:rFonts w:ascii="Times New Roman" w:hAnsi="Times New Roman" w:cs="Times New Roman"/>
          <w:i/>
          <w:sz w:val="24"/>
          <w:szCs w:val="24"/>
        </w:rPr>
        <w:t>Mr</w:t>
      </w:r>
      <w:r>
        <w:rPr>
          <w:rFonts w:ascii="Times New Roman" w:hAnsi="Times New Roman" w:cs="Times New Roman"/>
          <w:sz w:val="24"/>
          <w:szCs w:val="24"/>
        </w:rPr>
        <w:t xml:space="preserve"> </w:t>
      </w:r>
      <w:r w:rsidRPr="00A34ED0">
        <w:rPr>
          <w:rFonts w:ascii="Times New Roman" w:hAnsi="Times New Roman" w:cs="Times New Roman"/>
          <w:i/>
          <w:sz w:val="24"/>
          <w:szCs w:val="24"/>
        </w:rPr>
        <w:t>Sengweni</w:t>
      </w:r>
      <w:r>
        <w:rPr>
          <w:rFonts w:ascii="Times New Roman" w:hAnsi="Times New Roman" w:cs="Times New Roman"/>
          <w:sz w:val="24"/>
          <w:szCs w:val="24"/>
        </w:rPr>
        <w:t xml:space="preserve"> argues that Mr Mlilo is a member of the Progress Mining Syndicate together with the Mr Stone</w:t>
      </w:r>
      <w:r w:rsidR="001D497C">
        <w:rPr>
          <w:rFonts w:ascii="Times New Roman" w:hAnsi="Times New Roman" w:cs="Times New Roman"/>
          <w:sz w:val="24"/>
          <w:szCs w:val="24"/>
        </w:rPr>
        <w:t>. It is averred that Mr Mlilo</w:t>
      </w:r>
      <w:r w:rsidR="00A30352">
        <w:rPr>
          <w:rFonts w:ascii="Times New Roman" w:hAnsi="Times New Roman" w:cs="Times New Roman"/>
          <w:sz w:val="24"/>
          <w:szCs w:val="24"/>
        </w:rPr>
        <w:t xml:space="preserve"> </w:t>
      </w:r>
      <w:r w:rsidR="001D497C">
        <w:rPr>
          <w:rFonts w:ascii="Times New Roman" w:hAnsi="Times New Roman" w:cs="Times New Roman"/>
          <w:sz w:val="24"/>
          <w:szCs w:val="24"/>
        </w:rPr>
        <w:t xml:space="preserve">is </w:t>
      </w:r>
      <w:r>
        <w:rPr>
          <w:rFonts w:ascii="Times New Roman" w:hAnsi="Times New Roman" w:cs="Times New Roman"/>
          <w:sz w:val="24"/>
          <w:szCs w:val="24"/>
        </w:rPr>
        <w:t>the Accredited Agen</w:t>
      </w:r>
      <w:r w:rsidR="001D497C">
        <w:rPr>
          <w:rFonts w:ascii="Times New Roman" w:hAnsi="Times New Roman" w:cs="Times New Roman"/>
          <w:sz w:val="24"/>
          <w:szCs w:val="24"/>
        </w:rPr>
        <w:t>t of the Syndicate. It is averred</w:t>
      </w:r>
      <w:r>
        <w:rPr>
          <w:rFonts w:ascii="Times New Roman" w:hAnsi="Times New Roman" w:cs="Times New Roman"/>
          <w:sz w:val="24"/>
          <w:szCs w:val="24"/>
        </w:rPr>
        <w:t xml:space="preserve"> that at al</w:t>
      </w:r>
      <w:r w:rsidR="001D497C">
        <w:rPr>
          <w:rFonts w:ascii="Times New Roman" w:hAnsi="Times New Roman" w:cs="Times New Roman"/>
          <w:sz w:val="24"/>
          <w:szCs w:val="24"/>
        </w:rPr>
        <w:t>l material times Mr Mlilo</w:t>
      </w:r>
      <w:r>
        <w:rPr>
          <w:rFonts w:ascii="Times New Roman" w:hAnsi="Times New Roman" w:cs="Times New Roman"/>
          <w:sz w:val="24"/>
          <w:szCs w:val="24"/>
        </w:rPr>
        <w:t xml:space="preserve"> was lawfully acting on behalf of the </w:t>
      </w:r>
      <w:r w:rsidR="001D497C">
        <w:rPr>
          <w:rFonts w:ascii="Times New Roman" w:hAnsi="Times New Roman" w:cs="Times New Roman"/>
          <w:sz w:val="24"/>
          <w:szCs w:val="24"/>
        </w:rPr>
        <w:t xml:space="preserve">Progressive Mining </w:t>
      </w:r>
      <w:r>
        <w:rPr>
          <w:rFonts w:ascii="Times New Roman" w:hAnsi="Times New Roman" w:cs="Times New Roman"/>
          <w:sz w:val="24"/>
          <w:szCs w:val="24"/>
        </w:rPr>
        <w:t>Syndicate as its Accredited Agen</w:t>
      </w:r>
      <w:r w:rsidR="001D497C">
        <w:rPr>
          <w:rFonts w:ascii="Times New Roman" w:hAnsi="Times New Roman" w:cs="Times New Roman"/>
          <w:sz w:val="24"/>
          <w:szCs w:val="24"/>
        </w:rPr>
        <w:t xml:space="preserve">t. </w:t>
      </w:r>
    </w:p>
    <w:p w:rsidR="00A65B60" w:rsidRPr="00A65B60" w:rsidRDefault="00571F05" w:rsidP="00A65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Mr </w:t>
      </w:r>
      <w:r w:rsidRPr="008D75F1">
        <w:rPr>
          <w:rFonts w:ascii="Times New Roman" w:hAnsi="Times New Roman" w:cs="Times New Roman"/>
          <w:i/>
          <w:sz w:val="24"/>
          <w:szCs w:val="24"/>
        </w:rPr>
        <w:t>Mangena</w:t>
      </w:r>
      <w:r>
        <w:rPr>
          <w:rFonts w:ascii="Times New Roman" w:hAnsi="Times New Roman" w:cs="Times New Roman"/>
          <w:sz w:val="24"/>
          <w:szCs w:val="24"/>
        </w:rPr>
        <w:t xml:space="preserve">, the authority of an accredited agent in terms of section 61(3) of the Mines and Minerals Act [Chapter 21:04] relates with one’s dealing with the Ministry of Mines and not </w:t>
      </w:r>
      <w:r w:rsidR="001D497C">
        <w:rPr>
          <w:rFonts w:ascii="Times New Roman" w:hAnsi="Times New Roman" w:cs="Times New Roman"/>
          <w:sz w:val="24"/>
          <w:szCs w:val="24"/>
        </w:rPr>
        <w:t>with third parties.</w:t>
      </w:r>
      <w:r>
        <w:rPr>
          <w:rFonts w:ascii="Times New Roman" w:hAnsi="Times New Roman" w:cs="Times New Roman"/>
          <w:sz w:val="24"/>
          <w:szCs w:val="24"/>
        </w:rPr>
        <w:t xml:space="preserve"> An accredited ag</w:t>
      </w:r>
      <w:r w:rsidR="001D497C">
        <w:rPr>
          <w:rFonts w:ascii="Times New Roman" w:hAnsi="Times New Roman" w:cs="Times New Roman"/>
          <w:sz w:val="24"/>
          <w:szCs w:val="24"/>
        </w:rPr>
        <w:t xml:space="preserve">ent of a syndicate is the contact person between the syndicate and the </w:t>
      </w:r>
      <w:r>
        <w:rPr>
          <w:rFonts w:ascii="Times New Roman" w:hAnsi="Times New Roman" w:cs="Times New Roman"/>
          <w:sz w:val="24"/>
          <w:szCs w:val="24"/>
        </w:rPr>
        <w:t>Ministry of Mines.</w:t>
      </w:r>
      <w:r w:rsidR="001D497C">
        <w:rPr>
          <w:rFonts w:ascii="Times New Roman" w:hAnsi="Times New Roman" w:cs="Times New Roman"/>
          <w:sz w:val="24"/>
          <w:szCs w:val="24"/>
        </w:rPr>
        <w:t xml:space="preserve"> It is argued that such an agent cannot purport </w:t>
      </w:r>
      <w:r>
        <w:rPr>
          <w:rFonts w:ascii="Times New Roman" w:hAnsi="Times New Roman" w:cs="Times New Roman"/>
          <w:sz w:val="24"/>
          <w:szCs w:val="24"/>
        </w:rPr>
        <w:t>to enter into tribute agre</w:t>
      </w:r>
      <w:r w:rsidR="001D497C">
        <w:rPr>
          <w:rFonts w:ascii="Times New Roman" w:hAnsi="Times New Roman" w:cs="Times New Roman"/>
          <w:sz w:val="24"/>
          <w:szCs w:val="24"/>
        </w:rPr>
        <w:t>ements with third parties, without the consent and participation of other syndicate members.</w:t>
      </w:r>
      <w:r w:rsidR="00A30352">
        <w:rPr>
          <w:rFonts w:ascii="Times New Roman" w:hAnsi="Times New Roman" w:cs="Times New Roman"/>
          <w:sz w:val="24"/>
          <w:szCs w:val="24"/>
        </w:rPr>
        <w:t xml:space="preserve"> </w:t>
      </w:r>
      <w:r w:rsidR="00A65B60" w:rsidRPr="00A65B60">
        <w:rPr>
          <w:rFonts w:ascii="Times New Roman" w:hAnsi="Times New Roman" w:cs="Times New Roman"/>
          <w:sz w:val="24"/>
          <w:szCs w:val="24"/>
        </w:rPr>
        <w:t>Section 61 (3) of the Mines and Minerals Act provides as follows:</w:t>
      </w:r>
    </w:p>
    <w:p w:rsidR="00A65B60" w:rsidRPr="00A65B60" w:rsidRDefault="00A65B60" w:rsidP="00A65B60">
      <w:pPr>
        <w:autoSpaceDE w:val="0"/>
        <w:autoSpaceDN w:val="0"/>
        <w:adjustRightInd w:val="0"/>
        <w:spacing w:after="0" w:line="240" w:lineRule="auto"/>
        <w:rPr>
          <w:rFonts w:ascii="Times New Roman" w:hAnsi="Times New Roman" w:cs="Times New Roman"/>
          <w:sz w:val="21"/>
          <w:szCs w:val="21"/>
        </w:rPr>
      </w:pPr>
    </w:p>
    <w:p w:rsidR="00A65B60" w:rsidRPr="00A65B60" w:rsidRDefault="00A65B60" w:rsidP="00A65B60">
      <w:pPr>
        <w:autoSpaceDE w:val="0"/>
        <w:autoSpaceDN w:val="0"/>
        <w:adjustRightInd w:val="0"/>
        <w:spacing w:after="0" w:line="276" w:lineRule="auto"/>
        <w:ind w:left="720"/>
        <w:jc w:val="both"/>
        <w:rPr>
          <w:rFonts w:ascii="Times New Roman" w:hAnsi="Times New Roman" w:cs="Times New Roman"/>
        </w:rPr>
      </w:pPr>
      <w:r w:rsidRPr="00A65B60">
        <w:rPr>
          <w:rFonts w:ascii="Times New Roman" w:hAnsi="Times New Roman" w:cs="Times New Roman"/>
        </w:rPr>
        <w:t xml:space="preserve"> Every partnership or company which is the holder of a mining location shall at the time of registration register at the office of the mining commissioner the name of an accredited agent residing in Zimbabwe, and such agent shall, when registered, be personally responsible under this Act for all matters, acts and omissions in connection with such location in the same manner as if such location were registered in his name as his own property.</w:t>
      </w:r>
    </w:p>
    <w:p w:rsidR="001D497C" w:rsidRDefault="001D497C" w:rsidP="001D497C">
      <w:pPr>
        <w:spacing w:after="0" w:line="360" w:lineRule="auto"/>
        <w:ind w:firstLine="720"/>
        <w:jc w:val="both"/>
        <w:rPr>
          <w:rFonts w:ascii="Times New Roman" w:hAnsi="Times New Roman" w:cs="Times New Roman"/>
          <w:sz w:val="24"/>
          <w:szCs w:val="24"/>
        </w:rPr>
      </w:pPr>
    </w:p>
    <w:p w:rsidR="00E72A18" w:rsidRDefault="00A65B60" w:rsidP="001C2B19">
      <w:pPr>
        <w:spacing w:after="0" w:line="360" w:lineRule="auto"/>
        <w:ind w:firstLine="720"/>
        <w:jc w:val="both"/>
        <w:rPr>
          <w:rFonts w:ascii="Times New Roman" w:hAnsi="Times New Roman" w:cs="Times New Roman"/>
          <w:sz w:val="24"/>
          <w:szCs w:val="24"/>
        </w:rPr>
      </w:pPr>
      <w:r w:rsidRPr="00A65B60">
        <w:rPr>
          <w:rFonts w:ascii="Times New Roman" w:hAnsi="Times New Roman" w:cs="Times New Roman"/>
          <w:sz w:val="24"/>
          <w:szCs w:val="24"/>
        </w:rPr>
        <w:t xml:space="preserve">I do not read this empowering provision to mean that an accredited agent can without the consent and participation of other syndicate members enter and conclude tribute agreements with third parties. I am persuaded by </w:t>
      </w:r>
      <w:r w:rsidRPr="00CA01D3">
        <w:rPr>
          <w:rFonts w:ascii="Times New Roman" w:hAnsi="Times New Roman" w:cs="Times New Roman"/>
          <w:i/>
          <w:sz w:val="24"/>
          <w:szCs w:val="24"/>
        </w:rPr>
        <w:t>Mr</w:t>
      </w:r>
      <w:r w:rsidRPr="00A65B60">
        <w:rPr>
          <w:rFonts w:ascii="Times New Roman" w:hAnsi="Times New Roman" w:cs="Times New Roman"/>
          <w:sz w:val="24"/>
          <w:szCs w:val="24"/>
        </w:rPr>
        <w:t xml:space="preserve"> </w:t>
      </w:r>
      <w:r w:rsidRPr="00103BD7">
        <w:rPr>
          <w:rFonts w:ascii="Times New Roman" w:hAnsi="Times New Roman" w:cs="Times New Roman"/>
          <w:i/>
          <w:sz w:val="24"/>
          <w:szCs w:val="24"/>
        </w:rPr>
        <w:t>Mangena</w:t>
      </w:r>
      <w:r w:rsidR="00103BD7" w:rsidRPr="00103BD7">
        <w:rPr>
          <w:rFonts w:ascii="Times New Roman" w:hAnsi="Times New Roman" w:cs="Times New Roman"/>
          <w:i/>
          <w:sz w:val="24"/>
          <w:szCs w:val="24"/>
        </w:rPr>
        <w:t>’s</w:t>
      </w:r>
      <w:r w:rsidRPr="00A65B60">
        <w:rPr>
          <w:rFonts w:ascii="Times New Roman" w:hAnsi="Times New Roman" w:cs="Times New Roman"/>
          <w:sz w:val="24"/>
          <w:szCs w:val="24"/>
        </w:rPr>
        <w:t xml:space="preserve"> argument that in terms of section 61(3) an accredited agent is the contact person between the syndicate and the Ministry of Mines. It cannot be used </w:t>
      </w:r>
      <w:r w:rsidR="00103BD7">
        <w:rPr>
          <w:rFonts w:ascii="Times New Roman" w:hAnsi="Times New Roman" w:cs="Times New Roman"/>
          <w:sz w:val="24"/>
          <w:szCs w:val="24"/>
        </w:rPr>
        <w:t>to mean that such an agent can</w:t>
      </w:r>
      <w:r w:rsidRPr="00A65B60">
        <w:rPr>
          <w:rFonts w:ascii="Times New Roman" w:hAnsi="Times New Roman" w:cs="Times New Roman"/>
          <w:sz w:val="24"/>
          <w:szCs w:val="24"/>
        </w:rPr>
        <w:t xml:space="preserve"> start embarking on a frolic of his own and start entering into tribute agreements without the consent and participation of other syndicate members. </w:t>
      </w:r>
      <w:r w:rsidR="00C23DDD">
        <w:rPr>
          <w:rFonts w:ascii="Times New Roman" w:hAnsi="Times New Roman" w:cs="Times New Roman"/>
          <w:sz w:val="24"/>
          <w:szCs w:val="24"/>
        </w:rPr>
        <w:t xml:space="preserve">Such an accredited agent becomes </w:t>
      </w:r>
      <w:r w:rsidRPr="00A65B60">
        <w:rPr>
          <w:rFonts w:ascii="Times New Roman" w:hAnsi="Times New Roman" w:cs="Times New Roman"/>
          <w:sz w:val="24"/>
          <w:szCs w:val="24"/>
        </w:rPr>
        <w:t xml:space="preserve">responsible to the Ministry of Mines. </w:t>
      </w:r>
      <w:r w:rsidR="00E72A18">
        <w:rPr>
          <w:rFonts w:ascii="Times New Roman" w:hAnsi="Times New Roman" w:cs="Times New Roman"/>
          <w:sz w:val="24"/>
          <w:szCs w:val="24"/>
        </w:rPr>
        <w:lastRenderedPageBreak/>
        <w:t xml:space="preserve">To argue that Mr Mlilo could seal a tribute agreement with applicant, without the consent of Mr Stone unassailable. He cannot. </w:t>
      </w:r>
    </w:p>
    <w:p w:rsidR="001C2B19" w:rsidRDefault="001C2B19" w:rsidP="001C2B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20 April 2018, Progressive Mining Syndicate and Akenaka Mineral Solutions (Pvt) Ltd</w:t>
      </w:r>
      <w:r w:rsidRPr="00DE17E5">
        <w:rPr>
          <w:rFonts w:ascii="Times New Roman" w:hAnsi="Times New Roman" w:cs="Times New Roman"/>
          <w:sz w:val="24"/>
          <w:szCs w:val="24"/>
        </w:rPr>
        <w:t xml:space="preserve"> signe</w:t>
      </w:r>
      <w:r>
        <w:rPr>
          <w:rFonts w:ascii="Times New Roman" w:hAnsi="Times New Roman" w:cs="Times New Roman"/>
          <w:sz w:val="24"/>
          <w:szCs w:val="24"/>
        </w:rPr>
        <w:t xml:space="preserve">d the Joint Venture Agreement. </w:t>
      </w:r>
      <w:r w:rsidRPr="00DE17E5">
        <w:rPr>
          <w:rFonts w:ascii="Times New Roman" w:hAnsi="Times New Roman" w:cs="Times New Roman"/>
          <w:sz w:val="24"/>
          <w:szCs w:val="24"/>
        </w:rPr>
        <w:t xml:space="preserve">The preamble to the agreement </w:t>
      </w:r>
      <w:r>
        <w:rPr>
          <w:rFonts w:ascii="Times New Roman" w:hAnsi="Times New Roman" w:cs="Times New Roman"/>
          <w:sz w:val="24"/>
          <w:szCs w:val="24"/>
        </w:rPr>
        <w:t xml:space="preserve">is detailed and provides as follows: </w:t>
      </w:r>
      <w:r w:rsidRPr="00DE17E5">
        <w:rPr>
          <w:rFonts w:ascii="Times New Roman" w:hAnsi="Times New Roman" w:cs="Times New Roman"/>
          <w:sz w:val="24"/>
          <w:szCs w:val="24"/>
        </w:rPr>
        <w:tab/>
      </w:r>
    </w:p>
    <w:p w:rsidR="001C2B19" w:rsidRDefault="001C2B19" w:rsidP="001C2B1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Whereas Michael Peter Mlilo and Michael Christopher Stone trade as progress Mining Syndicate and they are jointly the holders of various claims. The parties have met and share a vision to unlock the potential in the clams held by the Syndicate.</w:t>
      </w:r>
    </w:p>
    <w:p w:rsidR="001C2B19" w:rsidRDefault="001C2B19" w:rsidP="001C2B1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whereas the Syndicate and Michael Christopher Stone wishes to formally partner with the company through this Joint Venture Agreement.</w:t>
      </w:r>
    </w:p>
    <w:p w:rsidR="001C2B19" w:rsidRDefault="001C2B19" w:rsidP="001C2B1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the Syndicate agrees to transfer their joint held claims to the company in return for shares in the company and subject to the conditions hereunder.</w:t>
      </w:r>
    </w:p>
    <w:p w:rsidR="001C2B19" w:rsidRDefault="001C2B19" w:rsidP="001C2B1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Whereas </w:t>
      </w:r>
      <w:r w:rsidRPr="00DE17E5">
        <w:rPr>
          <w:rFonts w:ascii="Times New Roman" w:hAnsi="Times New Roman" w:cs="Times New Roman"/>
          <w:sz w:val="24"/>
          <w:szCs w:val="24"/>
        </w:rPr>
        <w:tab/>
      </w:r>
      <w:r>
        <w:rPr>
          <w:rFonts w:ascii="Times New Roman" w:hAnsi="Times New Roman" w:cs="Times New Roman"/>
          <w:sz w:val="24"/>
          <w:szCs w:val="24"/>
        </w:rPr>
        <w:t>Michael Christopher Stone agrees, subject to conditions mentioned hereunder to contribute the Penny P claim, Stamp Mill and Leaching Plant as well as any assets on the Syndicate claims and Penny P claim to the joint venture.</w:t>
      </w:r>
    </w:p>
    <w:p w:rsidR="001C2B19" w:rsidRDefault="001C2B19" w:rsidP="001C2B1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whereas Michael Peter Mlilo also agrees to transfer any and all assets held by him on the claims to the company. </w:t>
      </w:r>
    </w:p>
    <w:p w:rsidR="001C2B19" w:rsidRDefault="001C2B19" w:rsidP="001C2B1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Now, therefore in consideration of the mutual covenants and promises contained in this agreement, the parties agree to be bound by the terms and conditions set out in the agreement. </w:t>
      </w:r>
    </w:p>
    <w:p w:rsidR="001C2B19" w:rsidRDefault="001C2B19" w:rsidP="001C2B19">
      <w:pPr>
        <w:pStyle w:val="ListParagraph"/>
        <w:spacing w:after="0" w:line="360" w:lineRule="auto"/>
        <w:ind w:left="1080"/>
        <w:jc w:val="both"/>
        <w:rPr>
          <w:rFonts w:ascii="Times New Roman" w:hAnsi="Times New Roman" w:cs="Times New Roman"/>
          <w:sz w:val="24"/>
          <w:szCs w:val="24"/>
        </w:rPr>
      </w:pPr>
    </w:p>
    <w:p w:rsidR="001C2B19" w:rsidRDefault="001C2B19" w:rsidP="001C2B19">
      <w:pPr>
        <w:spacing w:after="0" w:line="360" w:lineRule="auto"/>
        <w:ind w:firstLine="720"/>
        <w:jc w:val="both"/>
        <w:rPr>
          <w:rFonts w:ascii="Times New Roman" w:hAnsi="Times New Roman" w:cs="Times New Roman"/>
          <w:sz w:val="24"/>
          <w:szCs w:val="24"/>
        </w:rPr>
      </w:pPr>
      <w:r w:rsidRPr="008527C8">
        <w:rPr>
          <w:rFonts w:ascii="Times New Roman" w:hAnsi="Times New Roman" w:cs="Times New Roman"/>
          <w:sz w:val="24"/>
          <w:szCs w:val="24"/>
        </w:rPr>
        <w:t>Under the subheading “Purpose of the Agreement</w:t>
      </w:r>
      <w:r>
        <w:rPr>
          <w:rFonts w:ascii="Times New Roman" w:hAnsi="Times New Roman" w:cs="Times New Roman"/>
          <w:sz w:val="24"/>
          <w:szCs w:val="24"/>
        </w:rPr>
        <w:t>”</w:t>
      </w:r>
      <w:r w:rsidRPr="008527C8">
        <w:rPr>
          <w:rFonts w:ascii="Times New Roman" w:hAnsi="Times New Roman" w:cs="Times New Roman"/>
          <w:sz w:val="24"/>
          <w:szCs w:val="24"/>
        </w:rPr>
        <w:t xml:space="preserve"> the follo</w:t>
      </w:r>
      <w:r>
        <w:rPr>
          <w:rFonts w:ascii="Times New Roman" w:hAnsi="Times New Roman" w:cs="Times New Roman"/>
          <w:sz w:val="24"/>
          <w:szCs w:val="24"/>
        </w:rPr>
        <w:t>wing appears, it says: the purpose of the agreement is to clarify:</w:t>
      </w:r>
    </w:p>
    <w:p w:rsidR="001C2B19" w:rsidRDefault="001C2B19" w:rsidP="001C2B19">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claims that are to be transferred to Akenaka Minerals Solutions (Private) Limited No. 1175/2017. </w:t>
      </w:r>
    </w:p>
    <w:p w:rsidR="001C2B19" w:rsidRDefault="001C2B19" w:rsidP="001C2B19">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conditions under which the claims are to be transferred;</w:t>
      </w:r>
    </w:p>
    <w:p w:rsidR="001C2B19" w:rsidRDefault="001C2B19" w:rsidP="001C2B19">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number of shares in the company that are to be transferred to the various parties.</w:t>
      </w:r>
    </w:p>
    <w:p w:rsidR="001C2B19" w:rsidRDefault="001C2B19" w:rsidP="001C2B19">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manner and the process by which the Penny P claim, Milling and Leaching plant are to be transferred to the joint venture.</w:t>
      </w:r>
    </w:p>
    <w:p w:rsidR="001C2B19" w:rsidRDefault="001C2B19" w:rsidP="001C2B19">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Enumerate the assets which are to be transferred to the company.</w:t>
      </w:r>
    </w:p>
    <w:p w:rsidR="001C2B19" w:rsidRDefault="001C2B19" w:rsidP="001C2B19">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agreement further wishes to clarify the nature of the parties’ relationship and their responsibilities. </w:t>
      </w:r>
    </w:p>
    <w:p w:rsidR="003C50D7" w:rsidRDefault="001C2B19" w:rsidP="003C50D7">
      <w:pPr>
        <w:spacing w:after="0" w:line="360" w:lineRule="auto"/>
        <w:ind w:firstLine="720"/>
        <w:jc w:val="both"/>
        <w:rPr>
          <w:rFonts w:ascii="Times New Roman" w:hAnsi="Times New Roman" w:cs="Times New Roman"/>
          <w:sz w:val="24"/>
          <w:szCs w:val="24"/>
        </w:rPr>
      </w:pPr>
      <w:r w:rsidRPr="00A34ED0">
        <w:rPr>
          <w:rFonts w:ascii="Times New Roman" w:hAnsi="Times New Roman" w:cs="Times New Roman"/>
          <w:sz w:val="24"/>
          <w:szCs w:val="24"/>
        </w:rPr>
        <w:t xml:space="preserve">Clause 3.1 of the Joint Venture Agreement states that, “it is explicitly recorded that any and all claims held by the syndicate are to be transferred to the company. The claims are currently under due diligence and include but are not limited to the claims listed below. </w:t>
      </w:r>
      <w:r>
        <w:rPr>
          <w:rFonts w:ascii="Times New Roman" w:hAnsi="Times New Roman" w:cs="Times New Roman"/>
          <w:sz w:val="24"/>
          <w:szCs w:val="24"/>
        </w:rPr>
        <w:t xml:space="preserve">It is common cause that some of the claims referred to in the </w:t>
      </w:r>
      <w:r w:rsidRPr="00A34ED0">
        <w:rPr>
          <w:rFonts w:ascii="Times New Roman" w:hAnsi="Times New Roman" w:cs="Times New Roman"/>
          <w:sz w:val="24"/>
          <w:szCs w:val="24"/>
        </w:rPr>
        <w:t>Joint Venture Agreement</w:t>
      </w:r>
      <w:r>
        <w:rPr>
          <w:rFonts w:ascii="Times New Roman" w:hAnsi="Times New Roman" w:cs="Times New Roman"/>
          <w:sz w:val="24"/>
          <w:szCs w:val="24"/>
        </w:rPr>
        <w:t xml:space="preserve"> are those applicant and Mr Mlilo say are subject to the Tribute Agreement. </w:t>
      </w:r>
      <w:r w:rsidRPr="00EB6545">
        <w:rPr>
          <w:rFonts w:ascii="Times New Roman" w:hAnsi="Times New Roman" w:cs="Times New Roman"/>
          <w:sz w:val="24"/>
          <w:szCs w:val="24"/>
        </w:rPr>
        <w:t xml:space="preserve">The Joint Venture Agreement is a binding contract. It has not been cancelled. </w:t>
      </w:r>
    </w:p>
    <w:p w:rsidR="001C2B19" w:rsidRPr="003C50D7" w:rsidRDefault="001C2B19" w:rsidP="003C5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Mlilo does not dispute that he signed this </w:t>
      </w:r>
      <w:r w:rsidR="003C50D7">
        <w:rPr>
          <w:rFonts w:ascii="Times New Roman" w:hAnsi="Times New Roman" w:cs="Times New Roman"/>
          <w:sz w:val="24"/>
          <w:szCs w:val="24"/>
        </w:rPr>
        <w:t xml:space="preserve">joint venture </w:t>
      </w:r>
      <w:r>
        <w:rPr>
          <w:rFonts w:ascii="Times New Roman" w:hAnsi="Times New Roman" w:cs="Times New Roman"/>
          <w:sz w:val="24"/>
          <w:szCs w:val="24"/>
        </w:rPr>
        <w:t xml:space="preserve">agreement. His contention now is that the </w:t>
      </w:r>
      <w:r w:rsidRPr="003C50D7">
        <w:rPr>
          <w:rFonts w:ascii="Times New Roman" w:hAnsi="Times New Roman" w:cs="Times New Roman"/>
          <w:sz w:val="24"/>
          <w:szCs w:val="24"/>
        </w:rPr>
        <w:t>mining locations in question are owned by Progressive Mining</w:t>
      </w:r>
      <w:r w:rsidR="003C50D7">
        <w:rPr>
          <w:rFonts w:ascii="Times New Roman" w:hAnsi="Times New Roman" w:cs="Times New Roman"/>
          <w:sz w:val="24"/>
          <w:szCs w:val="24"/>
        </w:rPr>
        <w:t xml:space="preserve"> Syndicate and </w:t>
      </w:r>
      <w:r w:rsidR="002E250C">
        <w:rPr>
          <w:rFonts w:ascii="Times New Roman" w:hAnsi="Times New Roman" w:cs="Times New Roman"/>
          <w:sz w:val="24"/>
          <w:szCs w:val="24"/>
        </w:rPr>
        <w:t xml:space="preserve">do </w:t>
      </w:r>
      <w:r w:rsidR="003C50D7">
        <w:rPr>
          <w:rFonts w:ascii="Times New Roman" w:hAnsi="Times New Roman" w:cs="Times New Roman"/>
          <w:sz w:val="24"/>
          <w:szCs w:val="24"/>
        </w:rPr>
        <w:t>not belong to Akenaka Mineral Solutions</w:t>
      </w:r>
      <w:r w:rsidRPr="003C50D7">
        <w:rPr>
          <w:rFonts w:ascii="Times New Roman" w:hAnsi="Times New Roman" w:cs="Times New Roman"/>
          <w:sz w:val="24"/>
          <w:szCs w:val="24"/>
        </w:rPr>
        <w:t xml:space="preserve"> third respondent.</w:t>
      </w:r>
      <w:r w:rsidR="003C50D7">
        <w:rPr>
          <w:rFonts w:ascii="Times New Roman" w:hAnsi="Times New Roman" w:cs="Times New Roman"/>
          <w:sz w:val="24"/>
          <w:szCs w:val="24"/>
        </w:rPr>
        <w:t xml:space="preserve"> How could Mr Mlilo on 20 April 2018 sign a joint venture agreement with Akenaka Mineral Solutions, well knowing that in 2016 he signed a tribute agreement with applicant involving the same mining locations? This gives credence to Mr Stone unchallenged averments that the Tribute Agreement is fake. </w:t>
      </w:r>
    </w:p>
    <w:p w:rsidR="003C50D7" w:rsidRDefault="003C50D7" w:rsidP="003C50D7">
      <w:pPr>
        <w:spacing w:after="0" w:line="360" w:lineRule="auto"/>
        <w:ind w:firstLine="720"/>
        <w:jc w:val="both"/>
        <w:rPr>
          <w:rFonts w:ascii="Times New Roman" w:hAnsi="Times New Roman" w:cs="Times New Roman"/>
          <w:snapToGrid w:val="0"/>
          <w:sz w:val="24"/>
          <w:szCs w:val="24"/>
        </w:rPr>
      </w:pPr>
      <w:r>
        <w:rPr>
          <w:rFonts w:ascii="Times New Roman" w:hAnsi="Times New Roman" w:cs="Times New Roman"/>
          <w:snapToGrid w:val="0"/>
          <w:sz w:val="24"/>
          <w:szCs w:val="24"/>
        </w:rPr>
        <w:t>Again, even if for a moment one were to accept the authenticity of the said Tribute Agreement, its process of renewal would still have been nullity. The purported agreement would have expired on 20 January 2019. If valid</w:t>
      </w:r>
      <w:r w:rsidR="002E250C">
        <w:rPr>
          <w:rFonts w:ascii="Times New Roman" w:hAnsi="Times New Roman" w:cs="Times New Roman"/>
          <w:snapToGrid w:val="0"/>
          <w:sz w:val="24"/>
          <w:szCs w:val="24"/>
        </w:rPr>
        <w:t>,</w:t>
      </w:r>
      <w:r>
        <w:rPr>
          <w:rFonts w:ascii="Times New Roman" w:hAnsi="Times New Roman" w:cs="Times New Roman"/>
          <w:snapToGrid w:val="0"/>
          <w:sz w:val="24"/>
          <w:szCs w:val="24"/>
        </w:rPr>
        <w:t xml:space="preserve"> that agreement required three months’ notice to be given for its renewal. </w:t>
      </w:r>
      <w:r w:rsidRPr="00A30352">
        <w:rPr>
          <w:rFonts w:ascii="Times New Roman" w:hAnsi="Times New Roman" w:cs="Times New Roman"/>
          <w:i/>
          <w:snapToGrid w:val="0"/>
          <w:sz w:val="24"/>
          <w:szCs w:val="24"/>
        </w:rPr>
        <w:t>Mr</w:t>
      </w:r>
      <w:r>
        <w:rPr>
          <w:rFonts w:ascii="Times New Roman" w:hAnsi="Times New Roman" w:cs="Times New Roman"/>
          <w:snapToGrid w:val="0"/>
          <w:sz w:val="24"/>
          <w:szCs w:val="24"/>
        </w:rPr>
        <w:t xml:space="preserve"> </w:t>
      </w:r>
      <w:r w:rsidRPr="00611FD9">
        <w:rPr>
          <w:rFonts w:ascii="Times New Roman" w:hAnsi="Times New Roman" w:cs="Times New Roman"/>
          <w:i/>
          <w:snapToGrid w:val="0"/>
          <w:sz w:val="24"/>
          <w:szCs w:val="24"/>
        </w:rPr>
        <w:t>Mangena</w:t>
      </w:r>
      <w:r>
        <w:rPr>
          <w:rFonts w:ascii="Times New Roman" w:hAnsi="Times New Roman" w:cs="Times New Roman"/>
          <w:snapToGrid w:val="0"/>
          <w:sz w:val="24"/>
          <w:szCs w:val="24"/>
        </w:rPr>
        <w:t xml:space="preserve"> for the respondents argue that on the 20 January 2019 no notice was given to renew the said tribute agreement. It is argued that the purported notice was given on the 25 February 2020, more than a year after its expiry. The notice was thus invalid. The right to exercise the renewal was lost. The agreement could not be renewed on the basis of an invalid renewal notice. I agree. </w:t>
      </w:r>
    </w:p>
    <w:p w:rsidR="003C50D7" w:rsidRDefault="003C50D7" w:rsidP="003C50D7">
      <w:pPr>
        <w:spacing w:after="0" w:line="360" w:lineRule="auto"/>
        <w:ind w:firstLine="720"/>
        <w:jc w:val="both"/>
        <w:rPr>
          <w:rFonts w:ascii="Times New Roman" w:hAnsi="Times New Roman" w:cs="Times New Roman"/>
          <w:snapToGrid w:val="0"/>
          <w:sz w:val="24"/>
          <w:szCs w:val="24"/>
        </w:rPr>
      </w:pPr>
      <w:r w:rsidRPr="00A30352">
        <w:rPr>
          <w:rFonts w:ascii="Times New Roman" w:hAnsi="Times New Roman" w:cs="Times New Roman"/>
          <w:i/>
          <w:snapToGrid w:val="0"/>
          <w:sz w:val="24"/>
          <w:szCs w:val="24"/>
        </w:rPr>
        <w:t>Mr</w:t>
      </w:r>
      <w:r>
        <w:rPr>
          <w:rFonts w:ascii="Times New Roman" w:hAnsi="Times New Roman" w:cs="Times New Roman"/>
          <w:snapToGrid w:val="0"/>
          <w:sz w:val="24"/>
          <w:szCs w:val="24"/>
        </w:rPr>
        <w:t xml:space="preserve"> </w:t>
      </w:r>
      <w:r w:rsidRPr="00B21884">
        <w:rPr>
          <w:rFonts w:ascii="Times New Roman" w:hAnsi="Times New Roman" w:cs="Times New Roman"/>
          <w:i/>
          <w:snapToGrid w:val="0"/>
          <w:sz w:val="24"/>
          <w:szCs w:val="24"/>
        </w:rPr>
        <w:t xml:space="preserve">Mangena </w:t>
      </w:r>
      <w:r>
        <w:rPr>
          <w:rFonts w:ascii="Times New Roman" w:hAnsi="Times New Roman" w:cs="Times New Roman"/>
          <w:snapToGrid w:val="0"/>
          <w:sz w:val="24"/>
          <w:szCs w:val="24"/>
        </w:rPr>
        <w:t>contends that having lost the right to renew the tribute agreement, applicant</w:t>
      </w:r>
      <w:r w:rsidR="00021E26">
        <w:rPr>
          <w:rFonts w:ascii="Times New Roman" w:hAnsi="Times New Roman" w:cs="Times New Roman"/>
          <w:snapToGrid w:val="0"/>
          <w:sz w:val="24"/>
          <w:szCs w:val="24"/>
        </w:rPr>
        <w:t xml:space="preserve"> would have had to engage both Mr Mlilo and Mr Stone</w:t>
      </w:r>
      <w:r>
        <w:rPr>
          <w:rFonts w:ascii="Times New Roman" w:hAnsi="Times New Roman" w:cs="Times New Roman"/>
          <w:snapToGrid w:val="0"/>
          <w:sz w:val="24"/>
          <w:szCs w:val="24"/>
        </w:rPr>
        <w:t xml:space="preserve"> for a completely new one. That is not a process that could have been undertaken with only one member of the Progress Mining Syndicate, i.e. Mr Mlilo. In any event, the agreement could have not been entered into or renewed without 2</w:t>
      </w:r>
      <w:r w:rsidRPr="00B21884">
        <w:rPr>
          <w:rFonts w:ascii="Times New Roman" w:hAnsi="Times New Roman" w:cs="Times New Roman"/>
          <w:snapToGrid w:val="0"/>
          <w:sz w:val="24"/>
          <w:szCs w:val="24"/>
          <w:vertAlign w:val="superscript"/>
        </w:rPr>
        <w:t>nd</w:t>
      </w:r>
      <w:r>
        <w:rPr>
          <w:rFonts w:ascii="Times New Roman" w:hAnsi="Times New Roman" w:cs="Times New Roman"/>
          <w:snapToGrid w:val="0"/>
          <w:sz w:val="24"/>
          <w:szCs w:val="24"/>
        </w:rPr>
        <w:t xml:space="preserve"> respondent’s app</w:t>
      </w:r>
      <w:r w:rsidR="00021E26">
        <w:rPr>
          <w:rFonts w:ascii="Times New Roman" w:hAnsi="Times New Roman" w:cs="Times New Roman"/>
          <w:snapToGrid w:val="0"/>
          <w:sz w:val="24"/>
          <w:szCs w:val="24"/>
        </w:rPr>
        <w:t>roval.</w:t>
      </w:r>
    </w:p>
    <w:p w:rsidR="003C50D7" w:rsidRDefault="00021E26" w:rsidP="003C50D7">
      <w:pPr>
        <w:spacing w:after="0" w:line="360" w:lineRule="auto"/>
        <w:ind w:firstLine="720"/>
        <w:jc w:val="both"/>
        <w:rPr>
          <w:rFonts w:ascii="Times New Roman" w:hAnsi="Times New Roman" w:cs="Times New Roman"/>
          <w:snapToGrid w:val="0"/>
          <w:sz w:val="24"/>
          <w:szCs w:val="24"/>
        </w:rPr>
      </w:pPr>
      <w:r>
        <w:rPr>
          <w:rFonts w:ascii="Times New Roman" w:hAnsi="Times New Roman" w:cs="Times New Roman"/>
          <w:snapToGrid w:val="0"/>
          <w:sz w:val="24"/>
          <w:szCs w:val="24"/>
        </w:rPr>
        <w:t>It is argued that in any event entering into a</w:t>
      </w:r>
      <w:r w:rsidR="003C50D7">
        <w:rPr>
          <w:rFonts w:ascii="Times New Roman" w:hAnsi="Times New Roman" w:cs="Times New Roman"/>
          <w:snapToGrid w:val="0"/>
          <w:sz w:val="24"/>
          <w:szCs w:val="24"/>
        </w:rPr>
        <w:t xml:space="preserve"> tribute agreement would have been in breach of the joint venture agreement which all the parties were</w:t>
      </w:r>
      <w:r>
        <w:rPr>
          <w:rFonts w:ascii="Times New Roman" w:hAnsi="Times New Roman" w:cs="Times New Roman"/>
          <w:snapToGrid w:val="0"/>
          <w:sz w:val="24"/>
          <w:szCs w:val="24"/>
        </w:rPr>
        <w:t xml:space="preserve"> aware of, i.e. Mr</w:t>
      </w:r>
      <w:r w:rsidR="00A30352">
        <w:rPr>
          <w:rFonts w:ascii="Times New Roman" w:hAnsi="Times New Roman" w:cs="Times New Roman"/>
          <w:snapToGrid w:val="0"/>
          <w:sz w:val="24"/>
          <w:szCs w:val="24"/>
        </w:rPr>
        <w:t xml:space="preserve"> </w:t>
      </w:r>
      <w:r>
        <w:rPr>
          <w:rFonts w:ascii="Times New Roman" w:hAnsi="Times New Roman" w:cs="Times New Roman"/>
          <w:snapToGrid w:val="0"/>
          <w:sz w:val="24"/>
          <w:szCs w:val="24"/>
        </w:rPr>
        <w:t>Mlilo and Mr</w:t>
      </w:r>
      <w:r w:rsidR="00A30352">
        <w:rPr>
          <w:rFonts w:ascii="Times New Roman" w:hAnsi="Times New Roman" w:cs="Times New Roman"/>
          <w:snapToGrid w:val="0"/>
          <w:sz w:val="24"/>
          <w:szCs w:val="24"/>
        </w:rPr>
        <w:t xml:space="preserve"> </w:t>
      </w:r>
      <w:r w:rsidR="003C50D7">
        <w:rPr>
          <w:rFonts w:ascii="Times New Roman" w:hAnsi="Times New Roman" w:cs="Times New Roman"/>
          <w:snapToGrid w:val="0"/>
          <w:sz w:val="24"/>
          <w:szCs w:val="24"/>
        </w:rPr>
        <w:t xml:space="preserve">Stone. By operation of the said joint venture agreement, Progress Mining Syndicate lost </w:t>
      </w:r>
      <w:r w:rsidR="003C50D7">
        <w:rPr>
          <w:rFonts w:ascii="Times New Roman" w:hAnsi="Times New Roman" w:cs="Times New Roman"/>
          <w:snapToGrid w:val="0"/>
          <w:sz w:val="24"/>
          <w:szCs w:val="24"/>
        </w:rPr>
        <w:lastRenderedPageBreak/>
        <w:t>its rights to the concerned claims. Progress Mining Syndicate, represented by Michael Peter Mlilo, signed the joint venture agreement</w:t>
      </w:r>
      <w:r>
        <w:rPr>
          <w:rFonts w:ascii="Times New Roman" w:hAnsi="Times New Roman" w:cs="Times New Roman"/>
          <w:snapToGrid w:val="0"/>
          <w:sz w:val="24"/>
          <w:szCs w:val="24"/>
        </w:rPr>
        <w:t xml:space="preserve"> with Akenaka Mineral Solutions. Both Mr</w:t>
      </w:r>
      <w:r w:rsidR="003C50D7">
        <w:rPr>
          <w:rFonts w:ascii="Times New Roman" w:hAnsi="Times New Roman" w:cs="Times New Roman"/>
          <w:snapToGrid w:val="0"/>
          <w:sz w:val="24"/>
          <w:szCs w:val="24"/>
        </w:rPr>
        <w:t xml:space="preserve"> Mlilo</w:t>
      </w:r>
      <w:r>
        <w:rPr>
          <w:rFonts w:ascii="Times New Roman" w:hAnsi="Times New Roman" w:cs="Times New Roman"/>
          <w:snapToGrid w:val="0"/>
          <w:sz w:val="24"/>
          <w:szCs w:val="24"/>
        </w:rPr>
        <w:t xml:space="preserve"> and Mr </w:t>
      </w:r>
      <w:r w:rsidR="003C50D7">
        <w:rPr>
          <w:rFonts w:ascii="Times New Roman" w:hAnsi="Times New Roman" w:cs="Times New Roman"/>
          <w:snapToGrid w:val="0"/>
          <w:sz w:val="24"/>
          <w:szCs w:val="24"/>
        </w:rPr>
        <w:t xml:space="preserve">Stone, the members of Progress Mining Syndicate signed that joint venture agreement. Both the said members agreed to have their syndicate claims transferred into the joint venture vehicle. </w:t>
      </w:r>
    </w:p>
    <w:p w:rsidR="001C2B19" w:rsidRPr="00A65B60" w:rsidRDefault="003C50D7" w:rsidP="00DE6E69">
      <w:pPr>
        <w:spacing w:after="0" w:line="360" w:lineRule="auto"/>
        <w:ind w:firstLine="720"/>
        <w:jc w:val="both"/>
        <w:rPr>
          <w:rFonts w:ascii="Times New Roman" w:hAnsi="Times New Roman" w:cs="Times New Roman"/>
          <w:sz w:val="24"/>
          <w:szCs w:val="24"/>
        </w:rPr>
      </w:pPr>
      <w:r>
        <w:rPr>
          <w:rFonts w:ascii="Times New Roman" w:hAnsi="Times New Roman" w:cs="Times New Roman"/>
          <w:snapToGrid w:val="0"/>
          <w:sz w:val="24"/>
          <w:szCs w:val="24"/>
        </w:rPr>
        <w:t>It</w:t>
      </w:r>
      <w:r w:rsidR="00021E26">
        <w:rPr>
          <w:rFonts w:ascii="Times New Roman" w:hAnsi="Times New Roman" w:cs="Times New Roman"/>
          <w:snapToGrid w:val="0"/>
          <w:sz w:val="24"/>
          <w:szCs w:val="24"/>
        </w:rPr>
        <w:t xml:space="preserve"> is submitted that Mr</w:t>
      </w:r>
      <w:r>
        <w:rPr>
          <w:rFonts w:ascii="Times New Roman" w:hAnsi="Times New Roman" w:cs="Times New Roman"/>
          <w:snapToGrid w:val="0"/>
          <w:sz w:val="24"/>
          <w:szCs w:val="24"/>
        </w:rPr>
        <w:t xml:space="preserve"> Mlilo lost the right to deal with the claims, both as an individual and also through the syndicate the day he signed the joint venture agreement. </w:t>
      </w:r>
      <w:r w:rsidR="00021E26">
        <w:rPr>
          <w:rFonts w:ascii="Times New Roman" w:hAnsi="Times New Roman" w:cs="Times New Roman"/>
          <w:sz w:val="24"/>
          <w:szCs w:val="24"/>
        </w:rPr>
        <w:t xml:space="preserve">The transfer of the claims to Akenaka Mineral Solutions is a separate issue. Mr Mlilo signed the joint venture agreement in terms of which he undertook to transfer the claims. The claims shall be transferred in terms of the agreement he signed.  Mr Mlilo and Mr Stone’s interest in the claims is now through the joint venture agreement. Mr Mlilo cannot have it both ways, sign and surrender his claims to the Akenaka Mineral Solutions, and also purport to deal with the same claims outside the company. This is unattainable. </w:t>
      </w:r>
    </w:p>
    <w:p w:rsidR="00E72A18" w:rsidRDefault="00E72A18" w:rsidP="00DE6E69">
      <w:pPr>
        <w:spacing w:after="0" w:line="360" w:lineRule="auto"/>
        <w:ind w:firstLine="720"/>
        <w:jc w:val="both"/>
        <w:rPr>
          <w:rFonts w:ascii="Times New Roman" w:hAnsi="Times New Roman" w:cs="Times New Roman"/>
          <w:snapToGrid w:val="0"/>
          <w:sz w:val="24"/>
          <w:szCs w:val="24"/>
        </w:rPr>
      </w:pPr>
      <w:r>
        <w:rPr>
          <w:rFonts w:ascii="Times New Roman" w:hAnsi="Times New Roman" w:cs="Times New Roman"/>
          <w:snapToGrid w:val="0"/>
          <w:sz w:val="24"/>
          <w:szCs w:val="24"/>
        </w:rPr>
        <w:t>The argument that applicant belie</w:t>
      </w:r>
      <w:r w:rsidR="00DE6E69">
        <w:rPr>
          <w:rFonts w:ascii="Times New Roman" w:hAnsi="Times New Roman" w:cs="Times New Roman"/>
          <w:snapToGrid w:val="0"/>
          <w:sz w:val="24"/>
          <w:szCs w:val="24"/>
        </w:rPr>
        <w:t>ved that Mr</w:t>
      </w:r>
      <w:r>
        <w:rPr>
          <w:rFonts w:ascii="Times New Roman" w:hAnsi="Times New Roman" w:cs="Times New Roman"/>
          <w:snapToGrid w:val="0"/>
          <w:sz w:val="24"/>
          <w:szCs w:val="24"/>
        </w:rPr>
        <w:t xml:space="preserve"> Mlilo </w:t>
      </w:r>
      <w:r w:rsidR="00DE6E69">
        <w:rPr>
          <w:rFonts w:ascii="Times New Roman" w:hAnsi="Times New Roman" w:cs="Times New Roman"/>
          <w:snapToGrid w:val="0"/>
          <w:sz w:val="24"/>
          <w:szCs w:val="24"/>
        </w:rPr>
        <w:t xml:space="preserve">in purporting to renew the alleged Tribute Agreement </w:t>
      </w:r>
      <w:r>
        <w:rPr>
          <w:rFonts w:ascii="Times New Roman" w:hAnsi="Times New Roman" w:cs="Times New Roman"/>
          <w:snapToGrid w:val="0"/>
          <w:sz w:val="24"/>
          <w:szCs w:val="24"/>
        </w:rPr>
        <w:t xml:space="preserve">was adequately empowered to act on behalf of Progress Mining Syndicate is not borne out by the facts of this case. On the 26 June 2018 Akenaka Mineral Solutions (Pvt) Ltd addressed a letter to applicant and I reproduce the letter in full: </w:t>
      </w:r>
    </w:p>
    <w:p w:rsidR="00E72A18" w:rsidRPr="00DC342D" w:rsidRDefault="00E72A18" w:rsidP="00E72A18">
      <w:pPr>
        <w:spacing w:after="0" w:line="276" w:lineRule="auto"/>
        <w:ind w:firstLine="720"/>
        <w:jc w:val="both"/>
        <w:rPr>
          <w:rFonts w:ascii="Times New Roman" w:hAnsi="Times New Roman" w:cs="Times New Roman"/>
          <w:snapToGrid w:val="0"/>
        </w:rPr>
      </w:pPr>
      <w:r w:rsidRPr="00DC342D">
        <w:rPr>
          <w:rFonts w:ascii="Times New Roman" w:hAnsi="Times New Roman" w:cs="Times New Roman"/>
          <w:snapToGrid w:val="0"/>
        </w:rPr>
        <w:t>We thank you for taking time to meet with our representative Mr Ted Gumbi.</w:t>
      </w:r>
    </w:p>
    <w:p w:rsidR="00E72A18" w:rsidRPr="00DC342D" w:rsidRDefault="00E72A18" w:rsidP="00E72A18">
      <w:pPr>
        <w:spacing w:after="0" w:line="276" w:lineRule="auto"/>
        <w:ind w:firstLine="720"/>
        <w:jc w:val="both"/>
        <w:rPr>
          <w:rFonts w:ascii="Times New Roman" w:hAnsi="Times New Roman" w:cs="Times New Roman"/>
          <w:snapToGrid w:val="0"/>
        </w:rPr>
      </w:pPr>
      <w:r w:rsidRPr="00DC342D">
        <w:rPr>
          <w:rFonts w:ascii="Times New Roman" w:hAnsi="Times New Roman" w:cs="Times New Roman"/>
          <w:snapToGrid w:val="0"/>
        </w:rPr>
        <w:t>Your subsequent letter was well received and noted by all board members.</w:t>
      </w:r>
    </w:p>
    <w:p w:rsidR="00E72A18" w:rsidRPr="00DC342D" w:rsidRDefault="00E72A18" w:rsidP="00E72A18">
      <w:pPr>
        <w:spacing w:after="0" w:line="276" w:lineRule="auto"/>
        <w:ind w:left="720"/>
        <w:jc w:val="both"/>
        <w:rPr>
          <w:rFonts w:ascii="Times New Roman" w:hAnsi="Times New Roman" w:cs="Times New Roman"/>
          <w:snapToGrid w:val="0"/>
        </w:rPr>
      </w:pPr>
      <w:r w:rsidRPr="00DC342D">
        <w:rPr>
          <w:rFonts w:ascii="Times New Roman" w:hAnsi="Times New Roman" w:cs="Times New Roman"/>
          <w:snapToGrid w:val="0"/>
        </w:rPr>
        <w:t xml:space="preserve">We are in the final stages of concluding an extensive due diligence on various claims. Part of our strategy is to increase our milling capacity while simultaneously increasing our core production. </w:t>
      </w:r>
    </w:p>
    <w:p w:rsidR="00E72A18" w:rsidRPr="00DC342D" w:rsidRDefault="00E72A18" w:rsidP="00E72A18">
      <w:pPr>
        <w:spacing w:after="0" w:line="276" w:lineRule="auto"/>
        <w:ind w:left="720"/>
        <w:jc w:val="both"/>
        <w:rPr>
          <w:rFonts w:ascii="Times New Roman" w:hAnsi="Times New Roman" w:cs="Times New Roman"/>
          <w:snapToGrid w:val="0"/>
        </w:rPr>
      </w:pPr>
      <w:r w:rsidRPr="00DC342D">
        <w:rPr>
          <w:rFonts w:ascii="Times New Roman" w:hAnsi="Times New Roman" w:cs="Times New Roman"/>
          <w:snapToGrid w:val="0"/>
        </w:rPr>
        <w:t xml:space="preserve">Our CEO, Gumbi will be our spokesperson and will be in contact with you regarding the implementation of our future growth strategy. </w:t>
      </w:r>
    </w:p>
    <w:p w:rsidR="00E72A18" w:rsidRPr="00DC342D" w:rsidRDefault="00E72A18" w:rsidP="00E72A18">
      <w:pPr>
        <w:spacing w:after="0" w:line="276" w:lineRule="auto"/>
        <w:ind w:left="720"/>
        <w:jc w:val="both"/>
        <w:rPr>
          <w:rFonts w:ascii="Times New Roman" w:hAnsi="Times New Roman" w:cs="Times New Roman"/>
          <w:snapToGrid w:val="0"/>
        </w:rPr>
      </w:pPr>
      <w:r w:rsidRPr="00DC342D">
        <w:rPr>
          <w:rFonts w:ascii="Times New Roman" w:hAnsi="Times New Roman" w:cs="Times New Roman"/>
          <w:snapToGrid w:val="0"/>
        </w:rPr>
        <w:t>We look forward to a long standing working relationship for the mutual benefit of both our companies.</w:t>
      </w:r>
    </w:p>
    <w:p w:rsidR="00E72A18" w:rsidRPr="00DC342D" w:rsidRDefault="00E72A18" w:rsidP="00E72A18">
      <w:pPr>
        <w:spacing w:after="0" w:line="276" w:lineRule="auto"/>
        <w:ind w:left="720"/>
        <w:jc w:val="both"/>
        <w:rPr>
          <w:rFonts w:ascii="Times New Roman" w:hAnsi="Times New Roman" w:cs="Times New Roman"/>
          <w:snapToGrid w:val="0"/>
        </w:rPr>
      </w:pPr>
      <w:r w:rsidRPr="00DC342D">
        <w:rPr>
          <w:rFonts w:ascii="Times New Roman" w:hAnsi="Times New Roman" w:cs="Times New Roman"/>
          <w:snapToGrid w:val="0"/>
        </w:rPr>
        <w:t xml:space="preserve">I trust that this letter be hand delivered to you by Mr Teddy Gumbi. </w:t>
      </w:r>
    </w:p>
    <w:p w:rsidR="00E72A18" w:rsidRPr="00DC342D" w:rsidRDefault="00E72A18" w:rsidP="00E72A18">
      <w:pPr>
        <w:spacing w:after="0" w:line="276" w:lineRule="auto"/>
        <w:ind w:left="720"/>
        <w:jc w:val="both"/>
        <w:rPr>
          <w:rFonts w:ascii="Times New Roman" w:hAnsi="Times New Roman" w:cs="Times New Roman"/>
          <w:snapToGrid w:val="0"/>
        </w:rPr>
      </w:pPr>
      <w:r w:rsidRPr="00DC342D">
        <w:rPr>
          <w:rFonts w:ascii="Times New Roman" w:hAnsi="Times New Roman" w:cs="Times New Roman"/>
          <w:snapToGrid w:val="0"/>
        </w:rPr>
        <w:t xml:space="preserve">I look forward to meeting you in the foreseeable future. </w:t>
      </w:r>
    </w:p>
    <w:p w:rsidR="00E72A18" w:rsidRDefault="00E72A18" w:rsidP="00E72A18">
      <w:pPr>
        <w:spacing w:after="0" w:line="276" w:lineRule="auto"/>
        <w:ind w:left="720"/>
        <w:jc w:val="both"/>
        <w:rPr>
          <w:rFonts w:ascii="Times New Roman" w:hAnsi="Times New Roman" w:cs="Times New Roman"/>
          <w:snapToGrid w:val="0"/>
        </w:rPr>
      </w:pPr>
      <w:r w:rsidRPr="00DC342D">
        <w:rPr>
          <w:rFonts w:ascii="Times New Roman" w:hAnsi="Times New Roman" w:cs="Times New Roman"/>
          <w:snapToGrid w:val="0"/>
        </w:rPr>
        <w:t xml:space="preserve">John levy (Chairman) </w:t>
      </w:r>
    </w:p>
    <w:p w:rsidR="00E72A18" w:rsidRPr="00257E59" w:rsidRDefault="00E72A18" w:rsidP="00E72A18">
      <w:pPr>
        <w:spacing w:after="0" w:line="276" w:lineRule="auto"/>
        <w:ind w:left="720"/>
        <w:jc w:val="both"/>
        <w:rPr>
          <w:rFonts w:ascii="Times New Roman" w:hAnsi="Times New Roman" w:cs="Times New Roman"/>
          <w:snapToGrid w:val="0"/>
          <w:sz w:val="24"/>
          <w:szCs w:val="24"/>
        </w:rPr>
      </w:pPr>
    </w:p>
    <w:p w:rsidR="002B2395" w:rsidRDefault="00DE6E69" w:rsidP="00EA1B26">
      <w:pPr>
        <w:spacing w:after="0" w:line="360" w:lineRule="auto"/>
        <w:ind w:firstLine="720"/>
        <w:jc w:val="both"/>
        <w:rPr>
          <w:rFonts w:ascii="Times New Roman" w:hAnsi="Times New Roman" w:cs="Times New Roman"/>
          <w:snapToGrid w:val="0"/>
          <w:sz w:val="24"/>
          <w:szCs w:val="24"/>
        </w:rPr>
      </w:pPr>
      <w:r>
        <w:rPr>
          <w:rFonts w:ascii="Times New Roman" w:hAnsi="Times New Roman" w:cs="Times New Roman"/>
          <w:snapToGrid w:val="0"/>
          <w:sz w:val="24"/>
          <w:szCs w:val="24"/>
        </w:rPr>
        <w:t>The letter is</w:t>
      </w:r>
      <w:r w:rsidR="00E72A18">
        <w:rPr>
          <w:rFonts w:ascii="Times New Roman" w:hAnsi="Times New Roman" w:cs="Times New Roman"/>
          <w:snapToGrid w:val="0"/>
          <w:sz w:val="24"/>
          <w:szCs w:val="24"/>
        </w:rPr>
        <w:t xml:space="preserve"> clear that the pers</w:t>
      </w:r>
      <w:r>
        <w:rPr>
          <w:rFonts w:ascii="Times New Roman" w:hAnsi="Times New Roman" w:cs="Times New Roman"/>
          <w:snapToGrid w:val="0"/>
          <w:sz w:val="24"/>
          <w:szCs w:val="24"/>
        </w:rPr>
        <w:t>on to deal with was Mr T. Gumbi, of Akenaka Mineral Solutions.  A</w:t>
      </w:r>
      <w:r w:rsidR="00E72A18">
        <w:rPr>
          <w:rFonts w:ascii="Times New Roman" w:hAnsi="Times New Roman" w:cs="Times New Roman"/>
          <w:snapToGrid w:val="0"/>
          <w:sz w:val="24"/>
          <w:szCs w:val="24"/>
        </w:rPr>
        <w:t>pplic</w:t>
      </w:r>
      <w:r>
        <w:rPr>
          <w:rFonts w:ascii="Times New Roman" w:hAnsi="Times New Roman" w:cs="Times New Roman"/>
          <w:snapToGrid w:val="0"/>
          <w:sz w:val="24"/>
          <w:szCs w:val="24"/>
        </w:rPr>
        <w:t xml:space="preserve">ant cannot aver that it dealt with Mr </w:t>
      </w:r>
      <w:r w:rsidR="00E72A18">
        <w:rPr>
          <w:rFonts w:ascii="Times New Roman" w:hAnsi="Times New Roman" w:cs="Times New Roman"/>
          <w:snapToGrid w:val="0"/>
          <w:sz w:val="24"/>
          <w:szCs w:val="24"/>
        </w:rPr>
        <w:t xml:space="preserve">Mlilo, believing that he was adequately empowered to act on behalf of Progress Mining Syndicate. It was not </w:t>
      </w:r>
      <w:r w:rsidR="002E250C">
        <w:rPr>
          <w:rFonts w:ascii="Times New Roman" w:hAnsi="Times New Roman" w:cs="Times New Roman"/>
          <w:snapToGrid w:val="0"/>
          <w:sz w:val="24"/>
          <w:szCs w:val="24"/>
        </w:rPr>
        <w:t xml:space="preserve">for </w:t>
      </w:r>
      <w:r w:rsidR="00E72A18">
        <w:rPr>
          <w:rFonts w:ascii="Times New Roman" w:hAnsi="Times New Roman" w:cs="Times New Roman"/>
          <w:snapToGrid w:val="0"/>
          <w:sz w:val="24"/>
          <w:szCs w:val="24"/>
        </w:rPr>
        <w:t>Progress Mining Syndicate to deal with anymo</w:t>
      </w:r>
      <w:r>
        <w:rPr>
          <w:rFonts w:ascii="Times New Roman" w:hAnsi="Times New Roman" w:cs="Times New Roman"/>
          <w:snapToGrid w:val="0"/>
          <w:sz w:val="24"/>
          <w:szCs w:val="24"/>
        </w:rPr>
        <w:t xml:space="preserve">re, but </w:t>
      </w:r>
      <w:r w:rsidR="00E72A18">
        <w:rPr>
          <w:rFonts w:ascii="Times New Roman" w:hAnsi="Times New Roman" w:cs="Times New Roman"/>
          <w:snapToGrid w:val="0"/>
          <w:sz w:val="24"/>
          <w:szCs w:val="24"/>
        </w:rPr>
        <w:t xml:space="preserve">Akenaka Mineral Solutions (Pvt) Ltd. The person to deal with was Mr Gumbi. </w:t>
      </w:r>
      <w:r>
        <w:rPr>
          <w:rFonts w:ascii="Times New Roman" w:hAnsi="Times New Roman" w:cs="Times New Roman"/>
          <w:snapToGrid w:val="0"/>
          <w:sz w:val="24"/>
          <w:szCs w:val="24"/>
        </w:rPr>
        <w:t>Applicant cannot pretend</w:t>
      </w:r>
      <w:r w:rsidR="00E72A18">
        <w:rPr>
          <w:rFonts w:ascii="Times New Roman" w:hAnsi="Times New Roman" w:cs="Times New Roman"/>
          <w:snapToGrid w:val="0"/>
          <w:sz w:val="24"/>
          <w:szCs w:val="24"/>
        </w:rPr>
        <w:t xml:space="preserve"> to have been </w:t>
      </w:r>
      <w:r>
        <w:rPr>
          <w:rFonts w:ascii="Times New Roman" w:hAnsi="Times New Roman" w:cs="Times New Roman"/>
          <w:snapToGrid w:val="0"/>
          <w:sz w:val="24"/>
          <w:szCs w:val="24"/>
        </w:rPr>
        <w:t>un</w:t>
      </w:r>
      <w:r w:rsidR="00E72A18">
        <w:rPr>
          <w:rFonts w:ascii="Times New Roman" w:hAnsi="Times New Roman" w:cs="Times New Roman"/>
          <w:snapToGrid w:val="0"/>
          <w:sz w:val="24"/>
          <w:szCs w:val="24"/>
        </w:rPr>
        <w:t xml:space="preserve">aware of this development, the letter of the 26 June 2018 </w:t>
      </w:r>
      <w:r>
        <w:rPr>
          <w:rFonts w:ascii="Times New Roman" w:hAnsi="Times New Roman" w:cs="Times New Roman"/>
          <w:snapToGrid w:val="0"/>
          <w:sz w:val="24"/>
          <w:szCs w:val="24"/>
        </w:rPr>
        <w:t xml:space="preserve">is </w:t>
      </w:r>
      <w:r w:rsidR="00E72A18">
        <w:rPr>
          <w:rFonts w:ascii="Times New Roman" w:hAnsi="Times New Roman" w:cs="Times New Roman"/>
          <w:snapToGrid w:val="0"/>
          <w:sz w:val="24"/>
          <w:szCs w:val="24"/>
        </w:rPr>
        <w:t>on this point.</w:t>
      </w:r>
    </w:p>
    <w:p w:rsidR="005E0242" w:rsidRPr="00F13D6E" w:rsidRDefault="00DE6E69" w:rsidP="00F13D6E">
      <w:pPr>
        <w:spacing w:after="0" w:line="360" w:lineRule="auto"/>
        <w:ind w:firstLine="720"/>
        <w:jc w:val="both"/>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 xml:space="preserve">On </w:t>
      </w:r>
      <w:r w:rsidR="00F13D6E">
        <w:rPr>
          <w:rFonts w:ascii="Times New Roman" w:hAnsi="Times New Roman" w:cs="Times New Roman"/>
          <w:snapToGrid w:val="0"/>
          <w:sz w:val="24"/>
          <w:szCs w:val="24"/>
        </w:rPr>
        <w:t>the facts of this case there could neither</w:t>
      </w:r>
      <w:r>
        <w:rPr>
          <w:rFonts w:ascii="Times New Roman" w:hAnsi="Times New Roman" w:cs="Times New Roman"/>
          <w:snapToGrid w:val="0"/>
          <w:sz w:val="24"/>
          <w:szCs w:val="24"/>
        </w:rPr>
        <w:t xml:space="preserve"> have been a tribute agreement</w:t>
      </w:r>
      <w:r w:rsidR="00F13D6E">
        <w:rPr>
          <w:rFonts w:ascii="Times New Roman" w:hAnsi="Times New Roman" w:cs="Times New Roman"/>
          <w:snapToGrid w:val="0"/>
          <w:sz w:val="24"/>
          <w:szCs w:val="24"/>
        </w:rPr>
        <w:t xml:space="preserve"> nor</w:t>
      </w:r>
      <w:r>
        <w:rPr>
          <w:rFonts w:ascii="Times New Roman" w:hAnsi="Times New Roman" w:cs="Times New Roman"/>
          <w:snapToGrid w:val="0"/>
          <w:sz w:val="24"/>
          <w:szCs w:val="24"/>
        </w:rPr>
        <w:t xml:space="preserve"> its renewal between applicant and Progress Mining Syndicate. </w:t>
      </w:r>
      <w:r w:rsidR="00855B3C">
        <w:rPr>
          <w:rFonts w:ascii="Times New Roman" w:hAnsi="Times New Roman" w:cs="Times New Roman"/>
          <w:sz w:val="24"/>
          <w:szCs w:val="24"/>
        </w:rPr>
        <w:t>To accede</w:t>
      </w:r>
      <w:r w:rsidR="005E0242">
        <w:rPr>
          <w:rFonts w:ascii="Times New Roman" w:hAnsi="Times New Roman" w:cs="Times New Roman"/>
          <w:sz w:val="24"/>
          <w:szCs w:val="24"/>
        </w:rPr>
        <w:t xml:space="preserve"> to its </w:t>
      </w:r>
      <w:r w:rsidR="005E0242" w:rsidRPr="005E0242">
        <w:rPr>
          <w:rFonts w:ascii="Times New Roman" w:hAnsi="Times New Roman" w:cs="Times New Roman"/>
          <w:sz w:val="24"/>
          <w:szCs w:val="24"/>
        </w:rPr>
        <w:t>application would be to undermine completely the principle that there should be finality to liti</w:t>
      </w:r>
      <w:r w:rsidR="005E0242">
        <w:rPr>
          <w:rFonts w:ascii="Times New Roman" w:hAnsi="Times New Roman" w:cs="Times New Roman"/>
          <w:sz w:val="24"/>
          <w:szCs w:val="24"/>
        </w:rPr>
        <w:t>gation. T</w:t>
      </w:r>
      <w:r w:rsidR="005E0242" w:rsidRPr="005E0242">
        <w:rPr>
          <w:rFonts w:ascii="Times New Roman" w:hAnsi="Times New Roman" w:cs="Times New Roman"/>
          <w:sz w:val="24"/>
          <w:szCs w:val="24"/>
        </w:rPr>
        <w:t>he reasons put forward by</w:t>
      </w:r>
      <w:r w:rsidR="005E0242">
        <w:rPr>
          <w:rFonts w:ascii="Times New Roman" w:hAnsi="Times New Roman" w:cs="Times New Roman"/>
          <w:sz w:val="24"/>
          <w:szCs w:val="24"/>
        </w:rPr>
        <w:t xml:space="preserve"> the applicant for rescission </w:t>
      </w:r>
      <w:r w:rsidR="005E0242" w:rsidRPr="005E0242">
        <w:rPr>
          <w:rFonts w:ascii="Times New Roman" w:hAnsi="Times New Roman" w:cs="Times New Roman"/>
          <w:sz w:val="24"/>
          <w:szCs w:val="24"/>
        </w:rPr>
        <w:t>are wholly unsatisfactory and insufficient.</w:t>
      </w:r>
      <w:r w:rsidR="00855B3C">
        <w:rPr>
          <w:rFonts w:ascii="Times New Roman" w:hAnsi="Times New Roman" w:cs="Times New Roman"/>
          <w:sz w:val="24"/>
          <w:szCs w:val="24"/>
        </w:rPr>
        <w:t xml:space="preserve"> Applicant has not shown good and sufficient cause to disturb the consent order granted by this court.</w:t>
      </w:r>
    </w:p>
    <w:p w:rsidR="00E43287" w:rsidRDefault="00E43287" w:rsidP="005E024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comment briefly on the order sought by the applicant that the</w:t>
      </w:r>
      <w:r w:rsidRPr="00EA1D91">
        <w:rPr>
          <w:rFonts w:ascii="Times New Roman" w:hAnsi="Times New Roman" w:cs="Times New Roman"/>
          <w:sz w:val="24"/>
          <w:szCs w:val="24"/>
        </w:rPr>
        <w:t xml:space="preserve"> interim relief prayed for by respondents in case num</w:t>
      </w:r>
      <w:r>
        <w:rPr>
          <w:rFonts w:ascii="Times New Roman" w:hAnsi="Times New Roman" w:cs="Times New Roman"/>
          <w:sz w:val="24"/>
          <w:szCs w:val="24"/>
        </w:rPr>
        <w:t>ber HC 320/2020 be</w:t>
      </w:r>
      <w:r w:rsidRPr="00EA1D91">
        <w:rPr>
          <w:rFonts w:ascii="Times New Roman" w:hAnsi="Times New Roman" w:cs="Times New Roman"/>
          <w:sz w:val="24"/>
          <w:szCs w:val="24"/>
        </w:rPr>
        <w:t xml:space="preserve"> granted </w:t>
      </w:r>
      <w:r w:rsidRPr="00EA1D91">
        <w:rPr>
          <w:rFonts w:ascii="Times New Roman" w:hAnsi="Times New Roman" w:cs="Times New Roman"/>
          <w:i/>
          <w:sz w:val="24"/>
          <w:szCs w:val="24"/>
        </w:rPr>
        <w:t>in lieu</w:t>
      </w:r>
      <w:r w:rsidRPr="00EA1D91">
        <w:rPr>
          <w:rFonts w:ascii="Times New Roman" w:hAnsi="Times New Roman" w:cs="Times New Roman"/>
          <w:sz w:val="24"/>
          <w:szCs w:val="24"/>
        </w:rPr>
        <w:t xml:space="preserve"> of th</w:t>
      </w:r>
      <w:r>
        <w:rPr>
          <w:rFonts w:ascii="Times New Roman" w:hAnsi="Times New Roman" w:cs="Times New Roman"/>
          <w:sz w:val="24"/>
          <w:szCs w:val="24"/>
        </w:rPr>
        <w:t xml:space="preserve">e consent order. What </w:t>
      </w:r>
      <w:r w:rsidR="00E112C1">
        <w:rPr>
          <w:rFonts w:ascii="Times New Roman" w:hAnsi="Times New Roman" w:cs="Times New Roman"/>
          <w:sz w:val="24"/>
          <w:szCs w:val="24"/>
        </w:rPr>
        <w:t xml:space="preserve">is </w:t>
      </w:r>
      <w:r>
        <w:rPr>
          <w:rFonts w:ascii="Times New Roman" w:hAnsi="Times New Roman" w:cs="Times New Roman"/>
          <w:sz w:val="24"/>
          <w:szCs w:val="24"/>
        </w:rPr>
        <w:t xml:space="preserve">before this court is an application to set aside the consent order granted by this court. This court cannot start to substitute the consent order it granted with another order. I take the view that it is only an appeal court that can do what applicant is seeking. This court is not sitting as an appeal court. It would be irregular to accede to this request sought by the applicant. </w:t>
      </w:r>
    </w:p>
    <w:p w:rsidR="00DE6E69" w:rsidRPr="008115CC" w:rsidRDefault="00DE6E69" w:rsidP="00F13D6E">
      <w:pPr>
        <w:spacing w:after="0" w:line="360" w:lineRule="auto"/>
        <w:ind w:firstLine="720"/>
        <w:jc w:val="both"/>
        <w:rPr>
          <w:rFonts w:ascii="Times New Roman" w:hAnsi="Times New Roman" w:cs="Times New Roman"/>
          <w:snapToGrid w:val="0"/>
          <w:sz w:val="24"/>
          <w:szCs w:val="24"/>
        </w:rPr>
      </w:pPr>
      <w:r>
        <w:rPr>
          <w:rFonts w:ascii="Times New Roman" w:hAnsi="Times New Roman" w:cs="Times New Roman"/>
          <w:snapToGrid w:val="0"/>
          <w:sz w:val="24"/>
          <w:szCs w:val="24"/>
        </w:rPr>
        <w:t>As a resul</w:t>
      </w:r>
      <w:r w:rsidR="00F13D6E">
        <w:rPr>
          <w:rFonts w:ascii="Times New Roman" w:hAnsi="Times New Roman" w:cs="Times New Roman"/>
          <w:snapToGrid w:val="0"/>
          <w:sz w:val="24"/>
          <w:szCs w:val="24"/>
        </w:rPr>
        <w:t>t of the above</w:t>
      </w:r>
      <w:r w:rsidR="002E250C">
        <w:rPr>
          <w:rFonts w:ascii="Times New Roman" w:hAnsi="Times New Roman" w:cs="Times New Roman"/>
          <w:snapToGrid w:val="0"/>
          <w:sz w:val="24"/>
          <w:szCs w:val="24"/>
        </w:rPr>
        <w:t>,</w:t>
      </w:r>
      <w:r w:rsidR="00A30352">
        <w:rPr>
          <w:rFonts w:ascii="Times New Roman" w:hAnsi="Times New Roman" w:cs="Times New Roman"/>
          <w:snapToGrid w:val="0"/>
          <w:sz w:val="24"/>
          <w:szCs w:val="24"/>
        </w:rPr>
        <w:t xml:space="preserve"> </w:t>
      </w:r>
      <w:r w:rsidR="002E250C">
        <w:rPr>
          <w:rFonts w:ascii="Times New Roman" w:hAnsi="Times New Roman" w:cs="Times New Roman"/>
          <w:snapToGrid w:val="0"/>
          <w:sz w:val="24"/>
          <w:szCs w:val="24"/>
        </w:rPr>
        <w:t>the</w:t>
      </w:r>
      <w:r>
        <w:rPr>
          <w:rFonts w:ascii="Times New Roman" w:hAnsi="Times New Roman" w:cs="Times New Roman"/>
          <w:snapToGrid w:val="0"/>
          <w:sz w:val="24"/>
          <w:szCs w:val="24"/>
        </w:rPr>
        <w:t xml:space="preserve"> applicant has no </w:t>
      </w:r>
      <w:r w:rsidRPr="008115CC">
        <w:rPr>
          <w:rFonts w:ascii="Times New Roman" w:hAnsi="Times New Roman" w:cs="Times New Roman"/>
          <w:i/>
          <w:snapToGrid w:val="0"/>
          <w:sz w:val="24"/>
          <w:szCs w:val="24"/>
        </w:rPr>
        <w:t xml:space="preserve">bona fide </w:t>
      </w:r>
      <w:r>
        <w:rPr>
          <w:rFonts w:ascii="Times New Roman" w:hAnsi="Times New Roman" w:cs="Times New Roman"/>
          <w:snapToGrid w:val="0"/>
          <w:sz w:val="24"/>
          <w:szCs w:val="24"/>
        </w:rPr>
        <w:t xml:space="preserve">prospects of success on the merits. </w:t>
      </w:r>
      <w:r w:rsidR="00F13D6E">
        <w:rPr>
          <w:rFonts w:ascii="Times New Roman" w:hAnsi="Times New Roman" w:cs="Times New Roman"/>
          <w:sz w:val="24"/>
          <w:szCs w:val="24"/>
        </w:rPr>
        <w:t>It has not shown good and sufficient cause to set aside the consent order granted by this court in case number HC 320/20.</w:t>
      </w:r>
    </w:p>
    <w:p w:rsidR="00C61186" w:rsidRDefault="005E0242" w:rsidP="005401BE">
      <w:pPr>
        <w:autoSpaceDE w:val="0"/>
        <w:autoSpaceDN w:val="0"/>
        <w:adjustRightInd w:val="0"/>
        <w:spacing w:after="0" w:line="360" w:lineRule="auto"/>
        <w:ind w:firstLine="720"/>
        <w:jc w:val="both"/>
        <w:rPr>
          <w:rFonts w:ascii="Times New Roman" w:hAnsi="Times New Roman" w:cs="Times New Roman"/>
          <w:sz w:val="24"/>
          <w:szCs w:val="24"/>
        </w:rPr>
      </w:pPr>
      <w:r w:rsidRPr="005E0242">
        <w:rPr>
          <w:rFonts w:ascii="Times New Roman" w:hAnsi="Times New Roman" w:cs="Times New Roman"/>
          <w:sz w:val="24"/>
          <w:szCs w:val="24"/>
        </w:rPr>
        <w:t>The respondent</w:t>
      </w:r>
      <w:r w:rsidR="00F13D6E">
        <w:rPr>
          <w:rFonts w:ascii="Times New Roman" w:hAnsi="Times New Roman" w:cs="Times New Roman"/>
          <w:sz w:val="24"/>
          <w:szCs w:val="24"/>
        </w:rPr>
        <w:t>s</w:t>
      </w:r>
      <w:r w:rsidR="00A30352">
        <w:rPr>
          <w:rFonts w:ascii="Times New Roman" w:hAnsi="Times New Roman" w:cs="Times New Roman"/>
          <w:sz w:val="24"/>
          <w:szCs w:val="24"/>
        </w:rPr>
        <w:t xml:space="preserve"> </w:t>
      </w:r>
      <w:r w:rsidR="00F4454F">
        <w:rPr>
          <w:rFonts w:ascii="Times New Roman" w:hAnsi="Times New Roman" w:cs="Times New Roman"/>
          <w:sz w:val="24"/>
          <w:szCs w:val="24"/>
        </w:rPr>
        <w:t>have</w:t>
      </w:r>
      <w:r w:rsidRPr="005E0242">
        <w:rPr>
          <w:rFonts w:ascii="Times New Roman" w:hAnsi="Times New Roman" w:cs="Times New Roman"/>
          <w:sz w:val="24"/>
          <w:szCs w:val="24"/>
        </w:rPr>
        <w:t xml:space="preserve"> claimed that the application should be dismissed with costs on a legal practiti</w:t>
      </w:r>
      <w:r w:rsidR="00F13D6E">
        <w:rPr>
          <w:rFonts w:ascii="Times New Roman" w:hAnsi="Times New Roman" w:cs="Times New Roman"/>
          <w:sz w:val="24"/>
          <w:szCs w:val="24"/>
        </w:rPr>
        <w:t xml:space="preserve">oner-and-client scale. It has been argued that this application </w:t>
      </w:r>
      <w:r w:rsidR="005401BE">
        <w:rPr>
          <w:rFonts w:ascii="Times New Roman" w:hAnsi="Times New Roman" w:cs="Times New Roman"/>
          <w:sz w:val="24"/>
          <w:szCs w:val="24"/>
        </w:rPr>
        <w:t>frivolous and vexatious</w:t>
      </w:r>
      <w:r w:rsidRPr="005E0242">
        <w:rPr>
          <w:rFonts w:ascii="Times New Roman" w:hAnsi="Times New Roman" w:cs="Times New Roman"/>
          <w:sz w:val="24"/>
          <w:szCs w:val="24"/>
        </w:rPr>
        <w:t xml:space="preserve">. </w:t>
      </w:r>
      <w:r w:rsidR="00855B3C">
        <w:rPr>
          <w:rFonts w:ascii="Times New Roman" w:hAnsi="Times New Roman" w:cs="Times New Roman"/>
          <w:sz w:val="24"/>
          <w:szCs w:val="24"/>
        </w:rPr>
        <w:t xml:space="preserve"> The applicat</w:t>
      </w:r>
      <w:r w:rsidR="002E250C">
        <w:rPr>
          <w:rFonts w:ascii="Times New Roman" w:hAnsi="Times New Roman" w:cs="Times New Roman"/>
          <w:sz w:val="24"/>
          <w:szCs w:val="24"/>
        </w:rPr>
        <w:t>ion lacks merit, but is not frivolous and vexatious</w:t>
      </w:r>
      <w:r w:rsidR="00855B3C">
        <w:rPr>
          <w:rFonts w:ascii="Times New Roman" w:hAnsi="Times New Roman" w:cs="Times New Roman"/>
          <w:sz w:val="24"/>
          <w:szCs w:val="24"/>
        </w:rPr>
        <w:t xml:space="preserve"> to attract the rebuke of this court by way of costs on a legal practitioner and client scale. </w:t>
      </w:r>
      <w:bookmarkStart w:id="0" w:name="_GoBack"/>
      <w:bookmarkEnd w:id="0"/>
    </w:p>
    <w:p w:rsidR="0083523C" w:rsidRDefault="0083523C" w:rsidP="00855B3C">
      <w:pPr>
        <w:autoSpaceDE w:val="0"/>
        <w:autoSpaceDN w:val="0"/>
        <w:adjustRightInd w:val="0"/>
        <w:spacing w:after="0" w:line="360" w:lineRule="auto"/>
        <w:jc w:val="both"/>
        <w:rPr>
          <w:rFonts w:ascii="Times New Roman" w:hAnsi="Times New Roman" w:cs="Times New Roman"/>
          <w:sz w:val="24"/>
          <w:szCs w:val="24"/>
        </w:rPr>
      </w:pPr>
    </w:p>
    <w:p w:rsidR="0083523C" w:rsidRPr="0083523C" w:rsidRDefault="0083523C" w:rsidP="0083523C">
      <w:pPr>
        <w:autoSpaceDE w:val="0"/>
        <w:autoSpaceDN w:val="0"/>
        <w:adjustRightInd w:val="0"/>
        <w:spacing w:after="0" w:line="360" w:lineRule="auto"/>
        <w:jc w:val="both"/>
        <w:rPr>
          <w:rFonts w:ascii="Times New Roman" w:hAnsi="Times New Roman" w:cs="Times New Roman"/>
          <w:b/>
          <w:sz w:val="24"/>
          <w:szCs w:val="24"/>
        </w:rPr>
      </w:pPr>
      <w:r w:rsidRPr="0083523C">
        <w:rPr>
          <w:rFonts w:ascii="Times New Roman" w:hAnsi="Times New Roman" w:cs="Times New Roman"/>
          <w:b/>
          <w:sz w:val="24"/>
          <w:szCs w:val="24"/>
        </w:rPr>
        <w:t xml:space="preserve">Disposition </w:t>
      </w:r>
    </w:p>
    <w:p w:rsidR="00CE7B40" w:rsidRDefault="0083523C" w:rsidP="005401B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take the view that applicant has failed to establish </w:t>
      </w:r>
      <w:r w:rsidR="005401BE">
        <w:rPr>
          <w:rFonts w:ascii="Times New Roman" w:hAnsi="Times New Roman" w:cs="Times New Roman"/>
          <w:sz w:val="24"/>
          <w:szCs w:val="24"/>
        </w:rPr>
        <w:t xml:space="preserve">a </w:t>
      </w:r>
      <w:r>
        <w:rPr>
          <w:rFonts w:ascii="Times New Roman" w:hAnsi="Times New Roman" w:cs="Times New Roman"/>
          <w:sz w:val="24"/>
          <w:szCs w:val="24"/>
        </w:rPr>
        <w:t>g</w:t>
      </w:r>
      <w:r w:rsidRPr="00975E77">
        <w:rPr>
          <w:rFonts w:ascii="Times New Roman" w:hAnsi="Times New Roman" w:cs="Times New Roman"/>
          <w:sz w:val="24"/>
          <w:szCs w:val="24"/>
        </w:rPr>
        <w:t>ood and sufficient cause</w:t>
      </w:r>
      <w:r>
        <w:rPr>
          <w:rFonts w:ascii="Times New Roman" w:hAnsi="Times New Roman" w:cs="Times New Roman"/>
          <w:sz w:val="24"/>
          <w:szCs w:val="24"/>
        </w:rPr>
        <w:t xml:space="preserve"> to set aside the consent order granted by this court</w:t>
      </w:r>
      <w:r w:rsidR="005401BE">
        <w:rPr>
          <w:rFonts w:ascii="Times New Roman" w:hAnsi="Times New Roman" w:cs="Times New Roman"/>
          <w:sz w:val="24"/>
          <w:szCs w:val="24"/>
        </w:rPr>
        <w:t xml:space="preserve"> in case number HC 320/20.  </w:t>
      </w:r>
      <w:r>
        <w:rPr>
          <w:rFonts w:ascii="Times New Roman" w:hAnsi="Times New Roman" w:cs="Times New Roman"/>
          <w:sz w:val="24"/>
          <w:szCs w:val="24"/>
        </w:rPr>
        <w:t xml:space="preserve">In the result, I order as follows: </w:t>
      </w:r>
      <w:r w:rsidR="005401BE">
        <w:rPr>
          <w:rFonts w:ascii="Times New Roman" w:hAnsi="Times New Roman" w:cs="Times New Roman"/>
          <w:sz w:val="24"/>
          <w:szCs w:val="24"/>
        </w:rPr>
        <w:t>t</w:t>
      </w:r>
      <w:r w:rsidR="005E0242" w:rsidRPr="005E0242">
        <w:rPr>
          <w:rFonts w:ascii="Times New Roman" w:hAnsi="Times New Roman" w:cs="Times New Roman"/>
          <w:sz w:val="24"/>
          <w:szCs w:val="24"/>
        </w:rPr>
        <w:t>he application is dismi</w:t>
      </w:r>
      <w:r w:rsidR="00855B3C">
        <w:rPr>
          <w:rFonts w:ascii="Times New Roman" w:hAnsi="Times New Roman" w:cs="Times New Roman"/>
          <w:sz w:val="24"/>
          <w:szCs w:val="24"/>
        </w:rPr>
        <w:t xml:space="preserve">ssed with costs on a party and party scale. </w:t>
      </w:r>
    </w:p>
    <w:p w:rsidR="0013475C" w:rsidRDefault="0013475C" w:rsidP="0083523C">
      <w:pPr>
        <w:autoSpaceDE w:val="0"/>
        <w:autoSpaceDN w:val="0"/>
        <w:adjustRightInd w:val="0"/>
        <w:spacing w:after="0" w:line="360" w:lineRule="auto"/>
        <w:ind w:firstLine="720"/>
        <w:jc w:val="both"/>
        <w:rPr>
          <w:rFonts w:ascii="Times New Roman" w:hAnsi="Times New Roman" w:cs="Times New Roman"/>
          <w:sz w:val="24"/>
          <w:szCs w:val="24"/>
        </w:rPr>
      </w:pPr>
    </w:p>
    <w:p w:rsidR="0013475C" w:rsidRDefault="0013475C" w:rsidP="0083523C">
      <w:pPr>
        <w:autoSpaceDE w:val="0"/>
        <w:autoSpaceDN w:val="0"/>
        <w:adjustRightInd w:val="0"/>
        <w:spacing w:after="0" w:line="360" w:lineRule="auto"/>
        <w:ind w:firstLine="720"/>
        <w:jc w:val="both"/>
        <w:rPr>
          <w:rFonts w:ascii="Times New Roman" w:hAnsi="Times New Roman" w:cs="Times New Roman"/>
          <w:sz w:val="24"/>
          <w:szCs w:val="24"/>
        </w:rPr>
      </w:pPr>
    </w:p>
    <w:p w:rsidR="0013475C" w:rsidRDefault="0013475C" w:rsidP="0083523C">
      <w:pPr>
        <w:autoSpaceDE w:val="0"/>
        <w:autoSpaceDN w:val="0"/>
        <w:adjustRightInd w:val="0"/>
        <w:spacing w:after="0" w:line="360" w:lineRule="auto"/>
        <w:ind w:firstLine="720"/>
        <w:jc w:val="both"/>
        <w:rPr>
          <w:rFonts w:ascii="Times New Roman" w:hAnsi="Times New Roman" w:cs="Times New Roman"/>
          <w:sz w:val="24"/>
          <w:szCs w:val="24"/>
        </w:rPr>
      </w:pPr>
    </w:p>
    <w:p w:rsidR="00855B3C" w:rsidRDefault="00855B3C" w:rsidP="0013475C">
      <w:pPr>
        <w:pStyle w:val="NoSpacing"/>
        <w:rPr>
          <w:rFonts w:ascii="Times New Roman" w:hAnsi="Times New Roman" w:cs="Times New Roman"/>
          <w:i/>
          <w:sz w:val="24"/>
          <w:szCs w:val="24"/>
        </w:rPr>
      </w:pPr>
    </w:p>
    <w:p w:rsidR="0013475C" w:rsidRPr="0012740F" w:rsidRDefault="0013475C" w:rsidP="0013475C">
      <w:pPr>
        <w:pStyle w:val="NoSpacing"/>
        <w:rPr>
          <w:rFonts w:ascii="Times New Roman" w:hAnsi="Times New Roman" w:cs="Times New Roman"/>
          <w:sz w:val="24"/>
          <w:szCs w:val="24"/>
        </w:rPr>
      </w:pPr>
      <w:r>
        <w:rPr>
          <w:rFonts w:ascii="Times New Roman" w:hAnsi="Times New Roman" w:cs="Times New Roman"/>
          <w:i/>
          <w:sz w:val="24"/>
          <w:szCs w:val="24"/>
        </w:rPr>
        <w:t xml:space="preserve">Sengweni Legal Practice, </w:t>
      </w:r>
      <w:r>
        <w:rPr>
          <w:rFonts w:ascii="Times New Roman" w:hAnsi="Times New Roman" w:cs="Times New Roman"/>
          <w:sz w:val="24"/>
          <w:szCs w:val="24"/>
        </w:rPr>
        <w:t xml:space="preserve">applicant’s </w:t>
      </w:r>
      <w:r w:rsidRPr="0012740F">
        <w:rPr>
          <w:rFonts w:ascii="Times New Roman" w:hAnsi="Times New Roman" w:cs="Times New Roman"/>
          <w:sz w:val="24"/>
          <w:szCs w:val="24"/>
        </w:rPr>
        <w:t>legal practitioners</w:t>
      </w:r>
    </w:p>
    <w:p w:rsidR="0013475C" w:rsidRPr="0012740F" w:rsidRDefault="0013475C" w:rsidP="0013475C">
      <w:pPr>
        <w:pStyle w:val="NoSpacing"/>
        <w:rPr>
          <w:rFonts w:ascii="Times New Roman" w:hAnsi="Times New Roman" w:cs="Times New Roman"/>
          <w:sz w:val="24"/>
          <w:szCs w:val="24"/>
        </w:rPr>
      </w:pPr>
      <w:r>
        <w:rPr>
          <w:rFonts w:ascii="Times New Roman" w:hAnsi="Times New Roman" w:cs="Times New Roman"/>
          <w:i/>
          <w:sz w:val="24"/>
          <w:szCs w:val="24"/>
        </w:rPr>
        <w:t xml:space="preserve">Coghlan and Welsh, </w:t>
      </w:r>
      <w:r w:rsidRPr="0013475C">
        <w:rPr>
          <w:rFonts w:ascii="Times New Roman" w:hAnsi="Times New Roman" w:cs="Times New Roman"/>
          <w:sz w:val="24"/>
          <w:szCs w:val="24"/>
        </w:rPr>
        <w:t>respondents’</w:t>
      </w:r>
      <w:r>
        <w:rPr>
          <w:rFonts w:ascii="Times New Roman" w:hAnsi="Times New Roman" w:cs="Times New Roman"/>
          <w:sz w:val="24"/>
          <w:szCs w:val="24"/>
        </w:rPr>
        <w:t xml:space="preserve"> legal practitioners</w:t>
      </w:r>
    </w:p>
    <w:p w:rsidR="0013475C" w:rsidRPr="0012740F" w:rsidRDefault="0013475C" w:rsidP="0013475C">
      <w:pPr>
        <w:rPr>
          <w:rFonts w:ascii="Times New Roman" w:hAnsi="Times New Roman" w:cs="Times New Roman"/>
          <w:sz w:val="24"/>
          <w:szCs w:val="24"/>
        </w:rPr>
      </w:pPr>
    </w:p>
    <w:p w:rsidR="0013475C" w:rsidRPr="005E0242" w:rsidRDefault="0013475C" w:rsidP="0083523C">
      <w:pPr>
        <w:autoSpaceDE w:val="0"/>
        <w:autoSpaceDN w:val="0"/>
        <w:adjustRightInd w:val="0"/>
        <w:spacing w:after="0" w:line="360" w:lineRule="auto"/>
        <w:ind w:firstLine="720"/>
        <w:jc w:val="both"/>
        <w:rPr>
          <w:rFonts w:ascii="Times New Roman" w:hAnsi="Times New Roman" w:cs="Times New Roman"/>
          <w:sz w:val="24"/>
          <w:szCs w:val="24"/>
        </w:rPr>
      </w:pPr>
    </w:p>
    <w:sectPr w:rsidR="0013475C" w:rsidRPr="005E0242" w:rsidSect="00414D7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9E9" w:rsidRDefault="003A69E9" w:rsidP="00EE257D">
      <w:pPr>
        <w:spacing w:after="0" w:line="240" w:lineRule="auto"/>
      </w:pPr>
      <w:r>
        <w:separator/>
      </w:r>
    </w:p>
  </w:endnote>
  <w:endnote w:type="continuationSeparator" w:id="1">
    <w:p w:rsidR="003A69E9" w:rsidRDefault="003A69E9" w:rsidP="00EE2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rapho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7D" w:rsidRDefault="00EE257D">
    <w:pPr>
      <w:pStyle w:val="Footer"/>
      <w:jc w:val="right"/>
    </w:pPr>
  </w:p>
  <w:p w:rsidR="00EE257D" w:rsidRDefault="00EE25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9E9" w:rsidRDefault="003A69E9" w:rsidP="00EE257D">
      <w:pPr>
        <w:spacing w:after="0" w:line="240" w:lineRule="auto"/>
      </w:pPr>
      <w:r>
        <w:separator/>
      </w:r>
    </w:p>
  </w:footnote>
  <w:footnote w:type="continuationSeparator" w:id="1">
    <w:p w:rsidR="003A69E9" w:rsidRDefault="003A69E9" w:rsidP="00EE25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6473"/>
      <w:docPartObj>
        <w:docPartGallery w:val="Page Numbers (Top of Page)"/>
        <w:docPartUnique/>
      </w:docPartObj>
    </w:sdtPr>
    <w:sdtContent>
      <w:p w:rsidR="00EE257D" w:rsidRDefault="00E648EC">
        <w:pPr>
          <w:pStyle w:val="Header"/>
          <w:jc w:val="right"/>
        </w:pPr>
        <w:fldSimple w:instr=" PAGE   \* MERGEFORMAT ">
          <w:r w:rsidR="00F4454F">
            <w:rPr>
              <w:noProof/>
            </w:rPr>
            <w:t>13</w:t>
          </w:r>
        </w:fldSimple>
      </w:p>
      <w:p w:rsidR="00EE257D" w:rsidRDefault="00EE257D">
        <w:pPr>
          <w:pStyle w:val="Header"/>
          <w:jc w:val="right"/>
        </w:pPr>
        <w:r>
          <w:t>HB 164.20</w:t>
        </w:r>
      </w:p>
      <w:p w:rsidR="00EE257D" w:rsidRDefault="00EE257D">
        <w:pPr>
          <w:pStyle w:val="Header"/>
          <w:jc w:val="right"/>
        </w:pPr>
        <w:r>
          <w:t>HC 463/20</w:t>
        </w:r>
      </w:p>
      <w:p w:rsidR="00EE257D" w:rsidRDefault="00EE257D">
        <w:pPr>
          <w:pStyle w:val="Header"/>
          <w:jc w:val="right"/>
        </w:pPr>
        <w:r>
          <w:t>XREF HC 320/20</w:t>
        </w:r>
      </w:p>
    </w:sdtContent>
  </w:sdt>
  <w:p w:rsidR="00EE257D" w:rsidRDefault="00EE25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lowerLetter"/>
      <w:lvlText w:val="(%1)"/>
      <w:lvlJc w:val="left"/>
      <w:pPr>
        <w:ind w:left="720" w:hanging="720"/>
      </w:pPr>
      <w:rPr>
        <w:rFonts w:cs="Times New Roman"/>
      </w:rPr>
    </w:lvl>
  </w:abstractNum>
  <w:abstractNum w:abstractNumId="1">
    <w:nsid w:val="0D18004A"/>
    <w:multiLevelType w:val="hybridMultilevel"/>
    <w:tmpl w:val="CE506C74"/>
    <w:lvl w:ilvl="0" w:tplc="CB76E5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D1F1AF6"/>
    <w:multiLevelType w:val="hybridMultilevel"/>
    <w:tmpl w:val="7DF8213A"/>
    <w:lvl w:ilvl="0" w:tplc="6114D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F2D4185"/>
    <w:multiLevelType w:val="hybridMultilevel"/>
    <w:tmpl w:val="0F5EF8EC"/>
    <w:lvl w:ilvl="0" w:tplc="4992D1A4">
      <w:start w:val="1"/>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
    <w:nsid w:val="30B839C6"/>
    <w:multiLevelType w:val="hybridMultilevel"/>
    <w:tmpl w:val="C65442C4"/>
    <w:lvl w:ilvl="0" w:tplc="B84E24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6BB5FE7"/>
    <w:multiLevelType w:val="hybridMultilevel"/>
    <w:tmpl w:val="0094A9EA"/>
    <w:lvl w:ilvl="0" w:tplc="0F8CD3E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4DE93B10"/>
    <w:multiLevelType w:val="hybridMultilevel"/>
    <w:tmpl w:val="BEE6F070"/>
    <w:lvl w:ilvl="0" w:tplc="5922C9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58FB594A"/>
    <w:multiLevelType w:val="hybridMultilevel"/>
    <w:tmpl w:val="6290AE1E"/>
    <w:lvl w:ilvl="0" w:tplc="81D8B2E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5BD07355"/>
    <w:multiLevelType w:val="hybridMultilevel"/>
    <w:tmpl w:val="561492D0"/>
    <w:lvl w:ilvl="0" w:tplc="9D16D2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5C310547"/>
    <w:multiLevelType w:val="hybridMultilevel"/>
    <w:tmpl w:val="7E367C5E"/>
    <w:lvl w:ilvl="0" w:tplc="2DE06FC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038201B"/>
    <w:multiLevelType w:val="hybridMultilevel"/>
    <w:tmpl w:val="FEC469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63323F49"/>
    <w:multiLevelType w:val="hybridMultilevel"/>
    <w:tmpl w:val="F79470F2"/>
    <w:lvl w:ilvl="0" w:tplc="608C53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0"/>
  </w:num>
  <w:num w:numId="3">
    <w:abstractNumId w:val="8"/>
  </w:num>
  <w:num w:numId="4">
    <w:abstractNumId w:val="2"/>
  </w:num>
  <w:num w:numId="5">
    <w:abstractNumId w:val="5"/>
  </w:num>
  <w:num w:numId="6">
    <w:abstractNumId w:val="1"/>
  </w:num>
  <w:num w:numId="7">
    <w:abstractNumId w:val="9"/>
  </w:num>
  <w:num w:numId="8">
    <w:abstractNumId w:val="3"/>
  </w:num>
  <w:num w:numId="9">
    <w:abstractNumId w:val="10"/>
  </w:num>
  <w:num w:numId="10">
    <w:abstractNumId w:val="7"/>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46BDC"/>
    <w:rsid w:val="00000933"/>
    <w:rsid w:val="00004116"/>
    <w:rsid w:val="00021E26"/>
    <w:rsid w:val="0003327C"/>
    <w:rsid w:val="000913DC"/>
    <w:rsid w:val="000A1908"/>
    <w:rsid w:val="000B447F"/>
    <w:rsid w:val="000D2802"/>
    <w:rsid w:val="000D6162"/>
    <w:rsid w:val="000F5EC1"/>
    <w:rsid w:val="00103BD7"/>
    <w:rsid w:val="001163CC"/>
    <w:rsid w:val="001177BF"/>
    <w:rsid w:val="0013475C"/>
    <w:rsid w:val="00163C95"/>
    <w:rsid w:val="001A4A0A"/>
    <w:rsid w:val="001C2B19"/>
    <w:rsid w:val="001C374E"/>
    <w:rsid w:val="001D497C"/>
    <w:rsid w:val="001E491A"/>
    <w:rsid w:val="00204943"/>
    <w:rsid w:val="00237263"/>
    <w:rsid w:val="00257E59"/>
    <w:rsid w:val="002B2395"/>
    <w:rsid w:val="002E250C"/>
    <w:rsid w:val="003437AF"/>
    <w:rsid w:val="00367DF1"/>
    <w:rsid w:val="003A69E9"/>
    <w:rsid w:val="003C50D7"/>
    <w:rsid w:val="003D2D3C"/>
    <w:rsid w:val="003D515A"/>
    <w:rsid w:val="00414D7A"/>
    <w:rsid w:val="004156CD"/>
    <w:rsid w:val="00444740"/>
    <w:rsid w:val="004F3496"/>
    <w:rsid w:val="00515680"/>
    <w:rsid w:val="005401BE"/>
    <w:rsid w:val="00571F05"/>
    <w:rsid w:val="005E0242"/>
    <w:rsid w:val="005E6409"/>
    <w:rsid w:val="006034B2"/>
    <w:rsid w:val="00611FD9"/>
    <w:rsid w:val="00613D35"/>
    <w:rsid w:val="00637ABE"/>
    <w:rsid w:val="00652417"/>
    <w:rsid w:val="00665798"/>
    <w:rsid w:val="00676416"/>
    <w:rsid w:val="006B0231"/>
    <w:rsid w:val="006D6C03"/>
    <w:rsid w:val="007571D4"/>
    <w:rsid w:val="007703C1"/>
    <w:rsid w:val="007A7D51"/>
    <w:rsid w:val="008115CC"/>
    <w:rsid w:val="00822168"/>
    <w:rsid w:val="00832379"/>
    <w:rsid w:val="0083523C"/>
    <w:rsid w:val="00844306"/>
    <w:rsid w:val="00855B3C"/>
    <w:rsid w:val="008A55E1"/>
    <w:rsid w:val="008B76C2"/>
    <w:rsid w:val="008C2B5C"/>
    <w:rsid w:val="0090318C"/>
    <w:rsid w:val="00926F20"/>
    <w:rsid w:val="0097558B"/>
    <w:rsid w:val="00975E77"/>
    <w:rsid w:val="00997CBA"/>
    <w:rsid w:val="009A27E8"/>
    <w:rsid w:val="009A6A94"/>
    <w:rsid w:val="009E1F1C"/>
    <w:rsid w:val="009E52E7"/>
    <w:rsid w:val="00A0303F"/>
    <w:rsid w:val="00A30352"/>
    <w:rsid w:val="00A34885"/>
    <w:rsid w:val="00A5034E"/>
    <w:rsid w:val="00A65B60"/>
    <w:rsid w:val="00A704E4"/>
    <w:rsid w:val="00A91B09"/>
    <w:rsid w:val="00AD5151"/>
    <w:rsid w:val="00B21884"/>
    <w:rsid w:val="00B6383C"/>
    <w:rsid w:val="00B66F5C"/>
    <w:rsid w:val="00BC189E"/>
    <w:rsid w:val="00BD65AE"/>
    <w:rsid w:val="00BE1E13"/>
    <w:rsid w:val="00C12682"/>
    <w:rsid w:val="00C23DDD"/>
    <w:rsid w:val="00C24113"/>
    <w:rsid w:val="00C55AD2"/>
    <w:rsid w:val="00C61186"/>
    <w:rsid w:val="00C67492"/>
    <w:rsid w:val="00C93900"/>
    <w:rsid w:val="00CA01D3"/>
    <w:rsid w:val="00CA7865"/>
    <w:rsid w:val="00CB5149"/>
    <w:rsid w:val="00CE7B40"/>
    <w:rsid w:val="00D14C3C"/>
    <w:rsid w:val="00D210BC"/>
    <w:rsid w:val="00D32746"/>
    <w:rsid w:val="00D46BDC"/>
    <w:rsid w:val="00D5167C"/>
    <w:rsid w:val="00DA110F"/>
    <w:rsid w:val="00DC342D"/>
    <w:rsid w:val="00DC623B"/>
    <w:rsid w:val="00DC6372"/>
    <w:rsid w:val="00DC7748"/>
    <w:rsid w:val="00DE06BC"/>
    <w:rsid w:val="00DE6E69"/>
    <w:rsid w:val="00E00F23"/>
    <w:rsid w:val="00E112C1"/>
    <w:rsid w:val="00E3095F"/>
    <w:rsid w:val="00E43287"/>
    <w:rsid w:val="00E648EC"/>
    <w:rsid w:val="00E72A18"/>
    <w:rsid w:val="00EA1B26"/>
    <w:rsid w:val="00EA1D91"/>
    <w:rsid w:val="00EB091D"/>
    <w:rsid w:val="00EB1AC0"/>
    <w:rsid w:val="00EC7E6F"/>
    <w:rsid w:val="00ED5128"/>
    <w:rsid w:val="00ED52ED"/>
    <w:rsid w:val="00EE149C"/>
    <w:rsid w:val="00EE257D"/>
    <w:rsid w:val="00EE7742"/>
    <w:rsid w:val="00F13D6E"/>
    <w:rsid w:val="00F22C94"/>
    <w:rsid w:val="00F4454F"/>
    <w:rsid w:val="00F55C92"/>
    <w:rsid w:val="00F85BC9"/>
    <w:rsid w:val="00F86F94"/>
    <w:rsid w:val="00FA4E4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D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379"/>
    <w:pPr>
      <w:ind w:left="720"/>
      <w:contextualSpacing/>
    </w:pPr>
  </w:style>
  <w:style w:type="paragraph" w:styleId="Header">
    <w:name w:val="header"/>
    <w:basedOn w:val="Normal"/>
    <w:link w:val="HeaderChar"/>
    <w:uiPriority w:val="99"/>
    <w:rsid w:val="00EA1D91"/>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uiPriority w:val="99"/>
    <w:rsid w:val="00EA1D91"/>
    <w:rPr>
      <w:rFonts w:ascii="Times New Roman" w:eastAsia="Times New Roman" w:hAnsi="Times New Roman" w:cs="Times New Roman"/>
      <w:sz w:val="24"/>
      <w:szCs w:val="20"/>
      <w:lang w:val="en-US"/>
    </w:rPr>
  </w:style>
  <w:style w:type="paragraph" w:styleId="BodyText">
    <w:name w:val="Body Text"/>
    <w:basedOn w:val="Normal"/>
    <w:link w:val="BodyTextChar"/>
    <w:uiPriority w:val="99"/>
    <w:rsid w:val="0090318C"/>
    <w:pPr>
      <w:widowControl w:val="0"/>
      <w:autoSpaceDE w:val="0"/>
      <w:autoSpaceDN w:val="0"/>
      <w:adjustRightInd w:val="0"/>
      <w:spacing w:after="0" w:line="240" w:lineRule="auto"/>
    </w:pPr>
    <w:rPr>
      <w:rFonts w:ascii="Times New Roman" w:eastAsiaTheme="minorEastAsia" w:hAnsi="Times New Roman" w:cs="Times New Roman"/>
      <w:szCs w:val="20"/>
      <w:lang w:val="en-US"/>
    </w:rPr>
  </w:style>
  <w:style w:type="character" w:customStyle="1" w:styleId="BodyTextChar">
    <w:name w:val="Body Text Char"/>
    <w:basedOn w:val="DefaultParagraphFont"/>
    <w:link w:val="BodyText"/>
    <w:uiPriority w:val="99"/>
    <w:rsid w:val="0090318C"/>
    <w:rPr>
      <w:rFonts w:ascii="Times New Roman" w:eastAsiaTheme="minorEastAsia" w:hAnsi="Times New Roman" w:cs="Times New Roman"/>
      <w:szCs w:val="20"/>
      <w:lang w:val="en-US"/>
    </w:rPr>
  </w:style>
  <w:style w:type="paragraph" w:styleId="NoSpacing">
    <w:name w:val="No Spacing"/>
    <w:uiPriority w:val="1"/>
    <w:qFormat/>
    <w:rsid w:val="0013475C"/>
    <w:pPr>
      <w:spacing w:after="0" w:line="240" w:lineRule="auto"/>
    </w:pPr>
  </w:style>
  <w:style w:type="paragraph" w:styleId="BalloonText">
    <w:name w:val="Balloon Text"/>
    <w:basedOn w:val="Normal"/>
    <w:link w:val="BalloonTextChar"/>
    <w:uiPriority w:val="99"/>
    <w:semiHidden/>
    <w:unhideWhenUsed/>
    <w:rsid w:val="00EA1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B26"/>
    <w:rPr>
      <w:rFonts w:ascii="Segoe UI" w:hAnsi="Segoe UI" w:cs="Segoe UI"/>
      <w:sz w:val="18"/>
      <w:szCs w:val="18"/>
    </w:rPr>
  </w:style>
  <w:style w:type="paragraph" w:styleId="Footer">
    <w:name w:val="footer"/>
    <w:basedOn w:val="Normal"/>
    <w:link w:val="FooterChar"/>
    <w:uiPriority w:val="99"/>
    <w:unhideWhenUsed/>
    <w:rsid w:val="00EE2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57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4472</Words>
  <Characters>25495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MAKONESEJ</cp:lastModifiedBy>
  <cp:revision>5</cp:revision>
  <cp:lastPrinted>2020-08-01T11:10:00Z</cp:lastPrinted>
  <dcterms:created xsi:type="dcterms:W3CDTF">2020-08-05T05:44:00Z</dcterms:created>
  <dcterms:modified xsi:type="dcterms:W3CDTF">2020-08-06T07:18:00Z</dcterms:modified>
</cp:coreProperties>
</file>