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3E1" w:rsidRPr="00703DDA" w:rsidRDefault="00ED53E1" w:rsidP="00ED53E1">
      <w:pPr>
        <w:jc w:val="both"/>
      </w:pPr>
      <w:bookmarkStart w:id="0" w:name="_GoBack"/>
      <w:bookmarkEnd w:id="0"/>
      <w:r w:rsidRPr="00703DDA">
        <w:t xml:space="preserve">                         </w:t>
      </w:r>
    </w:p>
    <w:p w:rsidR="00ED53E1" w:rsidRPr="00703DDA" w:rsidRDefault="00ED53E1" w:rsidP="00ED53E1">
      <w:pPr>
        <w:jc w:val="both"/>
      </w:pPr>
      <w:r w:rsidRPr="00703DDA">
        <w:t xml:space="preserve">THIRDLINE TRADING (PRIVATE) LIMITED                        </w:t>
      </w:r>
    </w:p>
    <w:p w:rsidR="00ED53E1" w:rsidRPr="00703DDA" w:rsidRDefault="00ED53E1" w:rsidP="00ED53E1">
      <w:pPr>
        <w:jc w:val="both"/>
      </w:pPr>
      <w:proofErr w:type="gramStart"/>
      <w:r w:rsidRPr="00703DDA">
        <w:t>and</w:t>
      </w:r>
      <w:proofErr w:type="gramEnd"/>
    </w:p>
    <w:p w:rsidR="00ED53E1" w:rsidRPr="00703DDA" w:rsidRDefault="00ED53E1" w:rsidP="00ED53E1">
      <w:pPr>
        <w:jc w:val="both"/>
      </w:pPr>
      <w:r w:rsidRPr="00703DDA">
        <w:t>ONCLASS INVESTMENTS (PRIVATE) LIMITED</w:t>
      </w:r>
    </w:p>
    <w:p w:rsidR="00ED53E1" w:rsidRPr="00703DDA" w:rsidRDefault="00ED53E1" w:rsidP="00ED53E1">
      <w:pPr>
        <w:jc w:val="both"/>
      </w:pPr>
      <w:proofErr w:type="gramStart"/>
      <w:r w:rsidRPr="00703DDA">
        <w:t>versus</w:t>
      </w:r>
      <w:proofErr w:type="gramEnd"/>
    </w:p>
    <w:p w:rsidR="00ED53E1" w:rsidRPr="00703DDA" w:rsidRDefault="00ED53E1" w:rsidP="00ED53E1">
      <w:pPr>
        <w:jc w:val="both"/>
      </w:pPr>
      <w:r w:rsidRPr="00703DDA">
        <w:t>BOKA INVESTMENTS (PRIVATE) LIMITED</w:t>
      </w:r>
    </w:p>
    <w:p w:rsidR="00ED53E1" w:rsidRPr="00703DDA" w:rsidRDefault="00ED53E1" w:rsidP="00ED53E1">
      <w:pPr>
        <w:jc w:val="both"/>
      </w:pPr>
      <w:proofErr w:type="gramStart"/>
      <w:r w:rsidRPr="00703DDA">
        <w:t>and</w:t>
      </w:r>
      <w:proofErr w:type="gramEnd"/>
    </w:p>
    <w:p w:rsidR="00ED53E1" w:rsidRPr="00703DDA" w:rsidRDefault="00ED53E1" w:rsidP="00ED53E1">
      <w:pPr>
        <w:jc w:val="both"/>
      </w:pPr>
      <w:r w:rsidRPr="00703DDA">
        <w:t>TOBACCO INDUSTRY &amp; MARKETING BOARD</w:t>
      </w:r>
    </w:p>
    <w:p w:rsidR="00ED53E1" w:rsidRPr="00703DDA" w:rsidRDefault="00ED53E1" w:rsidP="00ED53E1">
      <w:pPr>
        <w:jc w:val="both"/>
      </w:pPr>
    </w:p>
    <w:p w:rsidR="00ED53E1" w:rsidRPr="00703DDA" w:rsidRDefault="00ED53E1" w:rsidP="00ED53E1">
      <w:pPr>
        <w:jc w:val="both"/>
      </w:pPr>
    </w:p>
    <w:p w:rsidR="00ED53E1" w:rsidRPr="00703DDA" w:rsidRDefault="00ED53E1" w:rsidP="00ED53E1">
      <w:pPr>
        <w:jc w:val="both"/>
      </w:pPr>
      <w:r w:rsidRPr="00703DDA">
        <w:t xml:space="preserve">HIGH COURT OF </w:t>
      </w:r>
      <w:smartTag w:uri="urn:schemas-microsoft-com:office:smarttags" w:element="country-region">
        <w:smartTag w:uri="urn:schemas-microsoft-com:office:smarttags" w:element="place">
          <w:r w:rsidRPr="00703DDA">
            <w:t>ZIMBABWE</w:t>
          </w:r>
        </w:smartTag>
      </w:smartTag>
    </w:p>
    <w:p w:rsidR="00ED53E1" w:rsidRPr="00703DDA" w:rsidRDefault="00ED53E1" w:rsidP="00ED53E1">
      <w:pPr>
        <w:jc w:val="both"/>
      </w:pPr>
      <w:r w:rsidRPr="00703DDA">
        <w:t>UCHENA J</w:t>
      </w:r>
    </w:p>
    <w:p w:rsidR="00ED53E1" w:rsidRPr="00703DDA" w:rsidRDefault="00ED53E1" w:rsidP="00ED53E1">
      <w:pPr>
        <w:jc w:val="both"/>
      </w:pPr>
      <w:smartTag w:uri="urn:schemas-microsoft-com:office:smarttags" w:element="City">
        <w:smartTag w:uri="urn:schemas-microsoft-com:office:smarttags" w:element="place">
          <w:r w:rsidRPr="00703DDA">
            <w:t>HARARE</w:t>
          </w:r>
        </w:smartTag>
      </w:smartTag>
      <w:r w:rsidRPr="00703DDA">
        <w:t xml:space="preserve"> 24 February and </w:t>
      </w:r>
      <w:smartTag w:uri="urn:schemas-microsoft-com:office:smarttags" w:element="date">
        <w:smartTagPr>
          <w:attr w:name="Month" w:val="6"/>
          <w:attr w:name="Day" w:val="29"/>
          <w:attr w:name="Year" w:val="2011"/>
        </w:smartTagPr>
        <w:r w:rsidRPr="00703DDA">
          <w:t>29 June 2011</w:t>
        </w:r>
      </w:smartTag>
    </w:p>
    <w:p w:rsidR="00ED53E1" w:rsidRPr="00703DDA" w:rsidRDefault="00ED53E1" w:rsidP="00ED53E1">
      <w:pPr>
        <w:jc w:val="both"/>
      </w:pPr>
    </w:p>
    <w:p w:rsidR="00ED53E1" w:rsidRPr="00703DDA" w:rsidRDefault="00ED53E1" w:rsidP="00ED53E1">
      <w:pPr>
        <w:jc w:val="both"/>
      </w:pPr>
    </w:p>
    <w:p w:rsidR="00ED53E1" w:rsidRPr="00703DDA" w:rsidRDefault="00ED53E1" w:rsidP="00ED53E1">
      <w:pPr>
        <w:jc w:val="both"/>
        <w:rPr>
          <w:b/>
        </w:rPr>
      </w:pPr>
      <w:r w:rsidRPr="00703DDA">
        <w:rPr>
          <w:b/>
        </w:rPr>
        <w:t>Chamber Application</w:t>
      </w:r>
    </w:p>
    <w:p w:rsidR="00ED53E1" w:rsidRPr="00703DDA" w:rsidRDefault="00ED53E1" w:rsidP="00ED53E1">
      <w:pPr>
        <w:jc w:val="both"/>
      </w:pPr>
    </w:p>
    <w:p w:rsidR="00ED53E1" w:rsidRPr="00703DDA" w:rsidRDefault="00ED53E1" w:rsidP="00ED53E1">
      <w:pPr>
        <w:jc w:val="both"/>
      </w:pPr>
      <w:r w:rsidRPr="00703DDA">
        <w:rPr>
          <w:i/>
        </w:rPr>
        <w:t>H Zhou</w:t>
      </w:r>
      <w:r w:rsidRPr="00703DDA">
        <w:t>, for the applicants</w:t>
      </w:r>
    </w:p>
    <w:p w:rsidR="00ED53E1" w:rsidRPr="00703DDA" w:rsidRDefault="00ED53E1" w:rsidP="00ED53E1">
      <w:pPr>
        <w:jc w:val="both"/>
      </w:pPr>
      <w:r w:rsidRPr="00703DDA">
        <w:rPr>
          <w:i/>
        </w:rPr>
        <w:t xml:space="preserve">J </w:t>
      </w:r>
      <w:proofErr w:type="spellStart"/>
      <w:r w:rsidRPr="00703DDA">
        <w:rPr>
          <w:i/>
        </w:rPr>
        <w:t>Mafusire</w:t>
      </w:r>
      <w:proofErr w:type="spellEnd"/>
      <w:r w:rsidRPr="00703DDA">
        <w:t>, for the respondents</w:t>
      </w:r>
    </w:p>
    <w:p w:rsidR="00ED53E1" w:rsidRPr="00703DDA" w:rsidRDefault="00ED53E1" w:rsidP="00ED53E1">
      <w:pPr>
        <w:jc w:val="both"/>
      </w:pPr>
    </w:p>
    <w:p w:rsidR="00ED53E1" w:rsidRPr="00703DDA" w:rsidRDefault="00ED53E1" w:rsidP="00ED53E1">
      <w:pPr>
        <w:jc w:val="both"/>
      </w:pPr>
    </w:p>
    <w:p w:rsidR="00ED53E1" w:rsidRPr="00703DDA" w:rsidRDefault="00ED53E1" w:rsidP="00ED53E1">
      <w:pPr>
        <w:spacing w:line="360" w:lineRule="auto"/>
        <w:ind w:firstLine="720"/>
        <w:jc w:val="both"/>
      </w:pPr>
      <w:r w:rsidRPr="00703DDA">
        <w:t>UCHENA J:  The dispute between the parties first appeared before me as a chamber application for a default judgment. The application was instituted by the first respondent who was then the applicant. The application was against the second respondent and the applicants who were the defendants in the main case.</w:t>
      </w:r>
    </w:p>
    <w:p w:rsidR="00ED53E1" w:rsidRPr="00703DDA" w:rsidRDefault="00ED53E1" w:rsidP="00ED53E1">
      <w:pPr>
        <w:spacing w:line="360" w:lineRule="auto"/>
        <w:ind w:firstLine="720"/>
        <w:jc w:val="both"/>
      </w:pPr>
      <w:r w:rsidRPr="00703DDA">
        <w:t>The default judgment was premised on the second respondent not having entered appearance to defend. The application cites the second defendant and the applicants as respondents though the body of the application specifically states that “application for default judgment is hereby made against the first defendant only”</w:t>
      </w:r>
      <w:r w:rsidR="00E90325">
        <w:t xml:space="preserve">. </w:t>
      </w:r>
      <w:r w:rsidRPr="00703DDA">
        <w:t>The second respondent is the first defendant in the main action. The applicants who are the second and third defendants in the main action had entered appearance to defend.</w:t>
      </w:r>
    </w:p>
    <w:p w:rsidR="00ED53E1" w:rsidRPr="00703DDA" w:rsidRDefault="00ED53E1" w:rsidP="00ED53E1">
      <w:pPr>
        <w:ind w:left="720"/>
        <w:jc w:val="both"/>
      </w:pPr>
      <w:r w:rsidRPr="00703DDA">
        <w:t>The default judgment was granted on the following terms:</w:t>
      </w:r>
    </w:p>
    <w:p w:rsidR="00ED53E1" w:rsidRPr="00703DDA" w:rsidRDefault="00ED53E1" w:rsidP="00ED53E1">
      <w:pPr>
        <w:ind w:left="720"/>
        <w:jc w:val="both"/>
      </w:pPr>
    </w:p>
    <w:p w:rsidR="00ED53E1" w:rsidRPr="00703DDA" w:rsidRDefault="00ED53E1" w:rsidP="00ED53E1">
      <w:pPr>
        <w:ind w:left="720"/>
        <w:jc w:val="both"/>
      </w:pPr>
      <w:r w:rsidRPr="00703DDA">
        <w:t xml:space="preserve">“The first defendant is hereby barred, restrained and interdicted from issuing to either the second defendant or the third defendant or both the second and third defendants a tobacco auction floor </w:t>
      </w:r>
      <w:proofErr w:type="spellStart"/>
      <w:r w:rsidRPr="00703DDA">
        <w:t>licence</w:t>
      </w:r>
      <w:proofErr w:type="spellEnd"/>
      <w:r w:rsidRPr="00703DDA">
        <w:t xml:space="preserve"> issued in terms of s 44 of the Tobacco Marketing and Levy Act [</w:t>
      </w:r>
      <w:r w:rsidRPr="00703DDA">
        <w:rPr>
          <w:i/>
        </w:rPr>
        <w:t>Cap 18:12</w:t>
      </w:r>
      <w:r w:rsidRPr="00703DDA">
        <w:t xml:space="preserve">], in respect of premises known as the </w:t>
      </w:r>
      <w:proofErr w:type="spellStart"/>
      <w:r w:rsidRPr="00703DDA">
        <w:t>Boka</w:t>
      </w:r>
      <w:proofErr w:type="spellEnd"/>
      <w:r w:rsidRPr="00703DDA">
        <w:t xml:space="preserve"> Tobacco Auction Floors situate on the 13 kilometer peg along Simon </w:t>
      </w:r>
      <w:proofErr w:type="spellStart"/>
      <w:r w:rsidRPr="00703DDA">
        <w:t>Mazorodze</w:t>
      </w:r>
      <w:proofErr w:type="spellEnd"/>
      <w:r w:rsidRPr="00703DDA">
        <w:t xml:space="preserve"> Road Harare.”</w:t>
      </w:r>
    </w:p>
    <w:p w:rsidR="00ED53E1" w:rsidRPr="00703DDA" w:rsidRDefault="00ED53E1" w:rsidP="00ED53E1">
      <w:pPr>
        <w:ind w:left="720"/>
        <w:jc w:val="both"/>
      </w:pPr>
    </w:p>
    <w:p w:rsidR="00ED53E1" w:rsidRPr="00703DDA" w:rsidRDefault="00ED53E1" w:rsidP="00ED53E1">
      <w:pPr>
        <w:spacing w:line="360" w:lineRule="auto"/>
        <w:ind w:firstLine="720"/>
        <w:jc w:val="both"/>
      </w:pPr>
      <w:r w:rsidRPr="00703DDA">
        <w:lastRenderedPageBreak/>
        <w:t>The applicants have after initially asking the court to rescind the default judgment through correspondents, which was vigorously opposed by the first respondent, now filed a chamber application, for the rescission of the default judgment in terms of r 449 (1)(a), of the High Court Rules</w:t>
      </w:r>
      <w:r>
        <w:t>. It was submitted on their behalf</w:t>
      </w:r>
      <w:r w:rsidRPr="00703DDA">
        <w:t xml:space="preserve"> that t</w:t>
      </w:r>
      <w:r>
        <w:t>he default judgment</w:t>
      </w:r>
      <w:r w:rsidRPr="00703DDA">
        <w:t xml:space="preserve"> was erroneously granted in the absence of interested parties. Rule 449 provides as follows:</w:t>
      </w:r>
    </w:p>
    <w:p w:rsidR="00ED53E1" w:rsidRPr="00703DDA" w:rsidRDefault="00ED53E1" w:rsidP="00ED53E1">
      <w:pPr>
        <w:autoSpaceDE w:val="0"/>
        <w:autoSpaceDN w:val="0"/>
        <w:adjustRightInd w:val="0"/>
        <w:ind w:left="1440" w:hanging="720"/>
        <w:jc w:val="both"/>
      </w:pPr>
      <w:r w:rsidRPr="00703DDA">
        <w:t>“(1)</w:t>
      </w:r>
      <w:r w:rsidRPr="00703DDA">
        <w:tab/>
        <w:t xml:space="preserve">The court or a judge may, in addition to any other power it or he may have, </w:t>
      </w:r>
      <w:proofErr w:type="spellStart"/>
      <w:r w:rsidRPr="00703DDA">
        <w:rPr>
          <w:i/>
          <w:iCs/>
        </w:rPr>
        <w:t>mero</w:t>
      </w:r>
      <w:proofErr w:type="spellEnd"/>
      <w:r w:rsidRPr="00703DDA">
        <w:rPr>
          <w:i/>
          <w:iCs/>
        </w:rPr>
        <w:t xml:space="preserve"> </w:t>
      </w:r>
      <w:proofErr w:type="spellStart"/>
      <w:r w:rsidRPr="00703DDA">
        <w:rPr>
          <w:i/>
          <w:iCs/>
        </w:rPr>
        <w:t>motu</w:t>
      </w:r>
      <w:proofErr w:type="spellEnd"/>
      <w:r w:rsidRPr="00703DDA">
        <w:rPr>
          <w:i/>
          <w:iCs/>
        </w:rPr>
        <w:t xml:space="preserve"> </w:t>
      </w:r>
      <w:r w:rsidRPr="00703DDA">
        <w:t>or upon the application of any party affected, correct, rescind, or vary any judgment or order—</w:t>
      </w:r>
    </w:p>
    <w:p w:rsidR="00ED53E1" w:rsidRPr="00703DDA" w:rsidRDefault="00ED53E1" w:rsidP="00ED53E1">
      <w:pPr>
        <w:autoSpaceDE w:val="0"/>
        <w:autoSpaceDN w:val="0"/>
        <w:adjustRightInd w:val="0"/>
        <w:ind w:left="1440" w:hanging="720"/>
        <w:jc w:val="both"/>
      </w:pPr>
    </w:p>
    <w:p w:rsidR="00ED53E1" w:rsidRPr="00703DDA" w:rsidRDefault="00ED53E1" w:rsidP="00ED53E1">
      <w:pPr>
        <w:autoSpaceDE w:val="0"/>
        <w:autoSpaceDN w:val="0"/>
        <w:adjustRightInd w:val="0"/>
        <w:ind w:left="2160" w:hanging="720"/>
        <w:jc w:val="both"/>
      </w:pPr>
      <w:r w:rsidRPr="00703DDA">
        <w:t>(</w:t>
      </w:r>
      <w:r w:rsidRPr="004D31D2">
        <w:rPr>
          <w:iCs/>
        </w:rPr>
        <w:t>a</w:t>
      </w:r>
      <w:r w:rsidRPr="00703DDA">
        <w:t>)</w:t>
      </w:r>
      <w:r w:rsidRPr="00703DDA">
        <w:tab/>
        <w:t>that was erroneously sought or erroneously granted in the absence of any party affected thereby; or</w:t>
      </w:r>
    </w:p>
    <w:p w:rsidR="00ED53E1" w:rsidRPr="00703DDA" w:rsidRDefault="00ED53E1" w:rsidP="00ED53E1">
      <w:pPr>
        <w:autoSpaceDE w:val="0"/>
        <w:autoSpaceDN w:val="0"/>
        <w:adjustRightInd w:val="0"/>
        <w:ind w:left="2160" w:hanging="720"/>
        <w:jc w:val="both"/>
      </w:pPr>
      <w:r w:rsidRPr="00703DDA">
        <w:t>(</w:t>
      </w:r>
      <w:r w:rsidRPr="004D31D2">
        <w:rPr>
          <w:iCs/>
        </w:rPr>
        <w:t>b</w:t>
      </w:r>
      <w:r w:rsidRPr="00703DDA">
        <w:t xml:space="preserve">) </w:t>
      </w:r>
      <w:r w:rsidRPr="00703DDA">
        <w:tab/>
        <w:t>in which there is an ambiguity or a patent error or omission, but only to the extent of such ambiguity, error or omission; or</w:t>
      </w:r>
    </w:p>
    <w:p w:rsidR="00ED53E1" w:rsidRPr="00703DDA" w:rsidRDefault="00ED53E1" w:rsidP="00ED53E1">
      <w:pPr>
        <w:autoSpaceDE w:val="0"/>
        <w:autoSpaceDN w:val="0"/>
        <w:adjustRightInd w:val="0"/>
        <w:ind w:left="1440"/>
        <w:jc w:val="both"/>
      </w:pPr>
      <w:r w:rsidRPr="00703DDA">
        <w:t>(</w:t>
      </w:r>
      <w:r w:rsidRPr="004D31D2">
        <w:rPr>
          <w:iCs/>
        </w:rPr>
        <w:t>c</w:t>
      </w:r>
      <w:r w:rsidRPr="00703DDA">
        <w:t xml:space="preserve">) </w:t>
      </w:r>
      <w:r w:rsidRPr="00703DDA">
        <w:tab/>
        <w:t>that was granted as the result of a mistake common to the parties.</w:t>
      </w:r>
    </w:p>
    <w:p w:rsidR="00ED53E1" w:rsidRPr="00703DDA" w:rsidRDefault="00ED53E1" w:rsidP="00ED53E1">
      <w:pPr>
        <w:autoSpaceDE w:val="0"/>
        <w:autoSpaceDN w:val="0"/>
        <w:adjustRightInd w:val="0"/>
        <w:ind w:left="1440"/>
        <w:jc w:val="both"/>
      </w:pPr>
    </w:p>
    <w:p w:rsidR="00ED53E1" w:rsidRPr="00703DDA" w:rsidRDefault="00ED53E1" w:rsidP="00ED53E1">
      <w:pPr>
        <w:numPr>
          <w:ilvl w:val="0"/>
          <w:numId w:val="1"/>
        </w:numPr>
        <w:autoSpaceDE w:val="0"/>
        <w:autoSpaceDN w:val="0"/>
        <w:adjustRightInd w:val="0"/>
        <w:jc w:val="both"/>
      </w:pPr>
      <w:r w:rsidRPr="00703DDA">
        <w:t>The court or a judge shall not make any order correcting, rescinding or varying a judgment or order unless satisfied that all parties whose interests may be affected have had notice of the order proposed.”</w:t>
      </w:r>
    </w:p>
    <w:p w:rsidR="00ED53E1" w:rsidRPr="00703DDA" w:rsidRDefault="00ED53E1" w:rsidP="00ED53E1">
      <w:pPr>
        <w:autoSpaceDE w:val="0"/>
        <w:autoSpaceDN w:val="0"/>
        <w:adjustRightInd w:val="0"/>
        <w:jc w:val="both"/>
      </w:pPr>
    </w:p>
    <w:p w:rsidR="00ED53E1" w:rsidRPr="00703DDA" w:rsidRDefault="00ED53E1" w:rsidP="00ED53E1">
      <w:pPr>
        <w:autoSpaceDE w:val="0"/>
        <w:autoSpaceDN w:val="0"/>
        <w:adjustRightInd w:val="0"/>
        <w:spacing w:line="360" w:lineRule="auto"/>
        <w:jc w:val="both"/>
      </w:pPr>
      <w:r w:rsidRPr="00703DDA">
        <w:t xml:space="preserve">            </w:t>
      </w:r>
      <w:proofErr w:type="spellStart"/>
      <w:r w:rsidRPr="00703DDA">
        <w:t>Mr</w:t>
      </w:r>
      <w:proofErr w:type="spellEnd"/>
      <w:r w:rsidRPr="00703DDA">
        <w:t xml:space="preserve"> </w:t>
      </w:r>
      <w:r w:rsidRPr="00703DDA">
        <w:rPr>
          <w:i/>
        </w:rPr>
        <w:t xml:space="preserve">Zhou </w:t>
      </w:r>
      <w:r w:rsidRPr="00703DDA">
        <w:t>for the applicants filed heads of arguments in which he submitted that the applicants were not given notice of the application for default judgment, and that the default judgment was therefore granted in the absence of interested parties. He submitted that the applicants are interested parties, because, the order sought and granted directly affect them.</w:t>
      </w:r>
    </w:p>
    <w:p w:rsidR="00ED53E1" w:rsidRDefault="00ED53E1" w:rsidP="00ED53E1">
      <w:pPr>
        <w:autoSpaceDE w:val="0"/>
        <w:autoSpaceDN w:val="0"/>
        <w:adjustRightInd w:val="0"/>
        <w:spacing w:line="360" w:lineRule="auto"/>
        <w:jc w:val="both"/>
      </w:pPr>
      <w:r w:rsidRPr="00703DDA">
        <w:t xml:space="preserve">           </w:t>
      </w:r>
      <w:proofErr w:type="spellStart"/>
      <w:r w:rsidRPr="00703DDA">
        <w:t>Mr</w:t>
      </w:r>
      <w:proofErr w:type="spellEnd"/>
      <w:r w:rsidRPr="00703DDA">
        <w:t xml:space="preserve"> </w:t>
      </w:r>
      <w:proofErr w:type="spellStart"/>
      <w:r w:rsidRPr="00703DDA">
        <w:rPr>
          <w:i/>
        </w:rPr>
        <w:t>Mafusire</w:t>
      </w:r>
      <w:proofErr w:type="spellEnd"/>
      <w:r w:rsidRPr="00703DDA">
        <w:t xml:space="preserve"> for the respondents filed heads of arguments in which he argued that there is no rule which obliges an applicant for a default judgment against a co-defendant who will not have entered appearance to defend, to serve co-defendants who will have entered appearance to defend. </w:t>
      </w:r>
    </w:p>
    <w:p w:rsidR="00ED53E1" w:rsidRPr="00703DDA" w:rsidRDefault="00ED53E1" w:rsidP="00ED53E1">
      <w:pPr>
        <w:autoSpaceDE w:val="0"/>
        <w:autoSpaceDN w:val="0"/>
        <w:adjustRightInd w:val="0"/>
        <w:spacing w:line="360" w:lineRule="auto"/>
        <w:jc w:val="both"/>
      </w:pPr>
      <w:r>
        <w:t xml:space="preserve">          </w:t>
      </w:r>
      <w:r w:rsidRPr="00703DDA">
        <w:t>The first issue is therefore, whether or not, I should have directed that they be served as the order sought and granted, was intended to and affects them directly. It effectively takes from them that which they had entered appearance to defend.</w:t>
      </w:r>
    </w:p>
    <w:p w:rsidR="00ED53E1" w:rsidRPr="00703DDA" w:rsidRDefault="00ED53E1" w:rsidP="00ED53E1">
      <w:pPr>
        <w:spacing w:line="360" w:lineRule="auto"/>
        <w:ind w:firstLine="720"/>
        <w:jc w:val="both"/>
      </w:pPr>
      <w:r w:rsidRPr="00703DDA">
        <w:t xml:space="preserve">The second issue is whether or not the default judgment was erroneously sought and erroneously granted, and can be rescinded in terms of r 449 (1)(a). The parties filed heads of arguments for and against the rescission of the default judgment. I set the case </w:t>
      </w:r>
      <w:r w:rsidRPr="00703DDA">
        <w:lastRenderedPageBreak/>
        <w:t>down for counsel for the applicants and the respondents to present any further arguments in terms of r 246 (1)(b) of the High Court Rules. Rule 246 (1)(b) provides as follows:</w:t>
      </w:r>
    </w:p>
    <w:p w:rsidR="00ED53E1" w:rsidRPr="00703DDA" w:rsidRDefault="00ED53E1" w:rsidP="00ED53E1">
      <w:pPr>
        <w:autoSpaceDE w:val="0"/>
        <w:autoSpaceDN w:val="0"/>
        <w:adjustRightInd w:val="0"/>
        <w:ind w:left="720"/>
        <w:jc w:val="both"/>
        <w:rPr>
          <w:b/>
          <w:bCs/>
          <w:iCs/>
        </w:rPr>
      </w:pPr>
    </w:p>
    <w:p w:rsidR="00ED53E1" w:rsidRPr="00703DDA" w:rsidRDefault="00ED53E1" w:rsidP="00ED53E1">
      <w:pPr>
        <w:autoSpaceDE w:val="0"/>
        <w:autoSpaceDN w:val="0"/>
        <w:adjustRightInd w:val="0"/>
        <w:ind w:left="720"/>
        <w:jc w:val="both"/>
      </w:pPr>
      <w:r w:rsidRPr="00703DDA">
        <w:t>“(1)</w:t>
      </w:r>
      <w:r w:rsidRPr="00703DDA">
        <w:tab/>
        <w:t>A judge to whom papers are submitted in terms of r 244 or 245 may—</w:t>
      </w:r>
    </w:p>
    <w:p w:rsidR="00ED53E1" w:rsidRPr="00703DDA" w:rsidRDefault="00ED53E1" w:rsidP="00ED53E1">
      <w:pPr>
        <w:autoSpaceDE w:val="0"/>
        <w:autoSpaceDN w:val="0"/>
        <w:adjustRightInd w:val="0"/>
        <w:ind w:left="720" w:firstLine="720"/>
        <w:jc w:val="both"/>
      </w:pPr>
      <w:r w:rsidRPr="00703DDA">
        <w:t>(a) …</w:t>
      </w:r>
    </w:p>
    <w:p w:rsidR="00ED53E1" w:rsidRPr="00703DDA" w:rsidRDefault="00ED53E1" w:rsidP="00ED53E1">
      <w:pPr>
        <w:autoSpaceDE w:val="0"/>
        <w:autoSpaceDN w:val="0"/>
        <w:adjustRightInd w:val="0"/>
        <w:ind w:left="2160" w:hanging="720"/>
        <w:jc w:val="both"/>
      </w:pPr>
      <w:r w:rsidRPr="00703DDA">
        <w:t>(</w:t>
      </w:r>
      <w:r w:rsidRPr="004D31D2">
        <w:rPr>
          <w:iCs/>
        </w:rPr>
        <w:t>b</w:t>
      </w:r>
      <w:r w:rsidRPr="00703DDA">
        <w:t xml:space="preserve">) require either party’s legal practitioner to appear before him to present </w:t>
      </w:r>
    </w:p>
    <w:p w:rsidR="00ED53E1" w:rsidRPr="00703DDA" w:rsidRDefault="00ED53E1" w:rsidP="00ED53E1">
      <w:pPr>
        <w:autoSpaceDE w:val="0"/>
        <w:autoSpaceDN w:val="0"/>
        <w:adjustRightInd w:val="0"/>
        <w:ind w:left="2160" w:hanging="720"/>
        <w:jc w:val="both"/>
      </w:pPr>
      <w:r w:rsidRPr="00703DDA">
        <w:t xml:space="preserve">     such further argument as the judge may require.”</w:t>
      </w:r>
    </w:p>
    <w:p w:rsidR="00ED53E1" w:rsidRPr="00703DDA" w:rsidRDefault="00ED53E1" w:rsidP="00ED53E1">
      <w:pPr>
        <w:autoSpaceDE w:val="0"/>
        <w:autoSpaceDN w:val="0"/>
        <w:adjustRightInd w:val="0"/>
        <w:ind w:left="720"/>
        <w:jc w:val="both"/>
      </w:pPr>
    </w:p>
    <w:p w:rsidR="00ED53E1" w:rsidRPr="00703DDA" w:rsidRDefault="00ED53E1" w:rsidP="00ED53E1">
      <w:pPr>
        <w:autoSpaceDE w:val="0"/>
        <w:autoSpaceDN w:val="0"/>
        <w:adjustRightInd w:val="0"/>
        <w:spacing w:line="360" w:lineRule="auto"/>
        <w:ind w:firstLine="720"/>
        <w:jc w:val="both"/>
      </w:pPr>
      <w:r w:rsidRPr="00703DDA">
        <w:t>Rule 246 enables a judge to where necessary call legal practitioners for the parties, and ask them to present further argument as the judge may require. In this case the parties had filed detailed Heads of Arguments, which did not however deal with what I thought was the determining factor in this case.</w:t>
      </w:r>
    </w:p>
    <w:p w:rsidR="00ED53E1" w:rsidRPr="00703DDA" w:rsidRDefault="00ED53E1" w:rsidP="00ED53E1">
      <w:pPr>
        <w:autoSpaceDE w:val="0"/>
        <w:autoSpaceDN w:val="0"/>
        <w:adjustRightInd w:val="0"/>
        <w:spacing w:line="360" w:lineRule="auto"/>
        <w:ind w:firstLine="720"/>
        <w:jc w:val="both"/>
      </w:pPr>
      <w:r w:rsidRPr="00703DDA">
        <w:t>When the parties appeared before me on 24 February 2011, I allowed them to amplify their Heads of Arguments, after which I asked them to address me on the provisions of r 4C (a) and (b) for which I had invoked the provisions of r 246 (1) (b). Rule 4C provides as follows:</w:t>
      </w:r>
    </w:p>
    <w:p w:rsidR="00ED53E1" w:rsidRPr="00703DDA" w:rsidRDefault="00ED53E1" w:rsidP="00ED53E1">
      <w:pPr>
        <w:autoSpaceDE w:val="0"/>
        <w:autoSpaceDN w:val="0"/>
        <w:adjustRightInd w:val="0"/>
        <w:ind w:left="720"/>
        <w:jc w:val="both"/>
      </w:pPr>
    </w:p>
    <w:p w:rsidR="00ED53E1" w:rsidRDefault="00ED53E1" w:rsidP="00ED53E1">
      <w:pPr>
        <w:autoSpaceDE w:val="0"/>
        <w:autoSpaceDN w:val="0"/>
        <w:adjustRightInd w:val="0"/>
        <w:ind w:left="720"/>
        <w:jc w:val="both"/>
      </w:pPr>
      <w:r w:rsidRPr="00703DDA">
        <w:t>“The court or a judge may, in relation to any particular case before it or him, as the case may be—</w:t>
      </w:r>
    </w:p>
    <w:p w:rsidR="00ED53E1" w:rsidRPr="00703DDA" w:rsidRDefault="00ED53E1" w:rsidP="00ED53E1">
      <w:pPr>
        <w:autoSpaceDE w:val="0"/>
        <w:autoSpaceDN w:val="0"/>
        <w:adjustRightInd w:val="0"/>
        <w:ind w:left="720"/>
        <w:jc w:val="both"/>
      </w:pPr>
    </w:p>
    <w:p w:rsidR="00ED53E1" w:rsidRPr="00703DDA" w:rsidRDefault="00ED53E1" w:rsidP="00ED53E1">
      <w:pPr>
        <w:autoSpaceDE w:val="0"/>
        <w:autoSpaceDN w:val="0"/>
        <w:adjustRightInd w:val="0"/>
        <w:ind w:left="1440" w:hanging="720"/>
        <w:jc w:val="both"/>
      </w:pPr>
      <w:r w:rsidRPr="00703DDA">
        <w:t>(</w:t>
      </w:r>
      <w:r w:rsidRPr="004D31D2">
        <w:rPr>
          <w:iCs/>
        </w:rPr>
        <w:t>a</w:t>
      </w:r>
      <w:r w:rsidRPr="00703DDA">
        <w:t xml:space="preserve">) </w:t>
      </w:r>
      <w:r w:rsidRPr="00703DDA">
        <w:tab/>
        <w:t>direct, authorize or condone a departure from any provision of these rules, including an extension of any period specified therein, where it or he, as the case may be, is satisfied that the departure is required in the interests of justice;</w:t>
      </w:r>
    </w:p>
    <w:p w:rsidR="00ED53E1" w:rsidRPr="00703DDA" w:rsidRDefault="00ED53E1" w:rsidP="00ED53E1">
      <w:pPr>
        <w:autoSpaceDE w:val="0"/>
        <w:autoSpaceDN w:val="0"/>
        <w:adjustRightInd w:val="0"/>
        <w:ind w:left="1440" w:hanging="720"/>
        <w:jc w:val="both"/>
      </w:pPr>
      <w:r w:rsidRPr="00703DDA">
        <w:t>(</w:t>
      </w:r>
      <w:r w:rsidRPr="004D31D2">
        <w:rPr>
          <w:iCs/>
        </w:rPr>
        <w:t>b</w:t>
      </w:r>
      <w:r w:rsidRPr="00703DDA">
        <w:t xml:space="preserve">) </w:t>
      </w:r>
      <w:r w:rsidRPr="00703DDA">
        <w:tab/>
        <w:t xml:space="preserve">give such directions as to procedure in respect of any matter not expressly provided for in these rules as appear to it or him, as the case may be, to be just and expedient.” </w:t>
      </w:r>
    </w:p>
    <w:p w:rsidR="00ED53E1" w:rsidRPr="00703DDA" w:rsidRDefault="00ED53E1" w:rsidP="00ED53E1">
      <w:pPr>
        <w:autoSpaceDE w:val="0"/>
        <w:autoSpaceDN w:val="0"/>
        <w:adjustRightInd w:val="0"/>
        <w:ind w:left="720"/>
        <w:jc w:val="both"/>
      </w:pPr>
    </w:p>
    <w:p w:rsidR="00ED53E1" w:rsidRPr="00703DDA" w:rsidRDefault="00ED53E1" w:rsidP="00ED53E1">
      <w:pPr>
        <w:autoSpaceDE w:val="0"/>
        <w:autoSpaceDN w:val="0"/>
        <w:adjustRightInd w:val="0"/>
        <w:spacing w:line="360" w:lineRule="auto"/>
        <w:ind w:firstLine="720"/>
        <w:jc w:val="both"/>
      </w:pPr>
      <w:proofErr w:type="spellStart"/>
      <w:r w:rsidRPr="00703DDA">
        <w:t>Mr</w:t>
      </w:r>
      <w:proofErr w:type="spellEnd"/>
      <w:r w:rsidRPr="00703DDA">
        <w:t xml:space="preserve"> </w:t>
      </w:r>
      <w:r w:rsidRPr="00703DDA">
        <w:rPr>
          <w:i/>
        </w:rPr>
        <w:t>Zhou</w:t>
      </w:r>
      <w:r w:rsidRPr="00703DDA">
        <w:t xml:space="preserve"> for the applicants submitted that r 4C </w:t>
      </w:r>
      <w:proofErr w:type="spellStart"/>
      <w:r w:rsidRPr="00703DDA">
        <w:t>authorised</w:t>
      </w:r>
      <w:proofErr w:type="spellEnd"/>
      <w:r w:rsidRPr="00703DDA">
        <w:t xml:space="preserve"> a judge to direct a departure from the rules, and to fill gapes not provided for in the rules. </w:t>
      </w:r>
      <w:proofErr w:type="spellStart"/>
      <w:r w:rsidRPr="00703DDA">
        <w:t>Mr</w:t>
      </w:r>
      <w:proofErr w:type="spellEnd"/>
      <w:r w:rsidRPr="00703DDA">
        <w:t xml:space="preserve"> </w:t>
      </w:r>
      <w:proofErr w:type="spellStart"/>
      <w:r w:rsidRPr="00703DDA">
        <w:rPr>
          <w:i/>
        </w:rPr>
        <w:t>Mafusire</w:t>
      </w:r>
      <w:proofErr w:type="spellEnd"/>
      <w:r w:rsidRPr="00703DDA">
        <w:t xml:space="preserve"> for the respondents submitted that the rule shows that the court is not made for the rules but that the rules are made for the court. He agreed with </w:t>
      </w:r>
      <w:proofErr w:type="spellStart"/>
      <w:r w:rsidRPr="00703DDA">
        <w:t>Mr</w:t>
      </w:r>
      <w:proofErr w:type="spellEnd"/>
      <w:r w:rsidRPr="00703DDA">
        <w:t xml:space="preserve"> </w:t>
      </w:r>
      <w:r w:rsidRPr="00703DDA">
        <w:rPr>
          <w:i/>
        </w:rPr>
        <w:t>Zhou</w:t>
      </w:r>
      <w:r w:rsidRPr="00703DDA">
        <w:t xml:space="preserve"> that r 4C entitles a judge or the court to give directions on procedure where the rules do not provide for a matter before the court. The legal practitioners are agreed on the court’s power to direct a departure from any provision of the High Court Rules, (r 4C (a)), and to fill gaps in the </w:t>
      </w:r>
      <w:r w:rsidRPr="00703DDA">
        <w:lastRenderedPageBreak/>
        <w:t xml:space="preserve">rules where the rules do not provide for the circumstances of a case before the court (r 4C (b)). </w:t>
      </w:r>
    </w:p>
    <w:p w:rsidR="00ED53E1" w:rsidRPr="00703DDA" w:rsidRDefault="00ED53E1" w:rsidP="00ED53E1">
      <w:pPr>
        <w:autoSpaceDE w:val="0"/>
        <w:autoSpaceDN w:val="0"/>
        <w:adjustRightInd w:val="0"/>
        <w:spacing w:line="360" w:lineRule="auto"/>
        <w:ind w:firstLine="720"/>
        <w:jc w:val="both"/>
      </w:pPr>
      <w:r w:rsidRPr="00703DDA">
        <w:t>I then reserved judgment, and started working on it but was interrupted by the respondents’ counsel’s letter dated 7 March 2011, in which, he advised that the proceedings of 24 February</w:t>
      </w:r>
      <w:r>
        <w:t xml:space="preserve"> 2011</w:t>
      </w:r>
      <w:r w:rsidRPr="00703DDA">
        <w:t xml:space="preserve"> were null</w:t>
      </w:r>
      <w:r>
        <w:t xml:space="preserve"> and void</w:t>
      </w:r>
      <w:r w:rsidRPr="00703DDA">
        <w:t xml:space="preserve"> as the applicants’ companies had been provisional</w:t>
      </w:r>
      <w:r>
        <w:t>ly</w:t>
      </w:r>
      <w:r w:rsidRPr="00703DDA">
        <w:t xml:space="preserve"> wound up by an order granted by JUSTICE MAKONI on 23 February 2011. He relied on s 213 of the Companies Act [</w:t>
      </w:r>
      <w:r w:rsidRPr="00703DDA">
        <w:rPr>
          <w:i/>
        </w:rPr>
        <w:t>Cap 24:03</w:t>
      </w:r>
      <w:r w:rsidRPr="00703DDA">
        <w:t>], which provides as follows;</w:t>
      </w:r>
    </w:p>
    <w:p w:rsidR="00ED53E1" w:rsidRPr="00703DDA" w:rsidRDefault="00ED53E1" w:rsidP="00ED53E1">
      <w:pPr>
        <w:autoSpaceDE w:val="0"/>
        <w:autoSpaceDN w:val="0"/>
        <w:adjustRightInd w:val="0"/>
        <w:ind w:left="720"/>
        <w:jc w:val="both"/>
      </w:pPr>
      <w:r w:rsidRPr="00703DDA">
        <w:t>“In a winding up by the court—</w:t>
      </w:r>
    </w:p>
    <w:p w:rsidR="00ED53E1" w:rsidRPr="00703DDA" w:rsidRDefault="00ED53E1" w:rsidP="00ED53E1">
      <w:pPr>
        <w:autoSpaceDE w:val="0"/>
        <w:autoSpaceDN w:val="0"/>
        <w:adjustRightInd w:val="0"/>
        <w:ind w:left="720"/>
        <w:jc w:val="both"/>
      </w:pPr>
    </w:p>
    <w:p w:rsidR="00ED53E1" w:rsidRPr="00703DDA" w:rsidRDefault="00ED53E1" w:rsidP="00ED53E1">
      <w:pPr>
        <w:numPr>
          <w:ilvl w:val="0"/>
          <w:numId w:val="2"/>
        </w:numPr>
        <w:autoSpaceDE w:val="0"/>
        <w:autoSpaceDN w:val="0"/>
        <w:adjustRightInd w:val="0"/>
        <w:jc w:val="both"/>
      </w:pPr>
      <w:r w:rsidRPr="00703DDA">
        <w:t>no action or proceeding shall be proceeded with or commenced against the company except by leave of the court and subject to such terms as the court may impose;”</w:t>
      </w:r>
    </w:p>
    <w:p w:rsidR="00ED53E1" w:rsidRPr="00703DDA" w:rsidRDefault="00ED53E1" w:rsidP="00ED53E1">
      <w:pPr>
        <w:autoSpaceDE w:val="0"/>
        <w:autoSpaceDN w:val="0"/>
        <w:adjustRightInd w:val="0"/>
        <w:ind w:left="1440" w:hanging="720"/>
      </w:pPr>
      <w:r w:rsidRPr="00703DDA">
        <w:rPr>
          <w:sz w:val="21"/>
          <w:szCs w:val="21"/>
        </w:rPr>
        <w:t>(</w:t>
      </w:r>
      <w:r w:rsidRPr="004D31D2">
        <w:rPr>
          <w:iCs/>
          <w:sz w:val="21"/>
          <w:szCs w:val="21"/>
        </w:rPr>
        <w:t>b</w:t>
      </w:r>
      <w:r w:rsidRPr="00703DDA">
        <w:rPr>
          <w:sz w:val="21"/>
          <w:szCs w:val="21"/>
        </w:rPr>
        <w:t xml:space="preserve">)  </w:t>
      </w:r>
      <w:r w:rsidRPr="00703DDA">
        <w:rPr>
          <w:sz w:val="21"/>
          <w:szCs w:val="21"/>
        </w:rPr>
        <w:tab/>
      </w:r>
      <w:r w:rsidRPr="00703DDA">
        <w:t>any attachment or execution put in force against the assets of the company after the commencement of the winding up shall be void;</w:t>
      </w:r>
    </w:p>
    <w:p w:rsidR="00ED53E1" w:rsidRPr="00703DDA" w:rsidRDefault="00ED53E1" w:rsidP="00ED53E1">
      <w:pPr>
        <w:autoSpaceDE w:val="0"/>
        <w:autoSpaceDN w:val="0"/>
        <w:adjustRightInd w:val="0"/>
        <w:ind w:left="1440" w:hanging="720"/>
        <w:rPr>
          <w:sz w:val="21"/>
          <w:szCs w:val="21"/>
        </w:rPr>
      </w:pPr>
      <w:r w:rsidRPr="00703DDA">
        <w:t>(</w:t>
      </w:r>
      <w:r w:rsidRPr="004D31D2">
        <w:rPr>
          <w:iCs/>
        </w:rPr>
        <w:t>c</w:t>
      </w:r>
      <w:r w:rsidRPr="00703DDA">
        <w:t xml:space="preserve">) </w:t>
      </w:r>
      <w:r w:rsidRPr="00703DDA">
        <w:tab/>
        <w:t>every disposition of the property, including rights of action, of the company and every transfer of shares or alteration in the status of its members, made after the commencement of the winding up, shall, unless the court otherwise</w:t>
      </w:r>
      <w:r w:rsidRPr="00703DDA">
        <w:rPr>
          <w:sz w:val="21"/>
          <w:szCs w:val="21"/>
        </w:rPr>
        <w:t xml:space="preserve"> orders, be void.</w:t>
      </w:r>
    </w:p>
    <w:p w:rsidR="00ED53E1" w:rsidRPr="00703DDA" w:rsidRDefault="00ED53E1" w:rsidP="00ED53E1">
      <w:pPr>
        <w:autoSpaceDE w:val="0"/>
        <w:autoSpaceDN w:val="0"/>
        <w:adjustRightInd w:val="0"/>
        <w:ind w:left="720"/>
        <w:jc w:val="both"/>
      </w:pPr>
    </w:p>
    <w:p w:rsidR="00ED53E1" w:rsidRPr="00703DDA" w:rsidRDefault="00ED53E1" w:rsidP="00ED53E1">
      <w:pPr>
        <w:autoSpaceDE w:val="0"/>
        <w:autoSpaceDN w:val="0"/>
        <w:adjustRightInd w:val="0"/>
        <w:spacing w:line="360" w:lineRule="auto"/>
        <w:ind w:firstLine="720"/>
        <w:jc w:val="both"/>
      </w:pPr>
      <w:r w:rsidRPr="00703DDA">
        <w:t xml:space="preserve">I caused the letter to be brought to the attention of the applicants’ counsel for his comment. He by letter dated 7 April 2011, commented that it is only proceedings to be proceeded with or commenced against the company being wound up which are affected by s 213 (a). He submitted that proceedings instituted by the company are not affected. I caused the applicants’ counsel’s letter to be referred to the respondents’ counsel for his reply to the applicants’ counsel’s comments. By letter dated </w:t>
      </w:r>
      <w:smartTag w:uri="urn:schemas-microsoft-com:office:smarttags" w:element="date">
        <w:smartTagPr>
          <w:attr w:name="Month" w:val="4"/>
          <w:attr w:name="Day" w:val="20"/>
          <w:attr w:name="Year" w:val="2011"/>
        </w:smartTagPr>
        <w:r w:rsidRPr="00703DDA">
          <w:t>20 April 2011</w:t>
        </w:r>
      </w:smartTag>
      <w:r w:rsidRPr="00703DDA">
        <w:t xml:space="preserve"> the respondents’ counsel referred the court to s 213 (c) which provides as follows:</w:t>
      </w:r>
    </w:p>
    <w:p w:rsidR="00ED53E1" w:rsidRPr="00703DDA" w:rsidRDefault="00ED53E1" w:rsidP="00ED53E1">
      <w:pPr>
        <w:autoSpaceDE w:val="0"/>
        <w:autoSpaceDN w:val="0"/>
        <w:adjustRightInd w:val="0"/>
        <w:ind w:firstLine="720"/>
        <w:jc w:val="both"/>
      </w:pPr>
    </w:p>
    <w:p w:rsidR="00ED53E1" w:rsidRPr="00703DDA" w:rsidRDefault="00ED53E1" w:rsidP="00ED53E1">
      <w:pPr>
        <w:autoSpaceDE w:val="0"/>
        <w:autoSpaceDN w:val="0"/>
        <w:adjustRightInd w:val="0"/>
        <w:ind w:left="1440" w:hanging="720"/>
        <w:jc w:val="both"/>
      </w:pPr>
      <w:r w:rsidRPr="00703DDA">
        <w:t>“(</w:t>
      </w:r>
      <w:r w:rsidRPr="00703DDA">
        <w:rPr>
          <w:i/>
          <w:iCs/>
        </w:rPr>
        <w:t>c</w:t>
      </w:r>
      <w:r w:rsidRPr="00703DDA">
        <w:t>)</w:t>
      </w:r>
      <w:r w:rsidRPr="00703DDA">
        <w:tab/>
        <w:t>every disposition of the property, including rights of action, of the company and every transfer of shares or alteration in the status of its members, made after the commencement of the winding up, shall, unless the court otherwise orders, be void”.</w:t>
      </w:r>
    </w:p>
    <w:p w:rsidR="00ED53E1" w:rsidRPr="00703DDA" w:rsidRDefault="00ED53E1" w:rsidP="00ED53E1">
      <w:pPr>
        <w:autoSpaceDE w:val="0"/>
        <w:autoSpaceDN w:val="0"/>
        <w:adjustRightInd w:val="0"/>
        <w:ind w:left="720"/>
        <w:jc w:val="both"/>
      </w:pPr>
    </w:p>
    <w:p w:rsidR="00ED53E1" w:rsidRPr="00703DDA" w:rsidRDefault="00ED53E1" w:rsidP="00ED53E1">
      <w:pPr>
        <w:autoSpaceDE w:val="0"/>
        <w:autoSpaceDN w:val="0"/>
        <w:adjustRightInd w:val="0"/>
        <w:spacing w:line="360" w:lineRule="auto"/>
        <w:jc w:val="both"/>
      </w:pPr>
      <w:r w:rsidRPr="00703DDA">
        <w:t xml:space="preserve">            The determination of this application will lead to the </w:t>
      </w:r>
      <w:r>
        <w:t>disposition</w:t>
      </w:r>
      <w:r w:rsidRPr="00703DDA">
        <w:t xml:space="preserve"> of the liquidated applicants’ right of action, which </w:t>
      </w:r>
      <w:r>
        <w:t>enabled it to make this application.</w:t>
      </w:r>
    </w:p>
    <w:p w:rsidR="00ED53E1" w:rsidRPr="00703DDA" w:rsidRDefault="00ED53E1" w:rsidP="00ED53E1">
      <w:pPr>
        <w:autoSpaceDE w:val="0"/>
        <w:autoSpaceDN w:val="0"/>
        <w:adjustRightInd w:val="0"/>
        <w:spacing w:line="360" w:lineRule="auto"/>
        <w:ind w:firstLine="720"/>
        <w:jc w:val="both"/>
      </w:pPr>
      <w:r w:rsidRPr="00703DDA">
        <w:t xml:space="preserve">There is no doubt in my mind that, s 213 (a) of the Companies Act deals with the proceeding with or commencement of actions against the company. This means actions </w:t>
      </w:r>
      <w:r w:rsidRPr="00703DDA">
        <w:lastRenderedPageBreak/>
        <w:t xml:space="preserve">by the company itself are not covered under s 213 (a). I am also satisfied that s 213 (c) of the Companies Act is aimed at preserving the property, and rights of action of the company wound up by the court unless the court winding up the company orders otherwise. This in my view means proceeding with this case </w:t>
      </w:r>
      <w:proofErr w:type="spellStart"/>
      <w:r w:rsidRPr="00703DDA">
        <w:rPr>
          <w:i/>
        </w:rPr>
        <w:t>mero</w:t>
      </w:r>
      <w:proofErr w:type="spellEnd"/>
      <w:r w:rsidRPr="00703DDA">
        <w:rPr>
          <w:i/>
        </w:rPr>
        <w:t xml:space="preserve"> </w:t>
      </w:r>
      <w:proofErr w:type="spellStart"/>
      <w:r w:rsidRPr="00703DDA">
        <w:rPr>
          <w:i/>
        </w:rPr>
        <w:t>moto</w:t>
      </w:r>
      <w:proofErr w:type="spellEnd"/>
      <w:r w:rsidRPr="00703DDA">
        <w:t xml:space="preserve"> or at the instance of the company which has now been liquidated will lead to the disposition of its right of action without</w:t>
      </w:r>
      <w:r>
        <w:t xml:space="preserve"> the leave of the court or the involvement</w:t>
      </w:r>
      <w:r w:rsidRPr="00703DDA">
        <w:t xml:space="preserve"> of the Master or the</w:t>
      </w:r>
      <w:r>
        <w:t xml:space="preserve"> Provisional</w:t>
      </w:r>
      <w:r w:rsidRPr="00703DDA">
        <w:t xml:space="preserve"> Liquidator </w:t>
      </w:r>
      <w:r>
        <w:t xml:space="preserve"> who</w:t>
      </w:r>
      <w:r w:rsidRPr="00703DDA">
        <w:t xml:space="preserve"> has been appointed. Once a determination, is made, on that right of action, the Master or Liquidator </w:t>
      </w:r>
      <w:proofErr w:type="spellStart"/>
      <w:r w:rsidRPr="00703DDA">
        <w:t>can not</w:t>
      </w:r>
      <w:proofErr w:type="spellEnd"/>
      <w:r w:rsidRPr="00703DDA">
        <w:t xml:space="preserve"> revisit that right of action as the cause of action will have been finalized by the court’s determination. Section 213 (c) provides that such action, (the extinction of the right of action), shall be void unless “the court orders otherwise”. This in my view means the proceedings of </w:t>
      </w:r>
      <w:smartTag w:uri="urn:schemas-microsoft-com:office:smarttags" w:element="date">
        <w:smartTagPr>
          <w:attr w:name="Month" w:val="2"/>
          <w:attr w:name="Day" w:val="24"/>
          <w:attr w:name="Year" w:val="2011"/>
        </w:smartTagPr>
        <w:r w:rsidRPr="00703DDA">
          <w:t>24 February 2011</w:t>
        </w:r>
      </w:smartTag>
      <w:r w:rsidRPr="00703DDA">
        <w:t>, are void as there was no order of the court authorizing them. This view is supported by s 221 (2) of the Companies Act, which provides as follows:</w:t>
      </w:r>
    </w:p>
    <w:p w:rsidR="00ED53E1" w:rsidRPr="00703DDA" w:rsidRDefault="00ED53E1" w:rsidP="00ED53E1">
      <w:pPr>
        <w:autoSpaceDE w:val="0"/>
        <w:autoSpaceDN w:val="0"/>
        <w:adjustRightInd w:val="0"/>
        <w:ind w:left="720"/>
        <w:jc w:val="both"/>
      </w:pPr>
      <w:r w:rsidRPr="00703DDA">
        <w:t xml:space="preserve">“(2) The liquidator shall have power, with the leave of the court or with the authority mentioned in subs (4) or in </w:t>
      </w:r>
      <w:proofErr w:type="spellStart"/>
      <w:r w:rsidRPr="00703DDA">
        <w:t>para</w:t>
      </w:r>
      <w:proofErr w:type="spellEnd"/>
      <w:r w:rsidRPr="00703DDA">
        <w:t xml:space="preserve"> (</w:t>
      </w:r>
      <w:r w:rsidRPr="00703DDA">
        <w:rPr>
          <w:i/>
          <w:iCs/>
        </w:rPr>
        <w:t>a</w:t>
      </w:r>
      <w:r w:rsidRPr="00703DDA">
        <w:t xml:space="preserve">) of subs (4) of section </w:t>
      </w:r>
      <w:r w:rsidRPr="00703DDA">
        <w:rPr>
          <w:i/>
          <w:iCs/>
        </w:rPr>
        <w:t>two hundred and eighteen</w:t>
      </w:r>
      <w:r w:rsidRPr="00703DDA">
        <w:t>— (</w:t>
      </w:r>
      <w:r w:rsidRPr="00703DDA">
        <w:rPr>
          <w:i/>
          <w:iCs/>
        </w:rPr>
        <w:t>a</w:t>
      </w:r>
      <w:r w:rsidRPr="00703DDA">
        <w:t>) to bring or defend in the name and on behalf of the company any action or other legal proceeding of a civil nature and, subject to any law relating to criminal procedure, any criminal proceeding:</w:t>
      </w:r>
    </w:p>
    <w:p w:rsidR="00ED53E1" w:rsidRPr="00703DDA" w:rsidRDefault="00ED53E1" w:rsidP="00ED53E1">
      <w:pPr>
        <w:autoSpaceDE w:val="0"/>
        <w:autoSpaceDN w:val="0"/>
        <w:adjustRightInd w:val="0"/>
        <w:ind w:left="720"/>
        <w:jc w:val="both"/>
      </w:pPr>
      <w:r w:rsidRPr="00703DDA">
        <w:t>Provided that immediately upon the appointment of a liquidator or a provisional liquidator the Master may authorize upon such terms as he thinks fit legal proceedings for the recovery of any outstanding accounts, the collection of which appears to him to be urgent”</w:t>
      </w:r>
    </w:p>
    <w:p w:rsidR="00ED53E1" w:rsidRPr="00703DDA" w:rsidRDefault="00ED53E1" w:rsidP="00ED53E1">
      <w:pPr>
        <w:autoSpaceDE w:val="0"/>
        <w:autoSpaceDN w:val="0"/>
        <w:adjustRightInd w:val="0"/>
        <w:ind w:left="720"/>
        <w:jc w:val="both"/>
      </w:pPr>
    </w:p>
    <w:p w:rsidR="00ED53E1" w:rsidRPr="00703DDA" w:rsidRDefault="00ED53E1" w:rsidP="00ED53E1">
      <w:pPr>
        <w:autoSpaceDE w:val="0"/>
        <w:autoSpaceDN w:val="0"/>
        <w:adjustRightInd w:val="0"/>
        <w:spacing w:line="360" w:lineRule="auto"/>
        <w:ind w:firstLine="720"/>
        <w:jc w:val="both"/>
      </w:pPr>
      <w:r w:rsidRPr="00703DDA">
        <w:t>This section makes it clear that any action after liquidation can be started or continued by the Master or the liquidator. Section 253 also supports this view as it provides that on liquidation:</w:t>
      </w:r>
    </w:p>
    <w:p w:rsidR="00ED53E1" w:rsidRPr="00703DDA" w:rsidRDefault="00ED53E1" w:rsidP="00ED53E1">
      <w:pPr>
        <w:autoSpaceDE w:val="0"/>
        <w:autoSpaceDN w:val="0"/>
        <w:adjustRightInd w:val="0"/>
        <w:ind w:left="1440" w:hanging="720"/>
        <w:jc w:val="both"/>
      </w:pPr>
      <w:r w:rsidRPr="00703DDA">
        <w:t xml:space="preserve">“(1) </w:t>
      </w:r>
      <w:r w:rsidRPr="00703DDA">
        <w:tab/>
        <w:t>All the powers of the directors shall cease except so far as the liquidator or the creditors of the company sanction their continuance.”</w:t>
      </w:r>
    </w:p>
    <w:p w:rsidR="00ED53E1" w:rsidRPr="00703DDA" w:rsidRDefault="00ED53E1" w:rsidP="00ED53E1">
      <w:pPr>
        <w:autoSpaceDE w:val="0"/>
        <w:autoSpaceDN w:val="0"/>
        <w:adjustRightInd w:val="0"/>
        <w:ind w:left="1440" w:hanging="720"/>
        <w:jc w:val="both"/>
      </w:pPr>
    </w:p>
    <w:p w:rsidR="00ED53E1" w:rsidRPr="00703DDA" w:rsidRDefault="00ED53E1" w:rsidP="00ED53E1">
      <w:pPr>
        <w:autoSpaceDE w:val="0"/>
        <w:autoSpaceDN w:val="0"/>
        <w:adjustRightInd w:val="0"/>
        <w:spacing w:line="360" w:lineRule="auto"/>
        <w:ind w:firstLine="720"/>
        <w:jc w:val="both"/>
      </w:pPr>
      <w:r w:rsidRPr="00703DDA">
        <w:t xml:space="preserve">There is in this case no indication that the directors were </w:t>
      </w:r>
      <w:proofErr w:type="spellStart"/>
      <w:r w:rsidRPr="00703DDA">
        <w:t>authorised</w:t>
      </w:r>
      <w:proofErr w:type="spellEnd"/>
      <w:r w:rsidRPr="00703DDA">
        <w:t xml:space="preserve"> to continue with the prosecution of this application.</w:t>
      </w:r>
    </w:p>
    <w:p w:rsidR="00ED53E1" w:rsidRPr="00703DDA" w:rsidRDefault="00ED53E1" w:rsidP="00ED53E1">
      <w:pPr>
        <w:autoSpaceDE w:val="0"/>
        <w:autoSpaceDN w:val="0"/>
        <w:adjustRightInd w:val="0"/>
        <w:spacing w:line="360" w:lineRule="auto"/>
        <w:ind w:firstLine="720"/>
        <w:jc w:val="both"/>
      </w:pPr>
      <w:r w:rsidRPr="00703DDA">
        <w:t xml:space="preserve">It therefore seems to me that the proceedings of </w:t>
      </w:r>
      <w:smartTag w:uri="urn:schemas-microsoft-com:office:smarttags" w:element="date">
        <w:smartTagPr>
          <w:attr w:name="Month" w:val="2"/>
          <w:attr w:name="Day" w:val="24"/>
          <w:attr w:name="Year" w:val="2011"/>
        </w:smartTagPr>
        <w:r w:rsidRPr="00703DDA">
          <w:t>24 February 2011</w:t>
        </w:r>
      </w:smartTag>
      <w:r w:rsidRPr="00703DDA">
        <w:t xml:space="preserve"> were </w:t>
      </w:r>
      <w:proofErr w:type="spellStart"/>
      <w:r w:rsidRPr="00703DDA">
        <w:t>authorised</w:t>
      </w:r>
      <w:proofErr w:type="spellEnd"/>
      <w:r w:rsidRPr="00703DDA">
        <w:t xml:space="preserve"> by persons whose powers to act on behalf of the company had ceased.</w:t>
      </w:r>
    </w:p>
    <w:p w:rsidR="00ED53E1" w:rsidRPr="00703DDA" w:rsidRDefault="00ED53E1" w:rsidP="00ED53E1">
      <w:pPr>
        <w:autoSpaceDE w:val="0"/>
        <w:autoSpaceDN w:val="0"/>
        <w:adjustRightInd w:val="0"/>
        <w:spacing w:line="360" w:lineRule="auto"/>
        <w:ind w:firstLine="720"/>
        <w:jc w:val="both"/>
      </w:pPr>
      <w:r w:rsidRPr="00703DDA">
        <w:t xml:space="preserve">In the result I hold that the proceedings of </w:t>
      </w:r>
      <w:smartTag w:uri="urn:schemas-microsoft-com:office:smarttags" w:element="date">
        <w:smartTagPr>
          <w:attr w:name="Month" w:val="2"/>
          <w:attr w:name="Day" w:val="24"/>
          <w:attr w:name="Year" w:val="2011"/>
        </w:smartTagPr>
        <w:r w:rsidRPr="00703DDA">
          <w:t>24 February</w:t>
        </w:r>
        <w:r>
          <w:t xml:space="preserve"> 2011</w:t>
        </w:r>
      </w:smartTag>
      <w:r w:rsidRPr="00703DDA">
        <w:t xml:space="preserve"> are a nullity as they were not</w:t>
      </w:r>
      <w:r>
        <w:t xml:space="preserve"> by the leave of the court, or</w:t>
      </w:r>
      <w:r w:rsidRPr="00703DDA">
        <w:t xml:space="preserve"> at the instance of the Master or the liquidator. </w:t>
      </w:r>
    </w:p>
    <w:p w:rsidR="00ED53E1" w:rsidRDefault="00ED53E1" w:rsidP="00ED53E1">
      <w:pPr>
        <w:autoSpaceDE w:val="0"/>
        <w:autoSpaceDN w:val="0"/>
        <w:adjustRightInd w:val="0"/>
        <w:spacing w:line="360" w:lineRule="auto"/>
        <w:ind w:firstLine="720"/>
        <w:jc w:val="both"/>
      </w:pPr>
      <w:r w:rsidRPr="00703DDA">
        <w:lastRenderedPageBreak/>
        <w:t xml:space="preserve">The provisions of s 213 (c) of the Companies Act, have the effect of freezing the disposition of </w:t>
      </w:r>
      <w:r>
        <w:t>the company’s assets</w:t>
      </w:r>
      <w:r w:rsidRPr="00703DDA">
        <w:t xml:space="preserve"> including disposition of the company’s rights of action through this application. The use of the word “every disposition” disables me from proceeding with these proceedings, </w:t>
      </w:r>
      <w:proofErr w:type="spellStart"/>
      <w:r w:rsidRPr="00703DDA">
        <w:rPr>
          <w:i/>
        </w:rPr>
        <w:t>mero</w:t>
      </w:r>
      <w:proofErr w:type="spellEnd"/>
      <w:r w:rsidRPr="00703DDA">
        <w:rPr>
          <w:i/>
        </w:rPr>
        <w:t xml:space="preserve"> </w:t>
      </w:r>
      <w:proofErr w:type="spellStart"/>
      <w:r w:rsidRPr="00703DDA">
        <w:rPr>
          <w:i/>
        </w:rPr>
        <w:t>moto</w:t>
      </w:r>
      <w:proofErr w:type="spellEnd"/>
      <w:r w:rsidRPr="00703DDA">
        <w:t xml:space="preserve"> or on the applicants’ application, as it is every disposition which is rendered void unless the court orders otherwise. </w:t>
      </w:r>
    </w:p>
    <w:p w:rsidR="00ED53E1" w:rsidRDefault="00ED53E1" w:rsidP="00ED53E1">
      <w:pPr>
        <w:autoSpaceDE w:val="0"/>
        <w:autoSpaceDN w:val="0"/>
        <w:adjustRightInd w:val="0"/>
        <w:spacing w:line="360" w:lineRule="auto"/>
        <w:ind w:firstLine="720"/>
        <w:jc w:val="both"/>
      </w:pPr>
      <w:r>
        <w:t xml:space="preserve">A judge hearing a chamber application </w:t>
      </w:r>
      <w:proofErr w:type="spellStart"/>
      <w:r>
        <w:t>can not</w:t>
      </w:r>
      <w:proofErr w:type="spellEnd"/>
      <w:r>
        <w:t xml:space="preserve"> make the order referred to in section 213 (c), as such an order can only be made by a court as defined in Order I rule 3 of the High Court Rules 1971. Order 1 rule 3 defines chamber application, court application, court and a judge as follows;</w:t>
      </w:r>
    </w:p>
    <w:p w:rsidR="00ED53E1" w:rsidRPr="00101E0C" w:rsidRDefault="00ED53E1" w:rsidP="00ED53E1">
      <w:pPr>
        <w:autoSpaceDE w:val="0"/>
        <w:autoSpaceDN w:val="0"/>
        <w:adjustRightInd w:val="0"/>
        <w:ind w:left="720"/>
      </w:pPr>
      <w:r w:rsidRPr="00101E0C">
        <w:t>“chamber application” means an application to a judge in terms of paragraph (</w:t>
      </w:r>
      <w:r w:rsidRPr="00101E0C">
        <w:rPr>
          <w:i/>
          <w:iCs/>
        </w:rPr>
        <w:t>b</w:t>
      </w:r>
      <w:r w:rsidRPr="00101E0C">
        <w:t xml:space="preserve">) of </w:t>
      </w:r>
      <w:proofErr w:type="spellStart"/>
      <w:r w:rsidRPr="00101E0C">
        <w:t>subrule</w:t>
      </w:r>
      <w:proofErr w:type="spellEnd"/>
      <w:r w:rsidRPr="00101E0C">
        <w:t xml:space="preserve"> (1) of r 226;</w:t>
      </w:r>
    </w:p>
    <w:p w:rsidR="00ED53E1" w:rsidRPr="00101E0C" w:rsidRDefault="00ED53E1" w:rsidP="00ED53E1">
      <w:pPr>
        <w:autoSpaceDE w:val="0"/>
        <w:autoSpaceDN w:val="0"/>
        <w:adjustRightInd w:val="0"/>
      </w:pPr>
      <w:r w:rsidRPr="00101E0C">
        <w:t xml:space="preserve">            “court” means the general division of the High Court;</w:t>
      </w:r>
    </w:p>
    <w:p w:rsidR="00ED53E1" w:rsidRPr="00101E0C" w:rsidRDefault="00ED53E1" w:rsidP="00ED53E1">
      <w:pPr>
        <w:autoSpaceDE w:val="0"/>
        <w:autoSpaceDN w:val="0"/>
        <w:adjustRightInd w:val="0"/>
        <w:ind w:left="720"/>
      </w:pPr>
      <w:r w:rsidRPr="00101E0C">
        <w:t>“court application” means an application to the court in terms of paragraph (</w:t>
      </w:r>
      <w:r w:rsidRPr="00101E0C">
        <w:rPr>
          <w:i/>
          <w:iCs/>
        </w:rPr>
        <w:t>a</w:t>
      </w:r>
      <w:r w:rsidRPr="00101E0C">
        <w:t xml:space="preserve">) of </w:t>
      </w:r>
      <w:proofErr w:type="spellStart"/>
      <w:r w:rsidRPr="00101E0C">
        <w:t>subrule</w:t>
      </w:r>
      <w:proofErr w:type="spellEnd"/>
      <w:r w:rsidRPr="00101E0C">
        <w:t xml:space="preserve"> (1) of r 226;</w:t>
      </w:r>
    </w:p>
    <w:p w:rsidR="00ED53E1" w:rsidRDefault="00ED53E1" w:rsidP="00ED53E1">
      <w:pPr>
        <w:autoSpaceDE w:val="0"/>
        <w:autoSpaceDN w:val="0"/>
        <w:adjustRightInd w:val="0"/>
        <w:ind w:left="720"/>
      </w:pPr>
      <w:r w:rsidRPr="00101E0C">
        <w:t>“judge” means a judge of the court, sitting otherwise than in open court;”</w:t>
      </w:r>
    </w:p>
    <w:p w:rsidR="00ED53E1" w:rsidRPr="00101E0C" w:rsidRDefault="00ED53E1" w:rsidP="00ED53E1">
      <w:pPr>
        <w:autoSpaceDE w:val="0"/>
        <w:autoSpaceDN w:val="0"/>
        <w:adjustRightInd w:val="0"/>
        <w:ind w:left="720"/>
      </w:pPr>
    </w:p>
    <w:p w:rsidR="00ED53E1" w:rsidRPr="00101E0C" w:rsidRDefault="00ED53E1" w:rsidP="00ED53E1">
      <w:pPr>
        <w:autoSpaceDE w:val="0"/>
        <w:autoSpaceDN w:val="0"/>
        <w:adjustRightInd w:val="0"/>
        <w:spacing w:line="360" w:lineRule="auto"/>
      </w:pPr>
      <w:r w:rsidRPr="00101E0C">
        <w:t>This means where a statute provides that certain things can be done by a court, the doing of such things, must be triggered by a court application to a court. Rule 226 (1) (a) and (b) makes a distinction between court applications and chamber applications and to whom they are made.</w:t>
      </w:r>
    </w:p>
    <w:p w:rsidR="00ED53E1" w:rsidRPr="00703DDA" w:rsidRDefault="00ED53E1" w:rsidP="00ED53E1">
      <w:pPr>
        <w:autoSpaceDE w:val="0"/>
        <w:autoSpaceDN w:val="0"/>
        <w:adjustRightInd w:val="0"/>
        <w:spacing w:line="360" w:lineRule="auto"/>
        <w:jc w:val="both"/>
      </w:pPr>
      <w:r>
        <w:t xml:space="preserve">          </w:t>
      </w:r>
      <w:r w:rsidRPr="00703DDA">
        <w:t>In the result the determination of the applicants’ application is h</w:t>
      </w:r>
      <w:r>
        <w:t xml:space="preserve">eld in abeyance </w:t>
      </w:r>
      <w:r w:rsidRPr="00703DDA">
        <w:t xml:space="preserve">until the applicant takes the necessary steps to enable the court to </w:t>
      </w:r>
      <w:proofErr w:type="spellStart"/>
      <w:r w:rsidRPr="00703DDA">
        <w:t>finalise</w:t>
      </w:r>
      <w:proofErr w:type="spellEnd"/>
      <w:r w:rsidRPr="00703DDA">
        <w:t xml:space="preserve"> the application.</w:t>
      </w:r>
    </w:p>
    <w:p w:rsidR="00ED53E1" w:rsidRPr="00703DDA" w:rsidRDefault="00ED53E1" w:rsidP="00ED53E1">
      <w:pPr>
        <w:autoSpaceDE w:val="0"/>
        <w:autoSpaceDN w:val="0"/>
        <w:adjustRightInd w:val="0"/>
        <w:spacing w:line="360" w:lineRule="auto"/>
        <w:ind w:firstLine="720"/>
        <w:jc w:val="both"/>
      </w:pPr>
    </w:p>
    <w:p w:rsidR="00ED53E1" w:rsidRPr="00703DDA" w:rsidRDefault="00ED53E1" w:rsidP="00ED53E1">
      <w:pPr>
        <w:autoSpaceDE w:val="0"/>
        <w:autoSpaceDN w:val="0"/>
        <w:adjustRightInd w:val="0"/>
        <w:spacing w:line="360" w:lineRule="auto"/>
        <w:ind w:firstLine="720"/>
        <w:jc w:val="both"/>
      </w:pPr>
    </w:p>
    <w:p w:rsidR="00ED53E1" w:rsidRPr="00703DDA" w:rsidRDefault="00ED53E1" w:rsidP="00ED53E1">
      <w:pPr>
        <w:autoSpaceDE w:val="0"/>
        <w:autoSpaceDN w:val="0"/>
        <w:adjustRightInd w:val="0"/>
        <w:spacing w:line="360" w:lineRule="auto"/>
        <w:ind w:firstLine="720"/>
        <w:jc w:val="both"/>
      </w:pPr>
    </w:p>
    <w:p w:rsidR="00ED53E1" w:rsidRPr="00703DDA" w:rsidRDefault="00ED53E1" w:rsidP="00ED53E1">
      <w:pPr>
        <w:autoSpaceDE w:val="0"/>
        <w:autoSpaceDN w:val="0"/>
        <w:adjustRightInd w:val="0"/>
        <w:jc w:val="both"/>
      </w:pPr>
      <w:r w:rsidRPr="00703DDA">
        <w:t xml:space="preserve">  </w:t>
      </w:r>
    </w:p>
    <w:p w:rsidR="00ED53E1" w:rsidRPr="00703DDA" w:rsidRDefault="00ED53E1" w:rsidP="00ED53E1">
      <w:pPr>
        <w:autoSpaceDE w:val="0"/>
        <w:autoSpaceDN w:val="0"/>
        <w:adjustRightInd w:val="0"/>
        <w:jc w:val="both"/>
      </w:pPr>
      <w:proofErr w:type="spellStart"/>
      <w:r w:rsidRPr="00703DDA">
        <w:rPr>
          <w:i/>
        </w:rPr>
        <w:t>Dube</w:t>
      </w:r>
      <w:proofErr w:type="spellEnd"/>
      <w:r w:rsidRPr="00703DDA">
        <w:rPr>
          <w:i/>
        </w:rPr>
        <w:t xml:space="preserve"> </w:t>
      </w:r>
      <w:proofErr w:type="spellStart"/>
      <w:r w:rsidRPr="00703DDA">
        <w:rPr>
          <w:i/>
        </w:rPr>
        <w:t>Manikai</w:t>
      </w:r>
      <w:proofErr w:type="spellEnd"/>
      <w:r w:rsidRPr="00703DDA">
        <w:rPr>
          <w:i/>
        </w:rPr>
        <w:t xml:space="preserve"> &amp; </w:t>
      </w:r>
      <w:proofErr w:type="spellStart"/>
      <w:r w:rsidRPr="00703DDA">
        <w:rPr>
          <w:i/>
        </w:rPr>
        <w:t>Hwacha</w:t>
      </w:r>
      <w:proofErr w:type="spellEnd"/>
      <w:r w:rsidRPr="00703DDA">
        <w:t>, applicants’ legal practitioners</w:t>
      </w:r>
    </w:p>
    <w:p w:rsidR="00ED53E1" w:rsidRDefault="00ED53E1" w:rsidP="00ED53E1">
      <w:pPr>
        <w:autoSpaceDE w:val="0"/>
        <w:autoSpaceDN w:val="0"/>
        <w:adjustRightInd w:val="0"/>
        <w:jc w:val="both"/>
      </w:pPr>
      <w:proofErr w:type="spellStart"/>
      <w:r w:rsidRPr="00703DDA">
        <w:rPr>
          <w:i/>
        </w:rPr>
        <w:t>Scanlen</w:t>
      </w:r>
      <w:proofErr w:type="spellEnd"/>
      <w:r w:rsidRPr="00703DDA">
        <w:rPr>
          <w:i/>
        </w:rPr>
        <w:t xml:space="preserve"> &amp; Holderness</w:t>
      </w:r>
      <w:r w:rsidRPr="00703DDA">
        <w:t>, respondents’ legal practitioners.</w:t>
      </w:r>
    </w:p>
    <w:p w:rsidR="00ED53E1" w:rsidRDefault="00ED53E1" w:rsidP="00ED53E1"/>
    <w:p w:rsidR="003E3CD1" w:rsidRDefault="003E3CD1"/>
    <w:sectPr w:rsidR="003E3CD1">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4D9" w:rsidRDefault="002064D9">
      <w:r>
        <w:separator/>
      </w:r>
    </w:p>
  </w:endnote>
  <w:endnote w:type="continuationSeparator" w:id="0">
    <w:p w:rsidR="002064D9" w:rsidRDefault="00206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4D9" w:rsidRDefault="002064D9">
      <w:r>
        <w:separator/>
      </w:r>
    </w:p>
  </w:footnote>
  <w:footnote w:type="continuationSeparator" w:id="0">
    <w:p w:rsidR="002064D9" w:rsidRDefault="002064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393" w:rsidRDefault="00ED53E1">
    <w:pPr>
      <w:pStyle w:val="Header"/>
      <w:jc w:val="right"/>
      <w:rPr>
        <w:noProof/>
      </w:rPr>
    </w:pPr>
    <w:r>
      <w:fldChar w:fldCharType="begin"/>
    </w:r>
    <w:r>
      <w:instrText xml:space="preserve"> PAGE   \* MERGEFORMAT </w:instrText>
    </w:r>
    <w:r>
      <w:fldChar w:fldCharType="separate"/>
    </w:r>
    <w:r w:rsidR="00095D9D">
      <w:rPr>
        <w:noProof/>
      </w:rPr>
      <w:t>1</w:t>
    </w:r>
    <w:r>
      <w:rPr>
        <w:noProof/>
      </w:rPr>
      <w:fldChar w:fldCharType="end"/>
    </w:r>
  </w:p>
  <w:p w:rsidR="00D31393" w:rsidRDefault="00ED53E1">
    <w:pPr>
      <w:pStyle w:val="Header"/>
      <w:jc w:val="right"/>
      <w:rPr>
        <w:noProof/>
      </w:rPr>
    </w:pPr>
    <w:r>
      <w:rPr>
        <w:noProof/>
      </w:rPr>
      <w:t>HH 130-11</w:t>
    </w:r>
  </w:p>
  <w:p w:rsidR="00D31393" w:rsidRDefault="00ED53E1">
    <w:pPr>
      <w:pStyle w:val="Header"/>
      <w:jc w:val="right"/>
    </w:pPr>
    <w:r>
      <w:rPr>
        <w:noProof/>
      </w:rPr>
      <w:t>HC 7224/10</w:t>
    </w:r>
  </w:p>
  <w:p w:rsidR="00D31393" w:rsidRDefault="002064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A4B66"/>
    <w:multiLevelType w:val="hybridMultilevel"/>
    <w:tmpl w:val="F7344BD8"/>
    <w:lvl w:ilvl="0" w:tplc="0C4AE33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5F465462"/>
    <w:multiLevelType w:val="hybridMultilevel"/>
    <w:tmpl w:val="ABE60976"/>
    <w:lvl w:ilvl="0" w:tplc="94EC8F0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3E1"/>
    <w:rsid w:val="00095D9D"/>
    <w:rsid w:val="002064D9"/>
    <w:rsid w:val="003E3CD1"/>
    <w:rsid w:val="00E90325"/>
    <w:rsid w:val="00ED53E1"/>
    <w:rsid w:val="00FD029F"/>
    <w:rsid w:val="00FF0D3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3E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53E1"/>
    <w:pPr>
      <w:tabs>
        <w:tab w:val="center" w:pos="4513"/>
        <w:tab w:val="right" w:pos="9026"/>
      </w:tabs>
    </w:pPr>
  </w:style>
  <w:style w:type="character" w:customStyle="1" w:styleId="HeaderChar">
    <w:name w:val="Header Char"/>
    <w:basedOn w:val="DefaultParagraphFont"/>
    <w:link w:val="Header"/>
    <w:uiPriority w:val="99"/>
    <w:rsid w:val="00ED53E1"/>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3E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53E1"/>
    <w:pPr>
      <w:tabs>
        <w:tab w:val="center" w:pos="4513"/>
        <w:tab w:val="right" w:pos="9026"/>
      </w:tabs>
    </w:pPr>
  </w:style>
  <w:style w:type="character" w:customStyle="1" w:styleId="HeaderChar">
    <w:name w:val="Header Char"/>
    <w:basedOn w:val="DefaultParagraphFont"/>
    <w:link w:val="Header"/>
    <w:uiPriority w:val="99"/>
    <w:rsid w:val="00ED53E1"/>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1871</Words>
  <Characters>10667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2012-04-05T07:39:00Z</dcterms:created>
  <dcterms:modified xsi:type="dcterms:W3CDTF">2012-04-05T07:39:00Z</dcterms:modified>
</cp:coreProperties>
</file>