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921F0" w14:textId="77777777" w:rsidR="00743640" w:rsidRPr="00DB7BE1" w:rsidRDefault="00743640">
      <w:pPr>
        <w:rPr>
          <w:rFonts w:ascii="Times New Roman" w:hAnsi="Times New Roman" w:cs="Times New Roman"/>
          <w:sz w:val="24"/>
          <w:szCs w:val="24"/>
        </w:rPr>
      </w:pPr>
      <w:bookmarkStart w:id="0" w:name="_GoBack"/>
      <w:bookmarkEnd w:id="0"/>
    </w:p>
    <w:p w14:paraId="7479AD06" w14:textId="77777777" w:rsidR="00DB7BE1" w:rsidRPr="00DB7BE1" w:rsidRDefault="00DB7BE1">
      <w:pPr>
        <w:rPr>
          <w:rFonts w:ascii="Times New Roman" w:hAnsi="Times New Roman" w:cs="Times New Roman"/>
          <w:sz w:val="24"/>
          <w:szCs w:val="24"/>
        </w:rPr>
      </w:pPr>
      <w:r w:rsidRPr="00DB7BE1">
        <w:rPr>
          <w:rFonts w:ascii="Times New Roman" w:hAnsi="Times New Roman" w:cs="Times New Roman"/>
          <w:sz w:val="24"/>
          <w:szCs w:val="24"/>
        </w:rPr>
        <w:t xml:space="preserve">THE TRUSTEES OF KUZOTA THREE FAMILY TRUST N.O </w:t>
      </w:r>
    </w:p>
    <w:p w14:paraId="44D642BB" w14:textId="77777777" w:rsidR="00DB7BE1" w:rsidRPr="00DB7BE1" w:rsidRDefault="00DB7BE1">
      <w:pPr>
        <w:rPr>
          <w:rFonts w:ascii="Times New Roman" w:hAnsi="Times New Roman" w:cs="Times New Roman"/>
          <w:sz w:val="24"/>
          <w:szCs w:val="24"/>
        </w:rPr>
      </w:pPr>
      <w:r w:rsidRPr="00DB7BE1">
        <w:rPr>
          <w:rFonts w:ascii="Times New Roman" w:hAnsi="Times New Roman" w:cs="Times New Roman"/>
          <w:sz w:val="24"/>
          <w:szCs w:val="24"/>
        </w:rPr>
        <w:t>Versus</w:t>
      </w:r>
    </w:p>
    <w:p w14:paraId="042AB83F" w14:textId="7AE925E7" w:rsidR="00DB7BE1" w:rsidRPr="00DB7BE1" w:rsidRDefault="00DB7BE1">
      <w:pPr>
        <w:rPr>
          <w:rFonts w:ascii="Times New Roman" w:hAnsi="Times New Roman" w:cs="Times New Roman"/>
          <w:sz w:val="24"/>
          <w:szCs w:val="24"/>
        </w:rPr>
      </w:pPr>
      <w:r w:rsidRPr="00DB7BE1">
        <w:rPr>
          <w:rFonts w:ascii="Times New Roman" w:hAnsi="Times New Roman" w:cs="Times New Roman"/>
          <w:sz w:val="24"/>
          <w:szCs w:val="24"/>
        </w:rPr>
        <w:t>DIAMOND PRECISION (PVT) LTD</w:t>
      </w:r>
      <w:r w:rsidR="003821FB">
        <w:rPr>
          <w:rFonts w:ascii="Times New Roman" w:hAnsi="Times New Roman" w:cs="Times New Roman"/>
          <w:sz w:val="24"/>
          <w:szCs w:val="24"/>
        </w:rPr>
        <w:t xml:space="preserve"> </w:t>
      </w:r>
    </w:p>
    <w:p w14:paraId="071925EB" w14:textId="77777777" w:rsidR="00DB7BE1" w:rsidRPr="00DB7BE1" w:rsidRDefault="00DB7BE1">
      <w:pPr>
        <w:rPr>
          <w:rFonts w:ascii="Times New Roman" w:hAnsi="Times New Roman" w:cs="Times New Roman"/>
          <w:sz w:val="24"/>
          <w:szCs w:val="24"/>
        </w:rPr>
      </w:pPr>
    </w:p>
    <w:p w14:paraId="54132004" w14:textId="60C2D866" w:rsidR="00DB7BE1" w:rsidRPr="00DB7BE1" w:rsidRDefault="00DB7BE1" w:rsidP="00DB7BE1">
      <w:pPr>
        <w:pStyle w:val="NoSpacing"/>
        <w:rPr>
          <w:rFonts w:ascii="Times New Roman" w:hAnsi="Times New Roman" w:cs="Times New Roman"/>
          <w:sz w:val="24"/>
          <w:szCs w:val="24"/>
        </w:rPr>
      </w:pPr>
      <w:r w:rsidRPr="00DB7BE1">
        <w:rPr>
          <w:rFonts w:ascii="Times New Roman" w:hAnsi="Times New Roman" w:cs="Times New Roman"/>
          <w:sz w:val="24"/>
          <w:szCs w:val="24"/>
        </w:rPr>
        <w:t>HIGH COURT OF ZIMBABWE</w:t>
      </w:r>
    </w:p>
    <w:p w14:paraId="1EC13404" w14:textId="26F088DA" w:rsidR="00DB7BE1" w:rsidRPr="00DB7BE1" w:rsidRDefault="00DB7BE1" w:rsidP="00DB7BE1">
      <w:pPr>
        <w:pStyle w:val="NoSpacing"/>
        <w:rPr>
          <w:rFonts w:ascii="Times New Roman" w:hAnsi="Times New Roman" w:cs="Times New Roman"/>
          <w:sz w:val="24"/>
          <w:szCs w:val="24"/>
        </w:rPr>
      </w:pPr>
      <w:r w:rsidRPr="00DB7BE1">
        <w:rPr>
          <w:rFonts w:ascii="Times New Roman" w:hAnsi="Times New Roman" w:cs="Times New Roman"/>
          <w:sz w:val="24"/>
          <w:szCs w:val="24"/>
        </w:rPr>
        <w:t>COMMERCIAL DIVISION</w:t>
      </w:r>
    </w:p>
    <w:p w14:paraId="5A4AD2F1" w14:textId="356DF0CD" w:rsidR="00DB7BE1" w:rsidRPr="00DB7BE1" w:rsidRDefault="00DB7BE1" w:rsidP="00DB7BE1">
      <w:pPr>
        <w:pStyle w:val="NoSpacing"/>
        <w:rPr>
          <w:rFonts w:ascii="Times New Roman" w:hAnsi="Times New Roman" w:cs="Times New Roman"/>
          <w:sz w:val="24"/>
          <w:szCs w:val="24"/>
        </w:rPr>
      </w:pPr>
      <w:r w:rsidRPr="00DB7BE1">
        <w:rPr>
          <w:rFonts w:ascii="Times New Roman" w:hAnsi="Times New Roman" w:cs="Times New Roman"/>
          <w:sz w:val="24"/>
          <w:szCs w:val="24"/>
        </w:rPr>
        <w:t>CHILIMBE J</w:t>
      </w:r>
    </w:p>
    <w:p w14:paraId="1CB3246A" w14:textId="31973571" w:rsidR="00DB7BE1" w:rsidRPr="00DB7BE1" w:rsidRDefault="00DB7BE1" w:rsidP="00DB7BE1">
      <w:pPr>
        <w:pStyle w:val="NoSpacing"/>
        <w:rPr>
          <w:rFonts w:ascii="Times New Roman" w:hAnsi="Times New Roman" w:cs="Times New Roman"/>
          <w:sz w:val="24"/>
          <w:szCs w:val="24"/>
        </w:rPr>
      </w:pPr>
      <w:r w:rsidRPr="00DB7BE1">
        <w:rPr>
          <w:rFonts w:ascii="Times New Roman" w:hAnsi="Times New Roman" w:cs="Times New Roman"/>
          <w:sz w:val="24"/>
          <w:szCs w:val="24"/>
        </w:rPr>
        <w:t xml:space="preserve">HARARE 26 September </w:t>
      </w:r>
      <w:r w:rsidR="00C6616E">
        <w:rPr>
          <w:rFonts w:ascii="Times New Roman" w:hAnsi="Times New Roman" w:cs="Times New Roman"/>
          <w:sz w:val="24"/>
          <w:szCs w:val="24"/>
        </w:rPr>
        <w:t>&amp;</w:t>
      </w:r>
      <w:r w:rsidRPr="00DB7BE1">
        <w:rPr>
          <w:rFonts w:ascii="Times New Roman" w:hAnsi="Times New Roman" w:cs="Times New Roman"/>
          <w:sz w:val="24"/>
          <w:szCs w:val="24"/>
        </w:rPr>
        <w:t xml:space="preserve"> </w:t>
      </w:r>
      <w:r w:rsidR="00C6616E">
        <w:rPr>
          <w:rFonts w:ascii="Times New Roman" w:hAnsi="Times New Roman" w:cs="Times New Roman"/>
          <w:sz w:val="24"/>
          <w:szCs w:val="24"/>
        </w:rPr>
        <w:t>9</w:t>
      </w:r>
      <w:r w:rsidRPr="00DB7BE1">
        <w:rPr>
          <w:rFonts w:ascii="Times New Roman" w:hAnsi="Times New Roman" w:cs="Times New Roman"/>
          <w:sz w:val="24"/>
          <w:szCs w:val="24"/>
        </w:rPr>
        <w:t xml:space="preserve"> October 2024</w:t>
      </w:r>
    </w:p>
    <w:p w14:paraId="26915026" w14:textId="77777777" w:rsidR="00DB7BE1" w:rsidRPr="00DB7BE1" w:rsidRDefault="00DB7BE1" w:rsidP="00DB7BE1">
      <w:pPr>
        <w:pStyle w:val="NoSpacing"/>
        <w:rPr>
          <w:rFonts w:ascii="Times New Roman" w:hAnsi="Times New Roman" w:cs="Times New Roman"/>
          <w:sz w:val="24"/>
          <w:szCs w:val="24"/>
        </w:rPr>
      </w:pPr>
    </w:p>
    <w:p w14:paraId="29061875" w14:textId="3352F6D5" w:rsidR="00DB7BE1" w:rsidRPr="00DB7BE1" w:rsidRDefault="00DB7BE1">
      <w:pPr>
        <w:rPr>
          <w:rFonts w:ascii="Times New Roman" w:hAnsi="Times New Roman" w:cs="Times New Roman"/>
          <w:b/>
          <w:bCs/>
          <w:sz w:val="24"/>
          <w:szCs w:val="24"/>
        </w:rPr>
      </w:pPr>
      <w:r w:rsidRPr="00DB7BE1">
        <w:rPr>
          <w:rFonts w:ascii="Times New Roman" w:hAnsi="Times New Roman" w:cs="Times New Roman"/>
          <w:b/>
          <w:bCs/>
          <w:sz w:val="24"/>
          <w:szCs w:val="24"/>
        </w:rPr>
        <w:t xml:space="preserve">Opposed application </w:t>
      </w:r>
    </w:p>
    <w:p w14:paraId="6DE32632" w14:textId="77777777" w:rsidR="00DB7BE1" w:rsidRPr="00DB7BE1" w:rsidRDefault="00DB7BE1">
      <w:pPr>
        <w:rPr>
          <w:rFonts w:ascii="Times New Roman" w:hAnsi="Times New Roman" w:cs="Times New Roman"/>
          <w:sz w:val="24"/>
          <w:szCs w:val="24"/>
        </w:rPr>
      </w:pPr>
    </w:p>
    <w:p w14:paraId="631A1BBA" w14:textId="27E91AC9" w:rsidR="00DB7BE1" w:rsidRPr="00DB7BE1" w:rsidRDefault="00DB7BE1" w:rsidP="00DB7BE1">
      <w:pPr>
        <w:pStyle w:val="NoSpacing"/>
        <w:rPr>
          <w:rFonts w:ascii="Times New Roman" w:hAnsi="Times New Roman" w:cs="Times New Roman"/>
          <w:sz w:val="24"/>
          <w:szCs w:val="24"/>
        </w:rPr>
      </w:pPr>
      <w:r w:rsidRPr="00DB7BE1">
        <w:rPr>
          <w:rFonts w:ascii="Times New Roman" w:hAnsi="Times New Roman" w:cs="Times New Roman"/>
          <w:i/>
          <w:iCs/>
          <w:sz w:val="24"/>
          <w:szCs w:val="24"/>
        </w:rPr>
        <w:t>V.Mhungu</w:t>
      </w:r>
      <w:r w:rsidRPr="00DB7BE1">
        <w:rPr>
          <w:rFonts w:ascii="Times New Roman" w:hAnsi="Times New Roman" w:cs="Times New Roman"/>
          <w:sz w:val="24"/>
          <w:szCs w:val="24"/>
        </w:rPr>
        <w:t xml:space="preserve"> for applicant</w:t>
      </w:r>
      <w:r w:rsidR="00110C94">
        <w:rPr>
          <w:rFonts w:ascii="Times New Roman" w:hAnsi="Times New Roman" w:cs="Times New Roman"/>
          <w:sz w:val="24"/>
          <w:szCs w:val="24"/>
        </w:rPr>
        <w:t>s</w:t>
      </w:r>
    </w:p>
    <w:p w14:paraId="214EE1AD" w14:textId="0A2EADE9" w:rsidR="00DB7BE1" w:rsidRPr="00DB7BE1" w:rsidRDefault="00DB7BE1" w:rsidP="00DB7BE1">
      <w:pPr>
        <w:pStyle w:val="NoSpacing"/>
        <w:rPr>
          <w:rFonts w:ascii="Times New Roman" w:hAnsi="Times New Roman" w:cs="Times New Roman"/>
          <w:sz w:val="24"/>
          <w:szCs w:val="24"/>
        </w:rPr>
      </w:pPr>
      <w:r w:rsidRPr="00DB7BE1">
        <w:rPr>
          <w:rFonts w:ascii="Times New Roman" w:hAnsi="Times New Roman" w:cs="Times New Roman"/>
          <w:i/>
          <w:iCs/>
          <w:sz w:val="24"/>
          <w:szCs w:val="24"/>
        </w:rPr>
        <w:t>T. Madzvamuse</w:t>
      </w:r>
      <w:r w:rsidRPr="00DB7BE1">
        <w:rPr>
          <w:rFonts w:ascii="Times New Roman" w:hAnsi="Times New Roman" w:cs="Times New Roman"/>
          <w:sz w:val="24"/>
          <w:szCs w:val="24"/>
        </w:rPr>
        <w:t xml:space="preserve"> for respondent </w:t>
      </w:r>
    </w:p>
    <w:p w14:paraId="4BFE997D" w14:textId="77777777" w:rsidR="00DB7BE1" w:rsidRPr="00DB7BE1" w:rsidRDefault="00DB7BE1" w:rsidP="00DB7BE1">
      <w:pPr>
        <w:pStyle w:val="NoSpacing"/>
        <w:rPr>
          <w:rFonts w:ascii="Times New Roman" w:hAnsi="Times New Roman" w:cs="Times New Roman"/>
          <w:sz w:val="24"/>
          <w:szCs w:val="24"/>
        </w:rPr>
      </w:pPr>
    </w:p>
    <w:p w14:paraId="71CD2549" w14:textId="423D1ACB" w:rsidR="00DB7BE1" w:rsidRPr="00DB7BE1" w:rsidRDefault="00DB7BE1" w:rsidP="00DB7BE1">
      <w:pPr>
        <w:pStyle w:val="NoSpacing"/>
        <w:rPr>
          <w:rFonts w:ascii="Times New Roman" w:hAnsi="Times New Roman" w:cs="Times New Roman"/>
          <w:sz w:val="24"/>
          <w:szCs w:val="24"/>
        </w:rPr>
      </w:pPr>
      <w:r w:rsidRPr="00DB7BE1">
        <w:rPr>
          <w:rFonts w:ascii="Times New Roman" w:hAnsi="Times New Roman" w:cs="Times New Roman"/>
          <w:sz w:val="24"/>
          <w:szCs w:val="24"/>
        </w:rPr>
        <w:t>CHILIMBE J</w:t>
      </w:r>
    </w:p>
    <w:p w14:paraId="67F1C1EF" w14:textId="77777777" w:rsidR="00DB7BE1" w:rsidRPr="00DB7BE1" w:rsidRDefault="00DB7BE1" w:rsidP="00DB7BE1">
      <w:pPr>
        <w:pStyle w:val="NoSpacing"/>
        <w:rPr>
          <w:rFonts w:ascii="Times New Roman" w:hAnsi="Times New Roman" w:cs="Times New Roman"/>
          <w:sz w:val="24"/>
          <w:szCs w:val="24"/>
        </w:rPr>
      </w:pPr>
    </w:p>
    <w:p w14:paraId="4DA8278F" w14:textId="657E3750" w:rsidR="00DB7BE1" w:rsidRPr="00DB7BE1" w:rsidRDefault="00DB7BE1" w:rsidP="00DB7BE1">
      <w:pPr>
        <w:pStyle w:val="NoSpacing"/>
        <w:rPr>
          <w:rFonts w:ascii="Times New Roman" w:hAnsi="Times New Roman" w:cs="Times New Roman"/>
          <w:sz w:val="24"/>
          <w:szCs w:val="24"/>
        </w:rPr>
      </w:pPr>
      <w:r w:rsidRPr="00DB7BE1">
        <w:rPr>
          <w:rFonts w:ascii="Times New Roman" w:hAnsi="Times New Roman" w:cs="Times New Roman"/>
          <w:sz w:val="24"/>
          <w:szCs w:val="24"/>
        </w:rPr>
        <w:t>BACKGROUND</w:t>
      </w:r>
    </w:p>
    <w:p w14:paraId="0BD84F25" w14:textId="77777777" w:rsidR="00DB7BE1" w:rsidRPr="00DB7BE1" w:rsidRDefault="00DB7BE1" w:rsidP="00DB7BE1">
      <w:pPr>
        <w:pStyle w:val="NoSpacing"/>
        <w:rPr>
          <w:rFonts w:ascii="Times New Roman" w:hAnsi="Times New Roman" w:cs="Times New Roman"/>
          <w:sz w:val="24"/>
          <w:szCs w:val="24"/>
        </w:rPr>
      </w:pPr>
    </w:p>
    <w:p w14:paraId="0062FF50" w14:textId="5DB958CB" w:rsidR="00AA1E7E" w:rsidRDefault="00DB7BE1" w:rsidP="007A775B">
      <w:pPr>
        <w:pStyle w:val="NoSpacing"/>
        <w:spacing w:line="360" w:lineRule="auto"/>
        <w:jc w:val="both"/>
        <w:rPr>
          <w:rFonts w:ascii="Times New Roman" w:hAnsi="Times New Roman" w:cs="Times New Roman"/>
          <w:sz w:val="24"/>
          <w:szCs w:val="24"/>
        </w:rPr>
      </w:pPr>
      <w:r w:rsidRPr="007A775B">
        <w:rPr>
          <w:rFonts w:ascii="Times New Roman" w:hAnsi="Times New Roman" w:cs="Times New Roman"/>
          <w:sz w:val="24"/>
          <w:szCs w:val="24"/>
        </w:rPr>
        <w:t xml:space="preserve">[1] </w:t>
      </w:r>
      <w:r w:rsidR="003821FB">
        <w:rPr>
          <w:rFonts w:ascii="Times New Roman" w:hAnsi="Times New Roman" w:cs="Times New Roman"/>
          <w:sz w:val="24"/>
          <w:szCs w:val="24"/>
        </w:rPr>
        <w:t xml:space="preserve">This application may well have </w:t>
      </w:r>
      <w:r w:rsidR="003821FB" w:rsidRPr="007A775B">
        <w:rPr>
          <w:rFonts w:ascii="Times New Roman" w:hAnsi="Times New Roman" w:cs="Times New Roman"/>
          <w:sz w:val="24"/>
          <w:szCs w:val="24"/>
        </w:rPr>
        <w:t xml:space="preserve">been avoided had </w:t>
      </w:r>
      <w:r w:rsidR="00C47AA5">
        <w:rPr>
          <w:rFonts w:ascii="Times New Roman" w:hAnsi="Times New Roman" w:cs="Times New Roman"/>
          <w:sz w:val="24"/>
          <w:szCs w:val="24"/>
        </w:rPr>
        <w:t xml:space="preserve">the </w:t>
      </w:r>
      <w:r w:rsidR="003821FB" w:rsidRPr="007A775B">
        <w:rPr>
          <w:rFonts w:ascii="Times New Roman" w:hAnsi="Times New Roman" w:cs="Times New Roman"/>
          <w:sz w:val="24"/>
          <w:szCs w:val="24"/>
        </w:rPr>
        <w:t>applicant</w:t>
      </w:r>
      <w:r w:rsidR="00C47AA5">
        <w:rPr>
          <w:rFonts w:ascii="Times New Roman" w:hAnsi="Times New Roman" w:cs="Times New Roman"/>
          <w:sz w:val="24"/>
          <w:szCs w:val="24"/>
        </w:rPr>
        <w:t>s`</w:t>
      </w:r>
      <w:r w:rsidR="003821FB" w:rsidRPr="007A775B">
        <w:rPr>
          <w:rFonts w:ascii="Times New Roman" w:hAnsi="Times New Roman" w:cs="Times New Roman"/>
          <w:sz w:val="24"/>
          <w:szCs w:val="24"/>
        </w:rPr>
        <w:t xml:space="preserve"> counsel</w:t>
      </w:r>
      <w:r w:rsidR="003821FB">
        <w:rPr>
          <w:rFonts w:ascii="Times New Roman" w:hAnsi="Times New Roman" w:cs="Times New Roman"/>
          <w:sz w:val="24"/>
          <w:szCs w:val="24"/>
        </w:rPr>
        <w:t xml:space="preserve"> capitalised on the facility provided by </w:t>
      </w:r>
      <w:r w:rsidR="003821FB" w:rsidRPr="007A775B">
        <w:rPr>
          <w:rFonts w:ascii="Times New Roman" w:hAnsi="Times New Roman" w:cs="Times New Roman"/>
          <w:sz w:val="24"/>
          <w:szCs w:val="24"/>
        </w:rPr>
        <w:t xml:space="preserve">rule </w:t>
      </w:r>
      <w:r w:rsidR="003821FB">
        <w:rPr>
          <w:rFonts w:ascii="Times New Roman" w:hAnsi="Times New Roman" w:cs="Times New Roman"/>
          <w:sz w:val="24"/>
          <w:szCs w:val="24"/>
        </w:rPr>
        <w:t xml:space="preserve">53 (2) </w:t>
      </w:r>
      <w:r w:rsidR="003821FB" w:rsidRPr="007A775B">
        <w:rPr>
          <w:rFonts w:ascii="Times New Roman" w:hAnsi="Times New Roman" w:cs="Times New Roman"/>
          <w:sz w:val="24"/>
          <w:szCs w:val="24"/>
        </w:rPr>
        <w:t>of the High Court (Commercial Division) Rules SI 123-20 (“the Commercial Court Rules”)</w:t>
      </w:r>
      <w:r w:rsidR="00771D84">
        <w:rPr>
          <w:rFonts w:ascii="Times New Roman" w:hAnsi="Times New Roman" w:cs="Times New Roman"/>
          <w:sz w:val="24"/>
          <w:szCs w:val="24"/>
        </w:rPr>
        <w:t xml:space="preserve"> to manage postponements</w:t>
      </w:r>
      <w:r w:rsidR="003821FB" w:rsidRPr="007A775B">
        <w:rPr>
          <w:rFonts w:ascii="Times New Roman" w:hAnsi="Times New Roman" w:cs="Times New Roman"/>
          <w:sz w:val="24"/>
          <w:szCs w:val="24"/>
        </w:rPr>
        <w:t>.</w:t>
      </w:r>
    </w:p>
    <w:p w14:paraId="187639DD" w14:textId="77777777" w:rsidR="00AA1E7E" w:rsidRDefault="00AA1E7E" w:rsidP="007A775B">
      <w:pPr>
        <w:pStyle w:val="NoSpacing"/>
        <w:spacing w:line="360" w:lineRule="auto"/>
        <w:jc w:val="both"/>
        <w:rPr>
          <w:rFonts w:ascii="Times New Roman" w:hAnsi="Times New Roman" w:cs="Times New Roman"/>
          <w:sz w:val="24"/>
          <w:szCs w:val="24"/>
        </w:rPr>
      </w:pPr>
    </w:p>
    <w:p w14:paraId="51149CAB" w14:textId="7DA551FC" w:rsidR="003821FB" w:rsidRDefault="008C55B0" w:rsidP="007A775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7A775B">
        <w:rPr>
          <w:rFonts w:ascii="Times New Roman" w:hAnsi="Times New Roman" w:cs="Times New Roman"/>
          <w:sz w:val="24"/>
          <w:szCs w:val="24"/>
        </w:rPr>
        <w:t>As</w:t>
      </w:r>
      <w:r w:rsidR="003821FB">
        <w:rPr>
          <w:rFonts w:ascii="Times New Roman" w:hAnsi="Times New Roman" w:cs="Times New Roman"/>
          <w:sz w:val="24"/>
          <w:szCs w:val="24"/>
        </w:rPr>
        <w:t xml:space="preserve"> a result</w:t>
      </w:r>
      <w:r>
        <w:rPr>
          <w:rFonts w:ascii="Times New Roman" w:hAnsi="Times New Roman" w:cs="Times New Roman"/>
          <w:sz w:val="24"/>
          <w:szCs w:val="24"/>
        </w:rPr>
        <w:t>,</w:t>
      </w:r>
      <w:r w:rsidR="003821FB">
        <w:rPr>
          <w:rFonts w:ascii="Times New Roman" w:hAnsi="Times New Roman" w:cs="Times New Roman"/>
          <w:sz w:val="24"/>
          <w:szCs w:val="24"/>
        </w:rPr>
        <w:t xml:space="preserve"> </w:t>
      </w:r>
      <w:r>
        <w:rPr>
          <w:rFonts w:ascii="Times New Roman" w:hAnsi="Times New Roman" w:cs="Times New Roman"/>
          <w:sz w:val="24"/>
          <w:szCs w:val="24"/>
        </w:rPr>
        <w:t>applicant</w:t>
      </w:r>
      <w:r w:rsidR="00C47AA5">
        <w:rPr>
          <w:rFonts w:ascii="Times New Roman" w:hAnsi="Times New Roman" w:cs="Times New Roman"/>
          <w:sz w:val="24"/>
          <w:szCs w:val="24"/>
        </w:rPr>
        <w:t>s</w:t>
      </w:r>
      <w:r>
        <w:rPr>
          <w:rFonts w:ascii="Times New Roman" w:hAnsi="Times New Roman" w:cs="Times New Roman"/>
          <w:sz w:val="24"/>
          <w:szCs w:val="24"/>
        </w:rPr>
        <w:t xml:space="preserve"> failed </w:t>
      </w:r>
      <w:r w:rsidR="003821FB">
        <w:rPr>
          <w:rFonts w:ascii="Times New Roman" w:hAnsi="Times New Roman" w:cs="Times New Roman"/>
          <w:sz w:val="24"/>
          <w:szCs w:val="24"/>
        </w:rPr>
        <w:t>to meet a set down commitment at 12:00 noon on 27 June 2024.</w:t>
      </w:r>
      <w:r>
        <w:rPr>
          <w:rFonts w:ascii="Times New Roman" w:hAnsi="Times New Roman" w:cs="Times New Roman"/>
          <w:sz w:val="24"/>
          <w:szCs w:val="24"/>
        </w:rPr>
        <w:t xml:space="preserve">I proceeded to strike </w:t>
      </w:r>
      <w:r w:rsidR="00771D84">
        <w:rPr>
          <w:rFonts w:ascii="Times New Roman" w:hAnsi="Times New Roman" w:cs="Times New Roman"/>
          <w:sz w:val="24"/>
          <w:szCs w:val="24"/>
        </w:rPr>
        <w:t xml:space="preserve">its matter </w:t>
      </w:r>
      <w:r>
        <w:rPr>
          <w:rFonts w:ascii="Times New Roman" w:hAnsi="Times New Roman" w:cs="Times New Roman"/>
          <w:sz w:val="24"/>
          <w:szCs w:val="24"/>
        </w:rPr>
        <w:t xml:space="preserve">off the roll with </w:t>
      </w:r>
      <w:r w:rsidR="00771D84">
        <w:rPr>
          <w:rFonts w:ascii="Times New Roman" w:hAnsi="Times New Roman" w:cs="Times New Roman"/>
          <w:sz w:val="24"/>
          <w:szCs w:val="24"/>
        </w:rPr>
        <w:t>costs. Applicant</w:t>
      </w:r>
      <w:r w:rsidR="00C47AA5">
        <w:rPr>
          <w:rFonts w:ascii="Times New Roman" w:hAnsi="Times New Roman" w:cs="Times New Roman"/>
          <w:sz w:val="24"/>
          <w:szCs w:val="24"/>
        </w:rPr>
        <w:t>s</w:t>
      </w:r>
      <w:r w:rsidR="00771D84">
        <w:rPr>
          <w:rFonts w:ascii="Times New Roman" w:hAnsi="Times New Roman" w:cs="Times New Roman"/>
          <w:sz w:val="24"/>
          <w:szCs w:val="24"/>
        </w:rPr>
        <w:t xml:space="preserve"> had in that </w:t>
      </w:r>
      <w:r w:rsidR="00AA1E7E">
        <w:rPr>
          <w:rFonts w:ascii="Times New Roman" w:hAnsi="Times New Roman" w:cs="Times New Roman"/>
          <w:sz w:val="24"/>
          <w:szCs w:val="24"/>
        </w:rPr>
        <w:t xml:space="preserve">matter sought </w:t>
      </w:r>
      <w:r w:rsidR="003821FB">
        <w:rPr>
          <w:rFonts w:ascii="Times New Roman" w:hAnsi="Times New Roman" w:cs="Times New Roman"/>
          <w:sz w:val="24"/>
          <w:szCs w:val="24"/>
        </w:rPr>
        <w:t>an order to place respondent under corporate rescue in terms of section 124 of the Insolvency Act [Chapter 6:07]</w:t>
      </w:r>
      <w:r>
        <w:rPr>
          <w:rFonts w:ascii="Times New Roman" w:hAnsi="Times New Roman" w:cs="Times New Roman"/>
          <w:sz w:val="24"/>
          <w:szCs w:val="24"/>
        </w:rPr>
        <w:t>.</w:t>
      </w:r>
    </w:p>
    <w:p w14:paraId="7CED72C3" w14:textId="77777777" w:rsidR="008C55B0" w:rsidRDefault="008C55B0" w:rsidP="007A775B">
      <w:pPr>
        <w:pStyle w:val="NoSpacing"/>
        <w:spacing w:line="360" w:lineRule="auto"/>
        <w:jc w:val="both"/>
        <w:rPr>
          <w:rFonts w:ascii="Times New Roman" w:hAnsi="Times New Roman" w:cs="Times New Roman"/>
          <w:sz w:val="24"/>
          <w:szCs w:val="24"/>
        </w:rPr>
      </w:pPr>
    </w:p>
    <w:p w14:paraId="151F6234" w14:textId="4A4727E8" w:rsidR="00DB7BE1" w:rsidRPr="007A775B" w:rsidRDefault="003821FB" w:rsidP="007A775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C55B0">
        <w:rPr>
          <w:rFonts w:ascii="Times New Roman" w:hAnsi="Times New Roman" w:cs="Times New Roman"/>
          <w:sz w:val="24"/>
          <w:szCs w:val="24"/>
        </w:rPr>
        <w:t>3</w:t>
      </w:r>
      <w:r>
        <w:rPr>
          <w:rFonts w:ascii="Times New Roman" w:hAnsi="Times New Roman" w:cs="Times New Roman"/>
          <w:sz w:val="24"/>
          <w:szCs w:val="24"/>
        </w:rPr>
        <w:t>] Applicant</w:t>
      </w:r>
      <w:r w:rsidR="00C47AA5">
        <w:rPr>
          <w:rFonts w:ascii="Times New Roman" w:hAnsi="Times New Roman" w:cs="Times New Roman"/>
          <w:sz w:val="24"/>
          <w:szCs w:val="24"/>
        </w:rPr>
        <w:t>s</w:t>
      </w:r>
      <w:r>
        <w:rPr>
          <w:rFonts w:ascii="Times New Roman" w:hAnsi="Times New Roman" w:cs="Times New Roman"/>
          <w:sz w:val="24"/>
          <w:szCs w:val="24"/>
        </w:rPr>
        <w:t xml:space="preserve"> filed present application 9 days </w:t>
      </w:r>
      <w:r w:rsidR="008C55B0">
        <w:rPr>
          <w:rFonts w:ascii="Times New Roman" w:hAnsi="Times New Roman" w:cs="Times New Roman"/>
          <w:sz w:val="24"/>
          <w:szCs w:val="24"/>
        </w:rPr>
        <w:t>later. It prayed for a condonation</w:t>
      </w:r>
      <w:r>
        <w:rPr>
          <w:rFonts w:ascii="Times New Roman" w:hAnsi="Times New Roman" w:cs="Times New Roman"/>
          <w:sz w:val="24"/>
          <w:szCs w:val="24"/>
        </w:rPr>
        <w:t xml:space="preserve"> </w:t>
      </w:r>
      <w:r w:rsidR="008C55B0">
        <w:rPr>
          <w:rFonts w:ascii="Times New Roman" w:hAnsi="Times New Roman" w:cs="Times New Roman"/>
          <w:sz w:val="24"/>
          <w:szCs w:val="24"/>
        </w:rPr>
        <w:t>of breach of rule 53 (2),</w:t>
      </w:r>
      <w:r>
        <w:rPr>
          <w:rFonts w:ascii="Times New Roman" w:hAnsi="Times New Roman" w:cs="Times New Roman"/>
          <w:sz w:val="24"/>
          <w:szCs w:val="24"/>
        </w:rPr>
        <w:t xml:space="preserve"> as well as an order reinstating its original application. </w:t>
      </w:r>
      <w:r w:rsidR="007A775B" w:rsidRPr="007A775B">
        <w:rPr>
          <w:rFonts w:ascii="Times New Roman" w:hAnsi="Times New Roman" w:cs="Times New Roman"/>
          <w:sz w:val="24"/>
          <w:szCs w:val="24"/>
        </w:rPr>
        <w:t>I</w:t>
      </w:r>
      <w:r w:rsidR="003F5130">
        <w:rPr>
          <w:rFonts w:ascii="Times New Roman" w:hAnsi="Times New Roman" w:cs="Times New Roman"/>
          <w:sz w:val="24"/>
          <w:szCs w:val="24"/>
        </w:rPr>
        <w:t xml:space="preserve"> </w:t>
      </w:r>
      <w:r w:rsidR="008C55B0">
        <w:rPr>
          <w:rFonts w:ascii="Times New Roman" w:hAnsi="Times New Roman" w:cs="Times New Roman"/>
          <w:sz w:val="24"/>
          <w:szCs w:val="24"/>
        </w:rPr>
        <w:t>commence by discussing rule</w:t>
      </w:r>
      <w:r w:rsidR="002053E7">
        <w:rPr>
          <w:rFonts w:ascii="Times New Roman" w:hAnsi="Times New Roman" w:cs="Times New Roman"/>
          <w:sz w:val="24"/>
          <w:szCs w:val="24"/>
        </w:rPr>
        <w:t xml:space="preserve"> 53 (2) </w:t>
      </w:r>
      <w:r w:rsidR="008C55B0">
        <w:rPr>
          <w:rFonts w:ascii="Times New Roman" w:hAnsi="Times New Roman" w:cs="Times New Roman"/>
          <w:sz w:val="24"/>
          <w:szCs w:val="24"/>
        </w:rPr>
        <w:t xml:space="preserve">which I reproduce hereunder </w:t>
      </w:r>
      <w:r w:rsidR="002053E7">
        <w:rPr>
          <w:rFonts w:ascii="Times New Roman" w:hAnsi="Times New Roman" w:cs="Times New Roman"/>
          <w:sz w:val="24"/>
          <w:szCs w:val="24"/>
        </w:rPr>
        <w:t>in</w:t>
      </w:r>
      <w:r w:rsidR="007A775B" w:rsidRPr="007A775B">
        <w:rPr>
          <w:rFonts w:ascii="Times New Roman" w:hAnsi="Times New Roman" w:cs="Times New Roman"/>
          <w:sz w:val="24"/>
          <w:szCs w:val="24"/>
        </w:rPr>
        <w:t xml:space="preserve"> </w:t>
      </w:r>
      <w:r w:rsidR="00572BEE">
        <w:rPr>
          <w:rFonts w:ascii="Times New Roman" w:hAnsi="Times New Roman" w:cs="Times New Roman"/>
          <w:sz w:val="24"/>
          <w:szCs w:val="24"/>
        </w:rPr>
        <w:t>full</w:t>
      </w:r>
      <w:r w:rsidR="007A775B" w:rsidRPr="007A775B">
        <w:rPr>
          <w:rFonts w:ascii="Times New Roman" w:hAnsi="Times New Roman" w:cs="Times New Roman"/>
          <w:sz w:val="24"/>
          <w:szCs w:val="24"/>
        </w:rPr>
        <w:t>; -</w:t>
      </w:r>
    </w:p>
    <w:p w14:paraId="04F47CA4" w14:textId="77777777" w:rsidR="007A775B" w:rsidRPr="007A775B" w:rsidRDefault="007A775B" w:rsidP="007A775B">
      <w:pPr>
        <w:pStyle w:val="NoSpacing"/>
        <w:spacing w:line="360" w:lineRule="auto"/>
        <w:jc w:val="both"/>
        <w:rPr>
          <w:rFonts w:ascii="Times New Roman" w:hAnsi="Times New Roman" w:cs="Times New Roman"/>
          <w:sz w:val="24"/>
          <w:szCs w:val="24"/>
        </w:rPr>
      </w:pPr>
    </w:p>
    <w:p w14:paraId="6F18376C" w14:textId="6E9C8195" w:rsidR="007A775B" w:rsidRPr="007A775B" w:rsidRDefault="003F5130" w:rsidP="007A775B">
      <w:pPr>
        <w:pStyle w:val="NoSpacing"/>
        <w:spacing w:line="360" w:lineRule="auto"/>
        <w:ind w:left="851"/>
        <w:jc w:val="both"/>
        <w:rPr>
          <w:rFonts w:ascii="Times New Roman" w:hAnsi="Times New Roman" w:cs="Times New Roman"/>
          <w:sz w:val="24"/>
          <w:szCs w:val="24"/>
        </w:rPr>
      </w:pPr>
      <w:r w:rsidRPr="003F5130">
        <w:rPr>
          <w:rFonts w:ascii="Times New Roman" w:hAnsi="Times New Roman" w:cs="Times New Roman"/>
          <w:sz w:val="24"/>
          <w:szCs w:val="24"/>
          <w:u w:val="single"/>
        </w:rPr>
        <w:t>53</w:t>
      </w:r>
      <w:r w:rsidR="007A775B" w:rsidRPr="003F5130">
        <w:rPr>
          <w:rFonts w:ascii="Times New Roman" w:hAnsi="Times New Roman" w:cs="Times New Roman"/>
          <w:sz w:val="24"/>
          <w:szCs w:val="24"/>
          <w:u w:val="single"/>
        </w:rPr>
        <w:t>(2</w:t>
      </w:r>
      <w:r w:rsidRPr="003F5130">
        <w:rPr>
          <w:rFonts w:ascii="Times New Roman" w:hAnsi="Times New Roman" w:cs="Times New Roman"/>
          <w:sz w:val="24"/>
          <w:szCs w:val="24"/>
          <w:u w:val="single"/>
        </w:rPr>
        <w:t>); -</w:t>
      </w:r>
      <w:r w:rsidR="007A775B" w:rsidRPr="007A775B">
        <w:rPr>
          <w:rFonts w:ascii="Times New Roman" w:hAnsi="Times New Roman" w:cs="Times New Roman"/>
          <w:sz w:val="24"/>
          <w:szCs w:val="24"/>
        </w:rPr>
        <w:t xml:space="preserve"> The court or judge may on good and sufficient reasons grant a request by any party to the proceedings for a postponement or adjournment of the hearing in terms of Order 49 Rule 445 on condition that— </w:t>
      </w:r>
    </w:p>
    <w:p w14:paraId="68C9707A" w14:textId="77777777" w:rsidR="007A775B" w:rsidRPr="007A775B" w:rsidRDefault="007A775B" w:rsidP="007A775B">
      <w:pPr>
        <w:pStyle w:val="NoSpacing"/>
        <w:spacing w:line="360" w:lineRule="auto"/>
        <w:ind w:left="851"/>
        <w:jc w:val="both"/>
        <w:rPr>
          <w:rFonts w:ascii="Times New Roman" w:hAnsi="Times New Roman" w:cs="Times New Roman"/>
          <w:sz w:val="24"/>
          <w:szCs w:val="24"/>
        </w:rPr>
      </w:pPr>
      <w:r w:rsidRPr="007A775B">
        <w:rPr>
          <w:rFonts w:ascii="Times New Roman" w:hAnsi="Times New Roman" w:cs="Times New Roman"/>
          <w:sz w:val="24"/>
          <w:szCs w:val="24"/>
        </w:rPr>
        <w:lastRenderedPageBreak/>
        <w:t xml:space="preserve">(a) the party applying for a postponement or adjournment pays the prescribed fee for postponements or adjournments, unless the court or judge orders a waiver of such fees; </w:t>
      </w:r>
    </w:p>
    <w:p w14:paraId="23E24E13" w14:textId="77777777" w:rsidR="007A775B" w:rsidRPr="007A775B" w:rsidRDefault="007A775B" w:rsidP="007A775B">
      <w:pPr>
        <w:pStyle w:val="NoSpacing"/>
        <w:spacing w:line="360" w:lineRule="auto"/>
        <w:ind w:left="851"/>
        <w:jc w:val="both"/>
        <w:rPr>
          <w:rFonts w:ascii="Times New Roman" w:hAnsi="Times New Roman" w:cs="Times New Roman"/>
          <w:sz w:val="24"/>
          <w:szCs w:val="24"/>
        </w:rPr>
      </w:pPr>
      <w:r w:rsidRPr="007A775B">
        <w:rPr>
          <w:rFonts w:ascii="Times New Roman" w:hAnsi="Times New Roman" w:cs="Times New Roman"/>
          <w:sz w:val="24"/>
          <w:szCs w:val="24"/>
        </w:rPr>
        <w:t>(b) where the fee for postponements or adjournments has not been waived the same shall be paid before the date of the next hearing unless the court or judge directs otherwise;</w:t>
      </w:r>
    </w:p>
    <w:p w14:paraId="41B2AEF0" w14:textId="77777777" w:rsidR="007A775B" w:rsidRPr="007A775B" w:rsidRDefault="007A775B" w:rsidP="007A775B">
      <w:pPr>
        <w:pStyle w:val="NoSpacing"/>
        <w:spacing w:line="360" w:lineRule="auto"/>
        <w:ind w:left="851"/>
        <w:jc w:val="both"/>
        <w:rPr>
          <w:rFonts w:ascii="Times New Roman" w:hAnsi="Times New Roman" w:cs="Times New Roman"/>
          <w:sz w:val="24"/>
          <w:szCs w:val="24"/>
        </w:rPr>
      </w:pPr>
      <w:r w:rsidRPr="007A775B">
        <w:rPr>
          <w:rFonts w:ascii="Times New Roman" w:hAnsi="Times New Roman" w:cs="Times New Roman"/>
          <w:sz w:val="24"/>
          <w:szCs w:val="24"/>
        </w:rPr>
        <w:t xml:space="preserve">(c) no postponement or adjournment shall be granted at the request of a party, or parties except where the circumstances are shown to be beyond their control; </w:t>
      </w:r>
    </w:p>
    <w:p w14:paraId="0B993457" w14:textId="77777777" w:rsidR="007A775B" w:rsidRPr="006B5664" w:rsidRDefault="007A775B" w:rsidP="007A775B">
      <w:pPr>
        <w:pStyle w:val="NoSpacing"/>
        <w:spacing w:line="360" w:lineRule="auto"/>
        <w:ind w:left="851"/>
        <w:jc w:val="both"/>
        <w:rPr>
          <w:rFonts w:ascii="Times New Roman" w:hAnsi="Times New Roman" w:cs="Times New Roman"/>
          <w:sz w:val="24"/>
          <w:szCs w:val="24"/>
          <w:u w:val="single"/>
        </w:rPr>
      </w:pPr>
      <w:r w:rsidRPr="007A775B">
        <w:rPr>
          <w:rFonts w:ascii="Times New Roman" w:hAnsi="Times New Roman" w:cs="Times New Roman"/>
          <w:sz w:val="24"/>
          <w:szCs w:val="24"/>
        </w:rPr>
        <w:t xml:space="preserve">(d) </w:t>
      </w:r>
      <w:r w:rsidRPr="006B5664">
        <w:rPr>
          <w:rFonts w:ascii="Times New Roman" w:hAnsi="Times New Roman" w:cs="Times New Roman"/>
          <w:sz w:val="24"/>
          <w:szCs w:val="24"/>
          <w:u w:val="single"/>
        </w:rPr>
        <w:t xml:space="preserve">the fact that the legal practitioner of a party is engaged in another court, shall not be a ground for a postponement or adjournment unless that legal practitioner is appearing before the Constitutional Court or the Supreme Court or in another division of the High Court where another matter in that division is shown to have been set down prior to the set down of the matter before the court; </w:t>
      </w:r>
    </w:p>
    <w:p w14:paraId="4262B5EB" w14:textId="77777777" w:rsidR="007A775B" w:rsidRPr="007A775B" w:rsidRDefault="007A775B" w:rsidP="007A775B">
      <w:pPr>
        <w:pStyle w:val="NoSpacing"/>
        <w:spacing w:line="360" w:lineRule="auto"/>
        <w:ind w:left="851"/>
        <w:jc w:val="both"/>
        <w:rPr>
          <w:rFonts w:ascii="Times New Roman" w:hAnsi="Times New Roman" w:cs="Times New Roman"/>
          <w:sz w:val="24"/>
          <w:szCs w:val="24"/>
        </w:rPr>
      </w:pPr>
    </w:p>
    <w:p w14:paraId="4972E54C" w14:textId="77777777" w:rsidR="007A775B" w:rsidRPr="007A775B" w:rsidRDefault="007A775B" w:rsidP="007A775B">
      <w:pPr>
        <w:pStyle w:val="NoSpacing"/>
        <w:spacing w:line="360" w:lineRule="auto"/>
        <w:ind w:left="851"/>
        <w:jc w:val="both"/>
        <w:rPr>
          <w:rFonts w:ascii="Times New Roman" w:hAnsi="Times New Roman" w:cs="Times New Roman"/>
          <w:sz w:val="24"/>
          <w:szCs w:val="24"/>
        </w:rPr>
      </w:pPr>
      <w:r w:rsidRPr="007A775B">
        <w:rPr>
          <w:rFonts w:ascii="Times New Roman" w:hAnsi="Times New Roman" w:cs="Times New Roman"/>
          <w:sz w:val="24"/>
          <w:szCs w:val="24"/>
        </w:rPr>
        <w:t>(e) where the illness of a legal practitioner or his or her inability to conduct the case for any reason other than his 653 High Court (Commercial Division) Rules, 2020 or her being engaged in another court, is put forward as a ground for postponement or adjournment, the court or judge shall not grant the postponement or adjournment unless it or he or she is satisfied that the party applying for adjournment could not have engaged another legal practitioner to handle the matter in time;</w:t>
      </w:r>
    </w:p>
    <w:p w14:paraId="68492087" w14:textId="77777777" w:rsidR="007A775B" w:rsidRPr="007A775B" w:rsidRDefault="007A775B" w:rsidP="007A775B">
      <w:pPr>
        <w:pStyle w:val="NoSpacing"/>
        <w:spacing w:line="360" w:lineRule="auto"/>
        <w:ind w:left="851"/>
        <w:jc w:val="both"/>
        <w:rPr>
          <w:rFonts w:ascii="Times New Roman" w:hAnsi="Times New Roman" w:cs="Times New Roman"/>
          <w:sz w:val="24"/>
          <w:szCs w:val="24"/>
        </w:rPr>
      </w:pPr>
    </w:p>
    <w:p w14:paraId="165E1807" w14:textId="77777777" w:rsidR="006B5664" w:rsidRDefault="007A775B" w:rsidP="007A775B">
      <w:pPr>
        <w:pStyle w:val="NoSpacing"/>
        <w:spacing w:line="360" w:lineRule="auto"/>
        <w:ind w:left="851"/>
        <w:jc w:val="both"/>
        <w:rPr>
          <w:rFonts w:ascii="Times New Roman" w:hAnsi="Times New Roman" w:cs="Times New Roman"/>
          <w:sz w:val="24"/>
          <w:szCs w:val="24"/>
        </w:rPr>
      </w:pPr>
      <w:r w:rsidRPr="007A775B">
        <w:rPr>
          <w:rFonts w:ascii="Times New Roman" w:hAnsi="Times New Roman" w:cs="Times New Roman"/>
          <w:sz w:val="24"/>
          <w:szCs w:val="24"/>
        </w:rPr>
        <w:t xml:space="preserve"> (f)  in the event of a postponement or adjournment at the instance of the court, the reasons for the postponement or adjournment shall be recorded and the next hearing date shall be fourteen (14) days after the postponement or adjournment unless circumstances dictate otherwise, in which case the next hearing date shall be within the shortest period possible;</w:t>
      </w:r>
    </w:p>
    <w:p w14:paraId="6623E316" w14:textId="513AD171" w:rsidR="007A775B" w:rsidRDefault="006B5664" w:rsidP="007A775B">
      <w:pPr>
        <w:pStyle w:val="NoSpacing"/>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(g) </w:t>
      </w:r>
      <w:r w:rsidR="007A775B" w:rsidRPr="007A775B">
        <w:rPr>
          <w:rFonts w:ascii="Times New Roman" w:hAnsi="Times New Roman" w:cs="Times New Roman"/>
          <w:sz w:val="24"/>
          <w:szCs w:val="24"/>
        </w:rPr>
        <w:t xml:space="preserve"> </w:t>
      </w:r>
      <w:r w:rsidR="007A775B" w:rsidRPr="006B5664">
        <w:rPr>
          <w:rFonts w:ascii="Times New Roman" w:hAnsi="Times New Roman" w:cs="Times New Roman"/>
          <w:sz w:val="24"/>
          <w:szCs w:val="24"/>
          <w:u w:val="single"/>
        </w:rPr>
        <w:t xml:space="preserve">a party seeking a postponement shall be liable for the wasted costs of the innocent party or parties unless he or she or it is excused on good and sufficient cause </w:t>
      </w:r>
      <w:r w:rsidR="00771D84" w:rsidRPr="006B5664">
        <w:rPr>
          <w:rFonts w:ascii="Times New Roman" w:hAnsi="Times New Roman" w:cs="Times New Roman"/>
          <w:sz w:val="24"/>
          <w:szCs w:val="24"/>
          <w:u w:val="single"/>
        </w:rPr>
        <w:t>shown</w:t>
      </w:r>
      <w:r w:rsidR="00771D84" w:rsidRPr="007A775B">
        <w:rPr>
          <w:rFonts w:ascii="Times New Roman" w:hAnsi="Times New Roman" w:cs="Times New Roman"/>
          <w:sz w:val="24"/>
          <w:szCs w:val="24"/>
        </w:rPr>
        <w:t>.</w:t>
      </w:r>
      <w:r w:rsidR="00771D84">
        <w:rPr>
          <w:rFonts w:ascii="Times New Roman" w:hAnsi="Times New Roman" w:cs="Times New Roman"/>
          <w:sz w:val="24"/>
          <w:szCs w:val="24"/>
        </w:rPr>
        <w:t xml:space="preserve"> [Underlined for emphasis] </w:t>
      </w:r>
    </w:p>
    <w:p w14:paraId="555DA00A" w14:textId="77777777" w:rsidR="003F5130" w:rsidRDefault="003F5130" w:rsidP="003F5130">
      <w:pPr>
        <w:pStyle w:val="NoSpacing"/>
        <w:spacing w:line="360" w:lineRule="auto"/>
        <w:jc w:val="both"/>
        <w:rPr>
          <w:rFonts w:ascii="Times New Roman" w:hAnsi="Times New Roman" w:cs="Times New Roman"/>
          <w:sz w:val="24"/>
          <w:szCs w:val="24"/>
        </w:rPr>
      </w:pPr>
    </w:p>
    <w:p w14:paraId="6D4C3E26" w14:textId="1E0FC6A3" w:rsidR="00572BEE" w:rsidRDefault="003F5130" w:rsidP="003F5130">
      <w:pPr>
        <w:pStyle w:val="NoSpacing"/>
        <w:spacing w:line="360" w:lineRule="auto"/>
        <w:jc w:val="both"/>
        <w:rPr>
          <w:rFonts w:ascii="Times New Roman" w:hAnsi="Times New Roman" w:cs="Times New Roman"/>
          <w:sz w:val="24"/>
          <w:szCs w:val="24"/>
        </w:rPr>
      </w:pPr>
      <w:r w:rsidRPr="00E30B80">
        <w:rPr>
          <w:rFonts w:ascii="Times New Roman" w:hAnsi="Times New Roman" w:cs="Times New Roman"/>
          <w:sz w:val="24"/>
          <w:szCs w:val="24"/>
        </w:rPr>
        <w:t>[</w:t>
      </w:r>
      <w:r w:rsidR="008C55B0">
        <w:rPr>
          <w:rFonts w:ascii="Times New Roman" w:hAnsi="Times New Roman" w:cs="Times New Roman"/>
          <w:sz w:val="24"/>
          <w:szCs w:val="24"/>
        </w:rPr>
        <w:t>4</w:t>
      </w:r>
      <w:r w:rsidRPr="00E30B80">
        <w:rPr>
          <w:rFonts w:ascii="Times New Roman" w:hAnsi="Times New Roman" w:cs="Times New Roman"/>
          <w:sz w:val="24"/>
          <w:szCs w:val="24"/>
        </w:rPr>
        <w:t xml:space="preserve">] </w:t>
      </w:r>
      <w:r w:rsidR="00572BEE">
        <w:rPr>
          <w:rFonts w:ascii="Times New Roman" w:hAnsi="Times New Roman" w:cs="Times New Roman"/>
          <w:sz w:val="24"/>
          <w:szCs w:val="24"/>
        </w:rPr>
        <w:t>This r</w:t>
      </w:r>
      <w:r w:rsidRPr="00E30B80">
        <w:rPr>
          <w:rFonts w:ascii="Times New Roman" w:hAnsi="Times New Roman" w:cs="Times New Roman"/>
          <w:sz w:val="24"/>
          <w:szCs w:val="24"/>
        </w:rPr>
        <w:t xml:space="preserve">ule 53 (2) </w:t>
      </w:r>
      <w:r w:rsidR="00771D84">
        <w:rPr>
          <w:rFonts w:ascii="Times New Roman" w:hAnsi="Times New Roman" w:cs="Times New Roman"/>
          <w:sz w:val="24"/>
          <w:szCs w:val="24"/>
        </w:rPr>
        <w:t>seeks to achieve</w:t>
      </w:r>
      <w:r w:rsidR="00572BEE">
        <w:rPr>
          <w:rFonts w:ascii="Times New Roman" w:hAnsi="Times New Roman" w:cs="Times New Roman"/>
          <w:sz w:val="24"/>
          <w:szCs w:val="24"/>
        </w:rPr>
        <w:t>, in simple terms,</w:t>
      </w:r>
      <w:r w:rsidR="0096252A">
        <w:rPr>
          <w:rFonts w:ascii="Times New Roman" w:hAnsi="Times New Roman" w:cs="Times New Roman"/>
          <w:sz w:val="24"/>
          <w:szCs w:val="24"/>
        </w:rPr>
        <w:t xml:space="preserve"> the responsible, </w:t>
      </w:r>
      <w:r w:rsidR="00E30B80">
        <w:rPr>
          <w:rFonts w:ascii="Times New Roman" w:hAnsi="Times New Roman" w:cs="Times New Roman"/>
          <w:sz w:val="24"/>
          <w:szCs w:val="24"/>
        </w:rPr>
        <w:t xml:space="preserve">orderly and pragmatic </w:t>
      </w:r>
      <w:r w:rsidR="0096252A">
        <w:rPr>
          <w:rFonts w:ascii="Times New Roman" w:hAnsi="Times New Roman" w:cs="Times New Roman"/>
          <w:sz w:val="24"/>
          <w:szCs w:val="24"/>
        </w:rPr>
        <w:t xml:space="preserve">postponement and adjournment of matters </w:t>
      </w:r>
      <w:r w:rsidR="00572BEE">
        <w:rPr>
          <w:rFonts w:ascii="Times New Roman" w:hAnsi="Times New Roman" w:cs="Times New Roman"/>
          <w:sz w:val="24"/>
          <w:szCs w:val="24"/>
        </w:rPr>
        <w:t xml:space="preserve">after </w:t>
      </w:r>
      <w:r w:rsidR="008C55B0">
        <w:rPr>
          <w:rFonts w:ascii="Times New Roman" w:hAnsi="Times New Roman" w:cs="Times New Roman"/>
          <w:sz w:val="24"/>
          <w:szCs w:val="24"/>
        </w:rPr>
        <w:t xml:space="preserve">same have been </w:t>
      </w:r>
      <w:r w:rsidR="0096252A">
        <w:rPr>
          <w:rFonts w:ascii="Times New Roman" w:hAnsi="Times New Roman" w:cs="Times New Roman"/>
          <w:sz w:val="24"/>
          <w:szCs w:val="24"/>
        </w:rPr>
        <w:t xml:space="preserve">set down for hearing. </w:t>
      </w:r>
      <w:r w:rsidR="006B5664">
        <w:rPr>
          <w:rFonts w:ascii="Times New Roman" w:hAnsi="Times New Roman" w:cs="Times New Roman"/>
          <w:sz w:val="24"/>
          <w:szCs w:val="24"/>
        </w:rPr>
        <w:t xml:space="preserve">Generally, </w:t>
      </w:r>
      <w:r w:rsidR="00771D84">
        <w:rPr>
          <w:rFonts w:ascii="Times New Roman" w:hAnsi="Times New Roman" w:cs="Times New Roman"/>
          <w:sz w:val="24"/>
          <w:szCs w:val="24"/>
        </w:rPr>
        <w:t xml:space="preserve">requests for </w:t>
      </w:r>
      <w:r w:rsidR="006B5664">
        <w:rPr>
          <w:rFonts w:ascii="Times New Roman" w:hAnsi="Times New Roman" w:cs="Times New Roman"/>
          <w:sz w:val="24"/>
          <w:szCs w:val="24"/>
        </w:rPr>
        <w:t>postponement</w:t>
      </w:r>
      <w:r w:rsidR="00771D84">
        <w:rPr>
          <w:rFonts w:ascii="Times New Roman" w:hAnsi="Times New Roman" w:cs="Times New Roman"/>
          <w:sz w:val="24"/>
          <w:szCs w:val="24"/>
        </w:rPr>
        <w:t xml:space="preserve"> are recognised as an unavoidable eventuality. As such </w:t>
      </w:r>
      <w:r w:rsidR="00771D84">
        <w:rPr>
          <w:rFonts w:ascii="Times New Roman" w:hAnsi="Times New Roman" w:cs="Times New Roman"/>
          <w:sz w:val="24"/>
          <w:szCs w:val="24"/>
        </w:rPr>
        <w:lastRenderedPageBreak/>
        <w:t>courts will accommodate</w:t>
      </w:r>
      <w:r w:rsidR="00572BEE">
        <w:rPr>
          <w:rFonts w:ascii="Times New Roman" w:hAnsi="Times New Roman" w:cs="Times New Roman"/>
          <w:sz w:val="24"/>
          <w:szCs w:val="24"/>
        </w:rPr>
        <w:t xml:space="preserve"> </w:t>
      </w:r>
      <w:r w:rsidR="00771D84">
        <w:rPr>
          <w:rFonts w:ascii="Times New Roman" w:hAnsi="Times New Roman" w:cs="Times New Roman"/>
          <w:sz w:val="24"/>
          <w:szCs w:val="24"/>
        </w:rPr>
        <w:t xml:space="preserve">them </w:t>
      </w:r>
      <w:r w:rsidR="00572BEE">
        <w:rPr>
          <w:rFonts w:ascii="Times New Roman" w:hAnsi="Times New Roman" w:cs="Times New Roman"/>
          <w:sz w:val="24"/>
          <w:szCs w:val="24"/>
        </w:rPr>
        <w:t xml:space="preserve">but not </w:t>
      </w:r>
      <w:r w:rsidR="00D02344">
        <w:rPr>
          <w:rFonts w:ascii="Times New Roman" w:hAnsi="Times New Roman" w:cs="Times New Roman"/>
          <w:sz w:val="24"/>
          <w:szCs w:val="24"/>
        </w:rPr>
        <w:t>with munificent indulgence</w:t>
      </w:r>
      <w:r w:rsidR="006B5664">
        <w:rPr>
          <w:rStyle w:val="FootnoteReference"/>
          <w:rFonts w:ascii="Times New Roman" w:hAnsi="Times New Roman" w:cs="Times New Roman"/>
          <w:sz w:val="24"/>
          <w:szCs w:val="24"/>
        </w:rPr>
        <w:footnoteReference w:id="1"/>
      </w:r>
      <w:r w:rsidR="006B5664">
        <w:rPr>
          <w:rFonts w:ascii="Times New Roman" w:hAnsi="Times New Roman" w:cs="Times New Roman"/>
          <w:sz w:val="24"/>
          <w:szCs w:val="24"/>
        </w:rPr>
        <w:t xml:space="preserve">. </w:t>
      </w:r>
      <w:r w:rsidR="00572BEE">
        <w:rPr>
          <w:rFonts w:ascii="Times New Roman" w:hAnsi="Times New Roman" w:cs="Times New Roman"/>
          <w:sz w:val="24"/>
          <w:szCs w:val="24"/>
        </w:rPr>
        <w:t xml:space="preserve">In the </w:t>
      </w:r>
      <w:r w:rsidR="008643C7" w:rsidRPr="00E30B80">
        <w:rPr>
          <w:rFonts w:ascii="Times New Roman" w:hAnsi="Times New Roman" w:cs="Times New Roman"/>
          <w:sz w:val="24"/>
          <w:szCs w:val="24"/>
        </w:rPr>
        <w:t>Commercial Division of the High (“Commercial Court”</w:t>
      </w:r>
      <w:r w:rsidR="006B6102" w:rsidRPr="00E30B80">
        <w:rPr>
          <w:rFonts w:ascii="Times New Roman" w:hAnsi="Times New Roman" w:cs="Times New Roman"/>
          <w:sz w:val="24"/>
          <w:szCs w:val="24"/>
        </w:rPr>
        <w:t>),</w:t>
      </w:r>
      <w:r w:rsidR="00572BEE">
        <w:rPr>
          <w:rFonts w:ascii="Times New Roman" w:hAnsi="Times New Roman" w:cs="Times New Roman"/>
          <w:sz w:val="24"/>
          <w:szCs w:val="24"/>
        </w:rPr>
        <w:t xml:space="preserve"> postponements actually attract a court fee.</w:t>
      </w:r>
    </w:p>
    <w:p w14:paraId="1381DAEE" w14:textId="77777777" w:rsidR="00572BEE" w:rsidRDefault="00572BEE" w:rsidP="003F5130">
      <w:pPr>
        <w:pStyle w:val="NoSpacing"/>
        <w:spacing w:line="360" w:lineRule="auto"/>
        <w:jc w:val="both"/>
        <w:rPr>
          <w:rFonts w:ascii="Times New Roman" w:hAnsi="Times New Roman" w:cs="Times New Roman"/>
          <w:sz w:val="24"/>
          <w:szCs w:val="24"/>
        </w:rPr>
      </w:pPr>
    </w:p>
    <w:p w14:paraId="4BE08376" w14:textId="678BD393" w:rsidR="00506D51" w:rsidRDefault="00572BEE" w:rsidP="003F51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C55B0">
        <w:rPr>
          <w:rFonts w:ascii="Times New Roman" w:hAnsi="Times New Roman" w:cs="Times New Roman"/>
          <w:sz w:val="24"/>
          <w:szCs w:val="24"/>
        </w:rPr>
        <w:t>5</w:t>
      </w:r>
      <w:r>
        <w:rPr>
          <w:rFonts w:ascii="Times New Roman" w:hAnsi="Times New Roman" w:cs="Times New Roman"/>
          <w:sz w:val="24"/>
          <w:szCs w:val="24"/>
        </w:rPr>
        <w:t>]</w:t>
      </w:r>
      <w:r w:rsidRPr="00572BEE">
        <w:rPr>
          <w:rFonts w:ascii="Times New Roman" w:hAnsi="Times New Roman" w:cs="Times New Roman"/>
          <w:sz w:val="24"/>
          <w:szCs w:val="24"/>
        </w:rPr>
        <w:t xml:space="preserve"> </w:t>
      </w:r>
      <w:r>
        <w:rPr>
          <w:rFonts w:ascii="Times New Roman" w:hAnsi="Times New Roman" w:cs="Times New Roman"/>
          <w:sz w:val="24"/>
          <w:szCs w:val="24"/>
        </w:rPr>
        <w:t xml:space="preserve">In many respects, rule 53 (2) </w:t>
      </w:r>
      <w:r w:rsidRPr="00E30B80">
        <w:rPr>
          <w:rFonts w:ascii="Times New Roman" w:hAnsi="Times New Roman" w:cs="Times New Roman"/>
          <w:sz w:val="24"/>
          <w:szCs w:val="24"/>
        </w:rPr>
        <w:t xml:space="preserve">complements </w:t>
      </w:r>
      <w:r>
        <w:rPr>
          <w:rFonts w:ascii="Times New Roman" w:hAnsi="Times New Roman" w:cs="Times New Roman"/>
          <w:sz w:val="24"/>
          <w:szCs w:val="24"/>
        </w:rPr>
        <w:t xml:space="preserve">other case management and disposal arrangements </w:t>
      </w:r>
      <w:r w:rsidR="00771D84">
        <w:rPr>
          <w:rFonts w:ascii="Times New Roman" w:hAnsi="Times New Roman" w:cs="Times New Roman"/>
          <w:sz w:val="24"/>
          <w:szCs w:val="24"/>
        </w:rPr>
        <w:t xml:space="preserve">found </w:t>
      </w:r>
      <w:r>
        <w:rPr>
          <w:rFonts w:ascii="Times New Roman" w:hAnsi="Times New Roman" w:cs="Times New Roman"/>
          <w:sz w:val="24"/>
          <w:szCs w:val="24"/>
        </w:rPr>
        <w:t xml:space="preserve">in the </w:t>
      </w:r>
      <w:r w:rsidRPr="00E30B80">
        <w:rPr>
          <w:rFonts w:ascii="Times New Roman" w:hAnsi="Times New Roman" w:cs="Times New Roman"/>
          <w:sz w:val="24"/>
          <w:szCs w:val="24"/>
        </w:rPr>
        <w:t>rest of the rules of court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Further, rule 53 (2) also </w:t>
      </w:r>
      <w:r w:rsidR="008643C7">
        <w:rPr>
          <w:rFonts w:ascii="Times New Roman" w:hAnsi="Times New Roman" w:cs="Times New Roman"/>
          <w:sz w:val="24"/>
          <w:szCs w:val="24"/>
        </w:rPr>
        <w:t xml:space="preserve">obliges </w:t>
      </w:r>
      <w:r>
        <w:rPr>
          <w:rFonts w:ascii="Times New Roman" w:hAnsi="Times New Roman" w:cs="Times New Roman"/>
          <w:sz w:val="24"/>
          <w:szCs w:val="24"/>
        </w:rPr>
        <w:t xml:space="preserve">the </w:t>
      </w:r>
      <w:r w:rsidR="008643C7">
        <w:rPr>
          <w:rFonts w:ascii="Times New Roman" w:hAnsi="Times New Roman" w:cs="Times New Roman"/>
          <w:sz w:val="24"/>
          <w:szCs w:val="24"/>
        </w:rPr>
        <w:t>party unable</w:t>
      </w:r>
      <w:r w:rsidR="006B5664">
        <w:rPr>
          <w:rFonts w:ascii="Times New Roman" w:hAnsi="Times New Roman" w:cs="Times New Roman"/>
          <w:sz w:val="24"/>
          <w:szCs w:val="24"/>
        </w:rPr>
        <w:t xml:space="preserve"> to </w:t>
      </w:r>
      <w:r>
        <w:rPr>
          <w:rFonts w:ascii="Times New Roman" w:hAnsi="Times New Roman" w:cs="Times New Roman"/>
          <w:sz w:val="24"/>
          <w:szCs w:val="24"/>
        </w:rPr>
        <w:t xml:space="preserve">meet a set down commitment </w:t>
      </w:r>
      <w:r w:rsidR="008643C7">
        <w:rPr>
          <w:rFonts w:ascii="Times New Roman" w:hAnsi="Times New Roman" w:cs="Times New Roman"/>
          <w:sz w:val="24"/>
          <w:szCs w:val="24"/>
        </w:rPr>
        <w:t xml:space="preserve">to </w:t>
      </w:r>
      <w:r w:rsidR="006B5664">
        <w:rPr>
          <w:rFonts w:ascii="Times New Roman" w:hAnsi="Times New Roman" w:cs="Times New Roman"/>
          <w:sz w:val="24"/>
          <w:szCs w:val="24"/>
        </w:rPr>
        <w:t xml:space="preserve">show courtesy to the court and other litigants. </w:t>
      </w:r>
      <w:r w:rsidR="008643C7">
        <w:rPr>
          <w:rFonts w:ascii="Times New Roman" w:hAnsi="Times New Roman" w:cs="Times New Roman"/>
          <w:sz w:val="24"/>
          <w:szCs w:val="24"/>
        </w:rPr>
        <w:t xml:space="preserve">Such respect is </w:t>
      </w:r>
      <w:r w:rsidR="009747F3">
        <w:rPr>
          <w:rFonts w:ascii="Times New Roman" w:hAnsi="Times New Roman" w:cs="Times New Roman"/>
          <w:sz w:val="24"/>
          <w:szCs w:val="24"/>
        </w:rPr>
        <w:t xml:space="preserve">an </w:t>
      </w:r>
      <w:r w:rsidR="008643C7">
        <w:rPr>
          <w:rFonts w:ascii="Times New Roman" w:hAnsi="Times New Roman" w:cs="Times New Roman"/>
          <w:sz w:val="24"/>
          <w:szCs w:val="24"/>
        </w:rPr>
        <w:t xml:space="preserve">indispensable </w:t>
      </w:r>
      <w:r w:rsidR="009747F3">
        <w:rPr>
          <w:rFonts w:ascii="Times New Roman" w:hAnsi="Times New Roman" w:cs="Times New Roman"/>
          <w:sz w:val="24"/>
          <w:szCs w:val="24"/>
        </w:rPr>
        <w:t xml:space="preserve">aspect </w:t>
      </w:r>
      <w:r w:rsidR="008643C7">
        <w:rPr>
          <w:rFonts w:ascii="Times New Roman" w:hAnsi="Times New Roman" w:cs="Times New Roman"/>
          <w:sz w:val="24"/>
          <w:szCs w:val="24"/>
        </w:rPr>
        <w:t xml:space="preserve">in the quest to uphold the court`s dignity and resultant convenience and efficiency of its processes. </w:t>
      </w:r>
    </w:p>
    <w:p w14:paraId="0DD1FB6A" w14:textId="77777777" w:rsidR="00506D51" w:rsidRDefault="00506D51" w:rsidP="003F5130">
      <w:pPr>
        <w:pStyle w:val="NoSpacing"/>
        <w:spacing w:line="360" w:lineRule="auto"/>
        <w:jc w:val="both"/>
        <w:rPr>
          <w:rFonts w:ascii="Times New Roman" w:hAnsi="Times New Roman" w:cs="Times New Roman"/>
          <w:sz w:val="24"/>
          <w:szCs w:val="24"/>
        </w:rPr>
      </w:pPr>
    </w:p>
    <w:p w14:paraId="61F95B04" w14:textId="73E80C04" w:rsidR="00E30B80" w:rsidRPr="00E30B80" w:rsidRDefault="00506D51" w:rsidP="003F51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4313">
        <w:rPr>
          <w:rFonts w:ascii="Times New Roman" w:hAnsi="Times New Roman" w:cs="Times New Roman"/>
          <w:sz w:val="24"/>
          <w:szCs w:val="24"/>
        </w:rPr>
        <w:t>6</w:t>
      </w:r>
      <w:r w:rsidR="008643C7">
        <w:rPr>
          <w:rFonts w:ascii="Times New Roman" w:hAnsi="Times New Roman" w:cs="Times New Roman"/>
          <w:sz w:val="24"/>
          <w:szCs w:val="24"/>
        </w:rPr>
        <w:t xml:space="preserve">] I dwelt on the need for parties to take initiative in resolving minor case management matters like postponements in </w:t>
      </w:r>
      <w:r w:rsidR="008643C7" w:rsidRPr="008643C7">
        <w:rPr>
          <w:rFonts w:ascii="Times New Roman" w:hAnsi="Times New Roman" w:cs="Times New Roman"/>
          <w:i/>
          <w:iCs/>
          <w:sz w:val="24"/>
          <w:szCs w:val="24"/>
        </w:rPr>
        <w:t>Grandwell Holdings (Pvt) Ltd v Minister of Mines and Mining Development &amp; 4 Ors</w:t>
      </w:r>
      <w:r w:rsidR="008643C7">
        <w:rPr>
          <w:rFonts w:ascii="Times New Roman" w:hAnsi="Times New Roman" w:cs="Times New Roman"/>
          <w:sz w:val="24"/>
          <w:szCs w:val="24"/>
        </w:rPr>
        <w:t xml:space="preserve"> HH 286-23. </w:t>
      </w:r>
      <w:r w:rsidR="0096252A">
        <w:rPr>
          <w:rFonts w:ascii="Times New Roman" w:hAnsi="Times New Roman" w:cs="Times New Roman"/>
          <w:sz w:val="24"/>
          <w:szCs w:val="24"/>
        </w:rPr>
        <w:t>Th</w:t>
      </w:r>
      <w:r w:rsidR="008643C7">
        <w:rPr>
          <w:rFonts w:ascii="Times New Roman" w:hAnsi="Times New Roman" w:cs="Times New Roman"/>
          <w:sz w:val="24"/>
          <w:szCs w:val="24"/>
        </w:rPr>
        <w:t>e guidance therein s</w:t>
      </w:r>
      <w:r w:rsidR="00771D84">
        <w:rPr>
          <w:rFonts w:ascii="Times New Roman" w:hAnsi="Times New Roman" w:cs="Times New Roman"/>
          <w:sz w:val="24"/>
          <w:szCs w:val="24"/>
        </w:rPr>
        <w:t>upports t</w:t>
      </w:r>
      <w:r w:rsidR="008643C7">
        <w:rPr>
          <w:rFonts w:ascii="Times New Roman" w:hAnsi="Times New Roman" w:cs="Times New Roman"/>
          <w:sz w:val="24"/>
          <w:szCs w:val="24"/>
        </w:rPr>
        <w:t xml:space="preserve">he </w:t>
      </w:r>
      <w:r w:rsidR="00771D84">
        <w:rPr>
          <w:rFonts w:ascii="Times New Roman" w:hAnsi="Times New Roman" w:cs="Times New Roman"/>
          <w:sz w:val="24"/>
          <w:szCs w:val="24"/>
        </w:rPr>
        <w:t xml:space="preserve">facilities in the </w:t>
      </w:r>
      <w:r w:rsidR="008643C7">
        <w:rPr>
          <w:rFonts w:ascii="Times New Roman" w:hAnsi="Times New Roman" w:cs="Times New Roman"/>
          <w:sz w:val="24"/>
          <w:szCs w:val="24"/>
        </w:rPr>
        <w:t>rules of court</w:t>
      </w:r>
      <w:r w:rsidR="0096252A">
        <w:rPr>
          <w:rFonts w:ascii="Times New Roman" w:hAnsi="Times New Roman" w:cs="Times New Roman"/>
          <w:sz w:val="24"/>
          <w:szCs w:val="24"/>
        </w:rPr>
        <w:t xml:space="preserve"> </w:t>
      </w:r>
      <w:r w:rsidR="00771D84">
        <w:rPr>
          <w:rFonts w:ascii="Times New Roman" w:hAnsi="Times New Roman" w:cs="Times New Roman"/>
          <w:sz w:val="24"/>
          <w:szCs w:val="24"/>
        </w:rPr>
        <w:t xml:space="preserve">meant to </w:t>
      </w:r>
      <w:r w:rsidR="0096252A">
        <w:rPr>
          <w:rFonts w:ascii="Times New Roman" w:hAnsi="Times New Roman" w:cs="Times New Roman"/>
          <w:sz w:val="24"/>
          <w:szCs w:val="24"/>
        </w:rPr>
        <w:t xml:space="preserve">ensure that </w:t>
      </w:r>
      <w:r w:rsidR="003F5130" w:rsidRPr="00E30B80">
        <w:rPr>
          <w:rFonts w:ascii="Times New Roman" w:hAnsi="Times New Roman" w:cs="Times New Roman"/>
          <w:sz w:val="24"/>
          <w:szCs w:val="24"/>
        </w:rPr>
        <w:t xml:space="preserve">the </w:t>
      </w:r>
      <w:bookmarkStart w:id="2" w:name="_Hlk179282702"/>
      <w:r w:rsidR="003F5130" w:rsidRPr="00E30B80">
        <w:rPr>
          <w:rFonts w:ascii="Times New Roman" w:hAnsi="Times New Roman" w:cs="Times New Roman"/>
          <w:sz w:val="24"/>
          <w:szCs w:val="24"/>
        </w:rPr>
        <w:t xml:space="preserve">Commercial Court </w:t>
      </w:r>
      <w:bookmarkEnd w:id="2"/>
      <w:r w:rsidR="003F5130" w:rsidRPr="00E30B80">
        <w:rPr>
          <w:rFonts w:ascii="Times New Roman" w:hAnsi="Times New Roman" w:cs="Times New Roman"/>
          <w:sz w:val="24"/>
          <w:szCs w:val="24"/>
        </w:rPr>
        <w:t xml:space="preserve">delivers on mandate. The mandate in question </w:t>
      </w:r>
      <w:r w:rsidR="00E30B80" w:rsidRPr="00E30B80">
        <w:rPr>
          <w:rFonts w:ascii="Times New Roman" w:hAnsi="Times New Roman" w:cs="Times New Roman"/>
          <w:sz w:val="24"/>
          <w:szCs w:val="24"/>
        </w:rPr>
        <w:t>was set out in the Chief Justice`s enabling proclamation under General Notice (GN) 640 of 2017. GN 640/17 published in the Gazette on 27 October 2017 that; -</w:t>
      </w:r>
    </w:p>
    <w:p w14:paraId="5D1A6E55" w14:textId="77777777" w:rsidR="00E30B80" w:rsidRPr="00E30B80" w:rsidRDefault="00E30B80" w:rsidP="003F5130">
      <w:pPr>
        <w:pStyle w:val="NoSpacing"/>
        <w:spacing w:line="360" w:lineRule="auto"/>
        <w:jc w:val="both"/>
        <w:rPr>
          <w:rFonts w:ascii="Times New Roman" w:hAnsi="Times New Roman" w:cs="Times New Roman"/>
          <w:sz w:val="24"/>
          <w:szCs w:val="24"/>
        </w:rPr>
      </w:pPr>
    </w:p>
    <w:p w14:paraId="19446511" w14:textId="539FB84F" w:rsidR="003F5130" w:rsidRDefault="00E30B80" w:rsidP="00E30B80">
      <w:pPr>
        <w:pStyle w:val="NoSpacing"/>
        <w:spacing w:line="360" w:lineRule="auto"/>
        <w:ind w:left="851"/>
        <w:jc w:val="both"/>
        <w:rPr>
          <w:rFonts w:ascii="Times New Roman" w:hAnsi="Times New Roman" w:cs="Times New Roman"/>
          <w:sz w:val="24"/>
          <w:szCs w:val="24"/>
        </w:rPr>
      </w:pPr>
      <w:r w:rsidRPr="00E30B80">
        <w:rPr>
          <w:rFonts w:ascii="Times New Roman" w:hAnsi="Times New Roman" w:cs="Times New Roman"/>
          <w:sz w:val="24"/>
          <w:szCs w:val="24"/>
        </w:rPr>
        <w:t xml:space="preserve">“NOTICE is hereby given in terms of section 46A of the High Court Act [Chapter 7:06], that after consultation with the Judge President and </w:t>
      </w:r>
      <w:r w:rsidRPr="00E30B80">
        <w:rPr>
          <w:rFonts w:ascii="Times New Roman" w:hAnsi="Times New Roman" w:cs="Times New Roman"/>
          <w:sz w:val="24"/>
          <w:szCs w:val="24"/>
          <w:u w:val="single"/>
        </w:rPr>
        <w:t>in the interest of expediting justice delivery and promoting the ease of access to justice,</w:t>
      </w:r>
      <w:r w:rsidRPr="00E30B80">
        <w:rPr>
          <w:rFonts w:ascii="Times New Roman" w:hAnsi="Times New Roman" w:cs="Times New Roman"/>
          <w:sz w:val="24"/>
          <w:szCs w:val="24"/>
        </w:rPr>
        <w:t xml:space="preserve"> a specialised division of the High Court to be known as the Commercial Division of the High Court is hereby created </w:t>
      </w:r>
      <w:r w:rsidRPr="00E30B80">
        <w:rPr>
          <w:rFonts w:ascii="Times New Roman" w:hAnsi="Times New Roman" w:cs="Times New Roman"/>
          <w:sz w:val="24"/>
          <w:szCs w:val="24"/>
          <w:u w:val="single"/>
        </w:rPr>
        <w:t>to adjudicate commercial law disputes and hear all appeals, reviews, applications and petitions which lie to the High Court relating to commercial disputes</w:t>
      </w:r>
      <w:r w:rsidRPr="00E30B80">
        <w:rPr>
          <w:rFonts w:ascii="Times New Roman" w:hAnsi="Times New Roman" w:cs="Times New Roman"/>
          <w:sz w:val="24"/>
          <w:szCs w:val="24"/>
        </w:rPr>
        <w:t xml:space="preserve">. HON. L. MALABA, 27-10-2017.” [ Underlined for emphasis] </w:t>
      </w:r>
    </w:p>
    <w:p w14:paraId="21C324FB" w14:textId="77777777" w:rsidR="006B6102" w:rsidRDefault="006B6102" w:rsidP="00E30B80">
      <w:pPr>
        <w:pStyle w:val="NoSpacing"/>
        <w:spacing w:line="360" w:lineRule="auto"/>
        <w:ind w:left="851"/>
        <w:jc w:val="both"/>
        <w:rPr>
          <w:rFonts w:ascii="Times New Roman" w:hAnsi="Times New Roman" w:cs="Times New Roman"/>
          <w:sz w:val="24"/>
          <w:szCs w:val="24"/>
        </w:rPr>
      </w:pPr>
    </w:p>
    <w:p w14:paraId="32B5CE11" w14:textId="3AC2D53A" w:rsidR="0096252A" w:rsidRDefault="0096252A"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4313">
        <w:rPr>
          <w:rFonts w:ascii="Times New Roman" w:hAnsi="Times New Roman" w:cs="Times New Roman"/>
          <w:sz w:val="24"/>
          <w:szCs w:val="24"/>
        </w:rPr>
        <w:t>7</w:t>
      </w:r>
      <w:r w:rsidR="002A2AE4">
        <w:rPr>
          <w:rFonts w:ascii="Times New Roman" w:hAnsi="Times New Roman" w:cs="Times New Roman"/>
          <w:sz w:val="24"/>
          <w:szCs w:val="24"/>
        </w:rPr>
        <w:t>]</w:t>
      </w:r>
      <w:r w:rsidR="008643C7">
        <w:rPr>
          <w:rFonts w:ascii="Times New Roman" w:hAnsi="Times New Roman" w:cs="Times New Roman"/>
          <w:sz w:val="24"/>
          <w:szCs w:val="24"/>
        </w:rPr>
        <w:t xml:space="preserve"> </w:t>
      </w:r>
      <w:r>
        <w:rPr>
          <w:rFonts w:ascii="Times New Roman" w:hAnsi="Times New Roman" w:cs="Times New Roman"/>
          <w:sz w:val="24"/>
          <w:szCs w:val="24"/>
        </w:rPr>
        <w:t xml:space="preserve">This prelude is set out as a reminder to litigants and legal practitioners that in the rules of court lie </w:t>
      </w:r>
      <w:r w:rsidR="00752165">
        <w:rPr>
          <w:rFonts w:ascii="Times New Roman" w:hAnsi="Times New Roman" w:cs="Times New Roman"/>
          <w:sz w:val="24"/>
          <w:szCs w:val="24"/>
        </w:rPr>
        <w:t>tools for the expeditious disposal of disputes. As such</w:t>
      </w:r>
      <w:r w:rsidR="00771D84">
        <w:rPr>
          <w:rFonts w:ascii="Times New Roman" w:hAnsi="Times New Roman" w:cs="Times New Roman"/>
          <w:sz w:val="24"/>
          <w:szCs w:val="24"/>
        </w:rPr>
        <w:t>,</w:t>
      </w:r>
      <w:r w:rsidR="00752165">
        <w:rPr>
          <w:rFonts w:ascii="Times New Roman" w:hAnsi="Times New Roman" w:cs="Times New Roman"/>
          <w:sz w:val="24"/>
          <w:szCs w:val="24"/>
        </w:rPr>
        <w:t xml:space="preserve"> compliance with the rules of court is an indispensable prerequisite to justice delivery. I now turn to the matter before me.</w:t>
      </w:r>
    </w:p>
    <w:p w14:paraId="30C68773" w14:textId="77777777" w:rsidR="00752165" w:rsidRDefault="00752165" w:rsidP="0096252A">
      <w:pPr>
        <w:pStyle w:val="NoSpacing"/>
        <w:spacing w:line="360" w:lineRule="auto"/>
        <w:jc w:val="both"/>
        <w:rPr>
          <w:rFonts w:ascii="Times New Roman" w:hAnsi="Times New Roman" w:cs="Times New Roman"/>
          <w:sz w:val="24"/>
          <w:szCs w:val="24"/>
        </w:rPr>
      </w:pPr>
    </w:p>
    <w:p w14:paraId="01EC2863" w14:textId="78B09160" w:rsidR="00752165" w:rsidRDefault="00752165"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DISPUTE BETWEEN THE PARTIES</w:t>
      </w:r>
    </w:p>
    <w:p w14:paraId="5263756D" w14:textId="77777777" w:rsidR="00752165" w:rsidRDefault="00752165" w:rsidP="0096252A">
      <w:pPr>
        <w:pStyle w:val="NoSpacing"/>
        <w:spacing w:line="360" w:lineRule="auto"/>
        <w:jc w:val="both"/>
        <w:rPr>
          <w:rFonts w:ascii="Times New Roman" w:hAnsi="Times New Roman" w:cs="Times New Roman"/>
          <w:sz w:val="24"/>
          <w:szCs w:val="24"/>
        </w:rPr>
      </w:pPr>
    </w:p>
    <w:p w14:paraId="59A3B88E" w14:textId="0B5FA84F" w:rsidR="008C55B0" w:rsidRDefault="00752165"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4313">
        <w:rPr>
          <w:rFonts w:ascii="Times New Roman" w:hAnsi="Times New Roman" w:cs="Times New Roman"/>
          <w:sz w:val="24"/>
          <w:szCs w:val="24"/>
        </w:rPr>
        <w:t>8</w:t>
      </w:r>
      <w:r>
        <w:rPr>
          <w:rFonts w:ascii="Times New Roman" w:hAnsi="Times New Roman" w:cs="Times New Roman"/>
          <w:sz w:val="24"/>
          <w:szCs w:val="24"/>
        </w:rPr>
        <w:t xml:space="preserve">] </w:t>
      </w:r>
      <w:r w:rsidR="008C55B0">
        <w:rPr>
          <w:rFonts w:ascii="Times New Roman" w:hAnsi="Times New Roman" w:cs="Times New Roman"/>
          <w:sz w:val="24"/>
          <w:szCs w:val="24"/>
        </w:rPr>
        <w:t>I will retain the terms “applicant</w:t>
      </w:r>
      <w:r w:rsidR="00C47AA5">
        <w:rPr>
          <w:rFonts w:ascii="Times New Roman" w:hAnsi="Times New Roman" w:cs="Times New Roman"/>
          <w:sz w:val="24"/>
          <w:szCs w:val="24"/>
        </w:rPr>
        <w:t>s</w:t>
      </w:r>
      <w:r w:rsidR="008C55B0">
        <w:rPr>
          <w:rFonts w:ascii="Times New Roman" w:hAnsi="Times New Roman" w:cs="Times New Roman"/>
          <w:sz w:val="24"/>
          <w:szCs w:val="24"/>
        </w:rPr>
        <w:t xml:space="preserve">” and “respondent” to refer to the parties both in the present and main application. </w:t>
      </w:r>
      <w:r w:rsidR="00AA1E7E">
        <w:rPr>
          <w:rFonts w:ascii="Times New Roman" w:hAnsi="Times New Roman" w:cs="Times New Roman"/>
          <w:sz w:val="24"/>
          <w:szCs w:val="24"/>
        </w:rPr>
        <w:t>(Both matters were filed under the same case number HCHC 67/24</w:t>
      </w:r>
      <w:r w:rsidR="00497A9C">
        <w:rPr>
          <w:rFonts w:ascii="Times New Roman" w:hAnsi="Times New Roman" w:cs="Times New Roman"/>
          <w:sz w:val="24"/>
          <w:szCs w:val="24"/>
        </w:rPr>
        <w:t>). Applicant</w:t>
      </w:r>
      <w:r w:rsidR="00C47AA5">
        <w:rPr>
          <w:rFonts w:ascii="Times New Roman" w:hAnsi="Times New Roman" w:cs="Times New Roman"/>
          <w:sz w:val="24"/>
          <w:szCs w:val="24"/>
        </w:rPr>
        <w:t xml:space="preserve">s </w:t>
      </w:r>
      <w:r w:rsidR="00110C94">
        <w:rPr>
          <w:rFonts w:ascii="Times New Roman" w:hAnsi="Times New Roman" w:cs="Times New Roman"/>
          <w:sz w:val="24"/>
          <w:szCs w:val="24"/>
        </w:rPr>
        <w:t>are described</w:t>
      </w:r>
      <w:r w:rsidR="00497A9C">
        <w:rPr>
          <w:rFonts w:ascii="Times New Roman" w:hAnsi="Times New Roman" w:cs="Times New Roman"/>
          <w:sz w:val="24"/>
          <w:szCs w:val="24"/>
        </w:rPr>
        <w:t xml:space="preserve"> as a family trust whose objects are not for present purposes relevant. Respondent is a diamond process and polishing entity. </w:t>
      </w:r>
    </w:p>
    <w:p w14:paraId="120E6247" w14:textId="77777777" w:rsidR="008C55B0" w:rsidRDefault="008C55B0" w:rsidP="0096252A">
      <w:pPr>
        <w:pStyle w:val="NoSpacing"/>
        <w:spacing w:line="360" w:lineRule="auto"/>
        <w:jc w:val="both"/>
        <w:rPr>
          <w:rFonts w:ascii="Times New Roman" w:hAnsi="Times New Roman" w:cs="Times New Roman"/>
          <w:sz w:val="24"/>
          <w:szCs w:val="24"/>
        </w:rPr>
      </w:pPr>
    </w:p>
    <w:p w14:paraId="39AEDC31" w14:textId="7DBEECF4" w:rsidR="00BF33DE" w:rsidRDefault="008C55B0"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4313">
        <w:rPr>
          <w:rFonts w:ascii="Times New Roman" w:hAnsi="Times New Roman" w:cs="Times New Roman"/>
          <w:sz w:val="24"/>
          <w:szCs w:val="24"/>
        </w:rPr>
        <w:t>9</w:t>
      </w:r>
      <w:r>
        <w:rPr>
          <w:rFonts w:ascii="Times New Roman" w:hAnsi="Times New Roman" w:cs="Times New Roman"/>
          <w:sz w:val="24"/>
          <w:szCs w:val="24"/>
        </w:rPr>
        <w:t xml:space="preserve">] </w:t>
      </w:r>
      <w:r w:rsidR="00AB3E09">
        <w:rPr>
          <w:rFonts w:ascii="Times New Roman" w:hAnsi="Times New Roman" w:cs="Times New Roman"/>
          <w:sz w:val="24"/>
          <w:szCs w:val="24"/>
        </w:rPr>
        <w:t xml:space="preserve">The </w:t>
      </w:r>
      <w:r>
        <w:rPr>
          <w:rFonts w:ascii="Times New Roman" w:hAnsi="Times New Roman" w:cs="Times New Roman"/>
          <w:sz w:val="24"/>
          <w:szCs w:val="24"/>
        </w:rPr>
        <w:t xml:space="preserve">facts </w:t>
      </w:r>
      <w:r w:rsidR="00676733">
        <w:rPr>
          <w:rFonts w:ascii="Times New Roman" w:hAnsi="Times New Roman" w:cs="Times New Roman"/>
          <w:sz w:val="24"/>
          <w:szCs w:val="24"/>
        </w:rPr>
        <w:t xml:space="preserve">relevant to present dispute </w:t>
      </w:r>
      <w:r>
        <w:rPr>
          <w:rFonts w:ascii="Times New Roman" w:hAnsi="Times New Roman" w:cs="Times New Roman"/>
          <w:sz w:val="24"/>
          <w:szCs w:val="24"/>
        </w:rPr>
        <w:t xml:space="preserve">are </w:t>
      </w:r>
      <w:r w:rsidR="00676733">
        <w:rPr>
          <w:rFonts w:ascii="Times New Roman" w:hAnsi="Times New Roman" w:cs="Times New Roman"/>
          <w:sz w:val="24"/>
          <w:szCs w:val="24"/>
        </w:rPr>
        <w:t>as follows; -</w:t>
      </w:r>
      <w:r w:rsidR="00AB3E09">
        <w:rPr>
          <w:rFonts w:ascii="Times New Roman" w:hAnsi="Times New Roman" w:cs="Times New Roman"/>
          <w:sz w:val="24"/>
          <w:szCs w:val="24"/>
        </w:rPr>
        <w:t>applicant</w:t>
      </w:r>
      <w:r w:rsidR="00C47AA5">
        <w:rPr>
          <w:rFonts w:ascii="Times New Roman" w:hAnsi="Times New Roman" w:cs="Times New Roman"/>
          <w:sz w:val="24"/>
          <w:szCs w:val="24"/>
        </w:rPr>
        <w:t>s</w:t>
      </w:r>
      <w:r w:rsidR="00AB3E09">
        <w:rPr>
          <w:rFonts w:ascii="Times New Roman" w:hAnsi="Times New Roman" w:cs="Times New Roman"/>
          <w:sz w:val="24"/>
          <w:szCs w:val="24"/>
        </w:rPr>
        <w:t xml:space="preserve"> </w:t>
      </w:r>
      <w:r w:rsidR="00D02344">
        <w:rPr>
          <w:rFonts w:ascii="Times New Roman" w:hAnsi="Times New Roman" w:cs="Times New Roman"/>
          <w:sz w:val="24"/>
          <w:szCs w:val="24"/>
        </w:rPr>
        <w:t xml:space="preserve">aver that it </w:t>
      </w:r>
      <w:r w:rsidR="00676733">
        <w:rPr>
          <w:rFonts w:ascii="Times New Roman" w:hAnsi="Times New Roman" w:cs="Times New Roman"/>
          <w:sz w:val="24"/>
          <w:szCs w:val="24"/>
        </w:rPr>
        <w:t xml:space="preserve">structured, </w:t>
      </w:r>
      <w:r w:rsidR="00771D84">
        <w:rPr>
          <w:rFonts w:ascii="Times New Roman" w:hAnsi="Times New Roman" w:cs="Times New Roman"/>
          <w:sz w:val="24"/>
          <w:szCs w:val="24"/>
        </w:rPr>
        <w:t>on 7 October 2022</w:t>
      </w:r>
      <w:r w:rsidR="00676733">
        <w:rPr>
          <w:rFonts w:ascii="Times New Roman" w:hAnsi="Times New Roman" w:cs="Times New Roman"/>
          <w:sz w:val="24"/>
          <w:szCs w:val="24"/>
        </w:rPr>
        <w:t>,</w:t>
      </w:r>
      <w:r w:rsidR="00AB3E09">
        <w:rPr>
          <w:rFonts w:ascii="Times New Roman" w:hAnsi="Times New Roman" w:cs="Times New Roman"/>
          <w:sz w:val="24"/>
          <w:szCs w:val="24"/>
        </w:rPr>
        <w:t xml:space="preserve"> a loan security arrangement in favour of respondent`s financier, one Mr. Tyanai </w:t>
      </w:r>
      <w:r w:rsidR="00676733">
        <w:rPr>
          <w:rFonts w:ascii="Times New Roman" w:hAnsi="Times New Roman" w:cs="Times New Roman"/>
          <w:sz w:val="24"/>
          <w:szCs w:val="24"/>
        </w:rPr>
        <w:t>Mutombo. Under that arrangement, applicant</w:t>
      </w:r>
      <w:r w:rsidR="00110C94">
        <w:rPr>
          <w:rFonts w:ascii="Times New Roman" w:hAnsi="Times New Roman" w:cs="Times New Roman"/>
          <w:sz w:val="24"/>
          <w:szCs w:val="24"/>
        </w:rPr>
        <w:t>s</w:t>
      </w:r>
      <w:r w:rsidR="00676733">
        <w:rPr>
          <w:rFonts w:ascii="Times New Roman" w:hAnsi="Times New Roman" w:cs="Times New Roman"/>
          <w:sz w:val="24"/>
          <w:szCs w:val="24"/>
        </w:rPr>
        <w:t xml:space="preserve"> </w:t>
      </w:r>
      <w:r w:rsidR="00AA1E7E">
        <w:rPr>
          <w:rFonts w:ascii="Times New Roman" w:hAnsi="Times New Roman" w:cs="Times New Roman"/>
          <w:sz w:val="24"/>
          <w:szCs w:val="24"/>
        </w:rPr>
        <w:t>offered; -</w:t>
      </w:r>
      <w:r w:rsidR="00676733">
        <w:rPr>
          <w:rFonts w:ascii="Times New Roman" w:hAnsi="Times New Roman" w:cs="Times New Roman"/>
          <w:sz w:val="24"/>
          <w:szCs w:val="24"/>
        </w:rPr>
        <w:t xml:space="preserve">for a fee- </w:t>
      </w:r>
      <w:r>
        <w:rPr>
          <w:rFonts w:ascii="Times New Roman" w:hAnsi="Times New Roman" w:cs="Times New Roman"/>
          <w:sz w:val="24"/>
          <w:szCs w:val="24"/>
        </w:rPr>
        <w:t xml:space="preserve">its </w:t>
      </w:r>
      <w:r w:rsidR="00676733">
        <w:rPr>
          <w:rFonts w:ascii="Times New Roman" w:hAnsi="Times New Roman" w:cs="Times New Roman"/>
          <w:sz w:val="24"/>
          <w:szCs w:val="24"/>
        </w:rPr>
        <w:t xml:space="preserve">immovable </w:t>
      </w:r>
      <w:r w:rsidR="00BF33DE">
        <w:rPr>
          <w:rFonts w:ascii="Times New Roman" w:hAnsi="Times New Roman" w:cs="Times New Roman"/>
          <w:sz w:val="24"/>
          <w:szCs w:val="24"/>
        </w:rPr>
        <w:t>property as</w:t>
      </w:r>
      <w:r w:rsidR="00676733">
        <w:rPr>
          <w:rFonts w:ascii="Times New Roman" w:hAnsi="Times New Roman" w:cs="Times New Roman"/>
          <w:sz w:val="24"/>
          <w:szCs w:val="24"/>
        </w:rPr>
        <w:t xml:space="preserve"> security for </w:t>
      </w:r>
      <w:r w:rsidR="00771D84">
        <w:rPr>
          <w:rFonts w:ascii="Times New Roman" w:hAnsi="Times New Roman" w:cs="Times New Roman"/>
          <w:sz w:val="24"/>
          <w:szCs w:val="24"/>
        </w:rPr>
        <w:t xml:space="preserve">the </w:t>
      </w:r>
      <w:r w:rsidR="00BF33DE">
        <w:rPr>
          <w:rFonts w:ascii="Times New Roman" w:hAnsi="Times New Roman" w:cs="Times New Roman"/>
          <w:sz w:val="24"/>
          <w:szCs w:val="24"/>
        </w:rPr>
        <w:t xml:space="preserve">loan. </w:t>
      </w:r>
    </w:p>
    <w:p w14:paraId="789A412F" w14:textId="77777777" w:rsidR="00BF33DE" w:rsidRDefault="00BF33DE" w:rsidP="0096252A">
      <w:pPr>
        <w:pStyle w:val="NoSpacing"/>
        <w:spacing w:line="360" w:lineRule="auto"/>
        <w:jc w:val="both"/>
        <w:rPr>
          <w:rFonts w:ascii="Times New Roman" w:hAnsi="Times New Roman" w:cs="Times New Roman"/>
          <w:sz w:val="24"/>
          <w:szCs w:val="24"/>
        </w:rPr>
      </w:pPr>
    </w:p>
    <w:p w14:paraId="4A9BA5DA" w14:textId="35C20278" w:rsidR="00BF33DE" w:rsidRDefault="00BF33DE"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4313">
        <w:rPr>
          <w:rFonts w:ascii="Times New Roman" w:hAnsi="Times New Roman" w:cs="Times New Roman"/>
          <w:sz w:val="24"/>
          <w:szCs w:val="24"/>
        </w:rPr>
        <w:t>10</w:t>
      </w:r>
      <w:r>
        <w:rPr>
          <w:rFonts w:ascii="Times New Roman" w:hAnsi="Times New Roman" w:cs="Times New Roman"/>
          <w:sz w:val="24"/>
          <w:szCs w:val="24"/>
        </w:rPr>
        <w:t>] The property, Stand 760 of Borrowdale Township of Stand 46 Borrowdale Township 3</w:t>
      </w:r>
      <w:r w:rsidR="00AA1E7E">
        <w:rPr>
          <w:rFonts w:ascii="Times New Roman" w:hAnsi="Times New Roman" w:cs="Times New Roman"/>
          <w:sz w:val="24"/>
          <w:szCs w:val="24"/>
        </w:rPr>
        <w:t xml:space="preserve"> (“the Borrowdale property”</w:t>
      </w:r>
      <w:r w:rsidR="00771D84">
        <w:rPr>
          <w:rFonts w:ascii="Times New Roman" w:hAnsi="Times New Roman" w:cs="Times New Roman"/>
          <w:sz w:val="24"/>
          <w:szCs w:val="24"/>
        </w:rPr>
        <w:t>),</w:t>
      </w:r>
      <w:r>
        <w:rPr>
          <w:rFonts w:ascii="Times New Roman" w:hAnsi="Times New Roman" w:cs="Times New Roman"/>
          <w:sz w:val="24"/>
          <w:szCs w:val="24"/>
        </w:rPr>
        <w:t xml:space="preserve"> was described by applicant</w:t>
      </w:r>
      <w:r w:rsidR="00C47AA5">
        <w:rPr>
          <w:rFonts w:ascii="Times New Roman" w:hAnsi="Times New Roman" w:cs="Times New Roman"/>
          <w:sz w:val="24"/>
          <w:szCs w:val="24"/>
        </w:rPr>
        <w:t>s</w:t>
      </w:r>
      <w:r>
        <w:rPr>
          <w:rFonts w:ascii="Times New Roman" w:hAnsi="Times New Roman" w:cs="Times New Roman"/>
          <w:sz w:val="24"/>
          <w:szCs w:val="24"/>
        </w:rPr>
        <w:t xml:space="preserve"> as a dwelling house owned by </w:t>
      </w:r>
      <w:r w:rsidR="00AA1E7E">
        <w:rPr>
          <w:rFonts w:ascii="Times New Roman" w:hAnsi="Times New Roman" w:cs="Times New Roman"/>
          <w:sz w:val="24"/>
          <w:szCs w:val="24"/>
        </w:rPr>
        <w:t>it-</w:t>
      </w:r>
      <w:r>
        <w:rPr>
          <w:rFonts w:ascii="Times New Roman" w:hAnsi="Times New Roman" w:cs="Times New Roman"/>
          <w:sz w:val="24"/>
          <w:szCs w:val="24"/>
        </w:rPr>
        <w:t xml:space="preserve">the Kuzota Three Family </w:t>
      </w:r>
      <w:r w:rsidR="00771D84">
        <w:rPr>
          <w:rFonts w:ascii="Times New Roman" w:hAnsi="Times New Roman" w:cs="Times New Roman"/>
          <w:sz w:val="24"/>
          <w:szCs w:val="24"/>
        </w:rPr>
        <w:t xml:space="preserve">Trust. </w:t>
      </w:r>
      <w:r w:rsidR="001C3FFD">
        <w:rPr>
          <w:rFonts w:ascii="Times New Roman" w:hAnsi="Times New Roman" w:cs="Times New Roman"/>
          <w:sz w:val="24"/>
          <w:szCs w:val="24"/>
        </w:rPr>
        <w:t>In terms of Clause 1 (ii) of the agreement, respondent was obliged to pay applicant</w:t>
      </w:r>
      <w:r w:rsidR="00C47AA5">
        <w:rPr>
          <w:rFonts w:ascii="Times New Roman" w:hAnsi="Times New Roman" w:cs="Times New Roman"/>
          <w:sz w:val="24"/>
          <w:szCs w:val="24"/>
        </w:rPr>
        <w:t>s</w:t>
      </w:r>
      <w:r w:rsidR="001C3FFD">
        <w:rPr>
          <w:rFonts w:ascii="Times New Roman" w:hAnsi="Times New Roman" w:cs="Times New Roman"/>
          <w:sz w:val="24"/>
          <w:szCs w:val="24"/>
        </w:rPr>
        <w:t xml:space="preserve"> certain sums of money including US$30,000 in 3 equal instalments as “title deed usage”, US$20,000 in 2 equal instalments and a total of US$50,000 between October and December 2022. </w:t>
      </w:r>
    </w:p>
    <w:p w14:paraId="5227A24A" w14:textId="77777777" w:rsidR="00BF33DE" w:rsidRDefault="00BF33DE" w:rsidP="0096252A">
      <w:pPr>
        <w:pStyle w:val="NoSpacing"/>
        <w:spacing w:line="360" w:lineRule="auto"/>
        <w:jc w:val="both"/>
        <w:rPr>
          <w:rFonts w:ascii="Times New Roman" w:hAnsi="Times New Roman" w:cs="Times New Roman"/>
          <w:sz w:val="24"/>
          <w:szCs w:val="24"/>
        </w:rPr>
      </w:pPr>
    </w:p>
    <w:p w14:paraId="31622ECD" w14:textId="2236619C" w:rsidR="001C3FFD" w:rsidRDefault="00BF33DE"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4313">
        <w:rPr>
          <w:rFonts w:ascii="Times New Roman" w:hAnsi="Times New Roman" w:cs="Times New Roman"/>
          <w:sz w:val="24"/>
          <w:szCs w:val="24"/>
        </w:rPr>
        <w:t>11</w:t>
      </w:r>
      <w:r>
        <w:rPr>
          <w:rFonts w:ascii="Times New Roman" w:hAnsi="Times New Roman" w:cs="Times New Roman"/>
          <w:sz w:val="24"/>
          <w:szCs w:val="24"/>
        </w:rPr>
        <w:t xml:space="preserve">] The loan amount was not stated in the agreement. </w:t>
      </w:r>
      <w:r w:rsidR="001C3FFD">
        <w:rPr>
          <w:rFonts w:ascii="Times New Roman" w:hAnsi="Times New Roman" w:cs="Times New Roman"/>
          <w:sz w:val="24"/>
          <w:szCs w:val="24"/>
        </w:rPr>
        <w:t>But according to Clause 1 (ii) (f) of that agreement, respondent was to liquidate the loan due to Mr. Mutombo. Respondent was further mandated to secure the release and return of the title deeds to the Borrowdale property. Respondent</w:t>
      </w:r>
      <w:r w:rsidR="00D02344">
        <w:rPr>
          <w:rFonts w:ascii="Times New Roman" w:hAnsi="Times New Roman" w:cs="Times New Roman"/>
          <w:sz w:val="24"/>
          <w:szCs w:val="24"/>
        </w:rPr>
        <w:t xml:space="preserve"> </w:t>
      </w:r>
      <w:r>
        <w:rPr>
          <w:rFonts w:ascii="Times New Roman" w:hAnsi="Times New Roman" w:cs="Times New Roman"/>
          <w:sz w:val="24"/>
          <w:szCs w:val="24"/>
        </w:rPr>
        <w:t xml:space="preserve">disputes that the loan was for its exclusive benefit. It alleges that both </w:t>
      </w:r>
      <w:r w:rsidR="00D02344">
        <w:rPr>
          <w:rFonts w:ascii="Times New Roman" w:hAnsi="Times New Roman" w:cs="Times New Roman"/>
          <w:sz w:val="24"/>
          <w:szCs w:val="24"/>
        </w:rPr>
        <w:t>parties were co-principal debtors and recipients of the loan proceeds.</w:t>
      </w:r>
    </w:p>
    <w:p w14:paraId="04F87E7F" w14:textId="77777777" w:rsidR="001C3FFD" w:rsidRDefault="001C3FFD" w:rsidP="0096252A">
      <w:pPr>
        <w:pStyle w:val="NoSpacing"/>
        <w:spacing w:line="360" w:lineRule="auto"/>
        <w:jc w:val="both"/>
        <w:rPr>
          <w:rFonts w:ascii="Times New Roman" w:hAnsi="Times New Roman" w:cs="Times New Roman"/>
          <w:sz w:val="24"/>
          <w:szCs w:val="24"/>
        </w:rPr>
      </w:pPr>
    </w:p>
    <w:p w14:paraId="164F9CFA" w14:textId="3466659D" w:rsidR="00AB3E09" w:rsidRDefault="001C3FFD"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64313">
        <w:rPr>
          <w:rFonts w:ascii="Times New Roman" w:hAnsi="Times New Roman" w:cs="Times New Roman"/>
          <w:sz w:val="24"/>
          <w:szCs w:val="24"/>
        </w:rPr>
        <w:t>2</w:t>
      </w:r>
      <w:r w:rsidR="00D652E4">
        <w:rPr>
          <w:rFonts w:ascii="Times New Roman" w:hAnsi="Times New Roman" w:cs="Times New Roman"/>
          <w:sz w:val="24"/>
          <w:szCs w:val="24"/>
        </w:rPr>
        <w:t>] That</w:t>
      </w:r>
      <w:r w:rsidR="00BF33DE">
        <w:rPr>
          <w:rFonts w:ascii="Times New Roman" w:hAnsi="Times New Roman" w:cs="Times New Roman"/>
          <w:sz w:val="24"/>
          <w:szCs w:val="24"/>
        </w:rPr>
        <w:t xml:space="preserve"> disputed position aside, it</w:t>
      </w:r>
      <w:r w:rsidR="00676733">
        <w:rPr>
          <w:rFonts w:ascii="Times New Roman" w:hAnsi="Times New Roman" w:cs="Times New Roman"/>
          <w:sz w:val="24"/>
          <w:szCs w:val="24"/>
        </w:rPr>
        <w:t xml:space="preserve"> </w:t>
      </w:r>
      <w:r w:rsidR="00BF33DE">
        <w:rPr>
          <w:rFonts w:ascii="Times New Roman" w:hAnsi="Times New Roman" w:cs="Times New Roman"/>
          <w:sz w:val="24"/>
          <w:szCs w:val="24"/>
        </w:rPr>
        <w:t>is common</w:t>
      </w:r>
      <w:r w:rsidR="00676733">
        <w:rPr>
          <w:rFonts w:ascii="Times New Roman" w:hAnsi="Times New Roman" w:cs="Times New Roman"/>
          <w:sz w:val="24"/>
          <w:szCs w:val="24"/>
        </w:rPr>
        <w:t xml:space="preserve"> cause that the</w:t>
      </w:r>
      <w:r w:rsidR="00D02344">
        <w:rPr>
          <w:rFonts w:ascii="Times New Roman" w:hAnsi="Times New Roman" w:cs="Times New Roman"/>
          <w:sz w:val="24"/>
          <w:szCs w:val="24"/>
        </w:rPr>
        <w:t>re was default and the</w:t>
      </w:r>
      <w:r w:rsidR="00676733">
        <w:rPr>
          <w:rFonts w:ascii="Times New Roman" w:hAnsi="Times New Roman" w:cs="Times New Roman"/>
          <w:sz w:val="24"/>
          <w:szCs w:val="24"/>
        </w:rPr>
        <w:t xml:space="preserve"> financier obtained an order of this court per KWENDA J dated 11 December 2023.</w:t>
      </w:r>
      <w:r w:rsidR="00BF33DE">
        <w:rPr>
          <w:rFonts w:ascii="Times New Roman" w:hAnsi="Times New Roman" w:cs="Times New Roman"/>
          <w:sz w:val="24"/>
          <w:szCs w:val="24"/>
        </w:rPr>
        <w:t>] The order directed</w:t>
      </w:r>
      <w:r w:rsidR="00676733">
        <w:rPr>
          <w:rFonts w:ascii="Times New Roman" w:hAnsi="Times New Roman" w:cs="Times New Roman"/>
          <w:sz w:val="24"/>
          <w:szCs w:val="24"/>
        </w:rPr>
        <w:t xml:space="preserve"> </w:t>
      </w:r>
      <w:r w:rsidR="00110C94">
        <w:rPr>
          <w:rFonts w:ascii="Times New Roman" w:hAnsi="Times New Roman" w:cs="Times New Roman"/>
          <w:sz w:val="24"/>
          <w:szCs w:val="24"/>
        </w:rPr>
        <w:t xml:space="preserve">the </w:t>
      </w:r>
      <w:r w:rsidR="00676733">
        <w:rPr>
          <w:rFonts w:ascii="Times New Roman" w:hAnsi="Times New Roman" w:cs="Times New Roman"/>
          <w:sz w:val="24"/>
          <w:szCs w:val="24"/>
        </w:rPr>
        <w:t>applicant</w:t>
      </w:r>
      <w:r w:rsidR="00110C94">
        <w:rPr>
          <w:rFonts w:ascii="Times New Roman" w:hAnsi="Times New Roman" w:cs="Times New Roman"/>
          <w:sz w:val="24"/>
          <w:szCs w:val="24"/>
        </w:rPr>
        <w:t>s</w:t>
      </w:r>
      <w:r w:rsidR="00676733">
        <w:rPr>
          <w:rFonts w:ascii="Times New Roman" w:hAnsi="Times New Roman" w:cs="Times New Roman"/>
          <w:sz w:val="24"/>
          <w:szCs w:val="24"/>
        </w:rPr>
        <w:t xml:space="preserve"> and respondent to pay Mr. Mutombo the capital sum of US$392,483 plus interest, plus ancillary fees and costs. The applicants` </w:t>
      </w:r>
      <w:r w:rsidR="00AA1E7E">
        <w:rPr>
          <w:rFonts w:ascii="Times New Roman" w:hAnsi="Times New Roman" w:cs="Times New Roman"/>
          <w:sz w:val="24"/>
          <w:szCs w:val="24"/>
        </w:rPr>
        <w:t xml:space="preserve">Borrowdale </w:t>
      </w:r>
      <w:r w:rsidR="00676733">
        <w:rPr>
          <w:rFonts w:ascii="Times New Roman" w:hAnsi="Times New Roman" w:cs="Times New Roman"/>
          <w:sz w:val="24"/>
          <w:szCs w:val="24"/>
        </w:rPr>
        <w:t>property</w:t>
      </w:r>
      <w:r w:rsidR="00AA1E7E">
        <w:rPr>
          <w:rFonts w:ascii="Times New Roman" w:hAnsi="Times New Roman" w:cs="Times New Roman"/>
          <w:sz w:val="24"/>
          <w:szCs w:val="24"/>
        </w:rPr>
        <w:t>,</w:t>
      </w:r>
      <w:r w:rsidR="00676733">
        <w:rPr>
          <w:rFonts w:ascii="Times New Roman" w:hAnsi="Times New Roman" w:cs="Times New Roman"/>
          <w:sz w:val="24"/>
          <w:szCs w:val="24"/>
        </w:rPr>
        <w:t xml:space="preserve"> earlier surrendered as collateral</w:t>
      </w:r>
      <w:r w:rsidR="00AA1E7E">
        <w:rPr>
          <w:rFonts w:ascii="Times New Roman" w:hAnsi="Times New Roman" w:cs="Times New Roman"/>
          <w:sz w:val="24"/>
          <w:szCs w:val="24"/>
        </w:rPr>
        <w:t>,</w:t>
      </w:r>
      <w:r w:rsidR="00676733">
        <w:rPr>
          <w:rFonts w:ascii="Times New Roman" w:hAnsi="Times New Roman" w:cs="Times New Roman"/>
          <w:sz w:val="24"/>
          <w:szCs w:val="24"/>
        </w:rPr>
        <w:t xml:space="preserve"> was </w:t>
      </w:r>
      <w:r w:rsidR="00BF33DE">
        <w:rPr>
          <w:rFonts w:ascii="Times New Roman" w:hAnsi="Times New Roman" w:cs="Times New Roman"/>
          <w:sz w:val="24"/>
          <w:szCs w:val="24"/>
        </w:rPr>
        <w:t xml:space="preserve">declared specially executable. </w:t>
      </w:r>
      <w:r w:rsidR="00AA1E7E">
        <w:rPr>
          <w:rFonts w:ascii="Times New Roman" w:hAnsi="Times New Roman" w:cs="Times New Roman"/>
          <w:sz w:val="24"/>
          <w:szCs w:val="24"/>
        </w:rPr>
        <w:t>The property w</w:t>
      </w:r>
      <w:r w:rsidR="00BF33DE">
        <w:rPr>
          <w:rFonts w:ascii="Times New Roman" w:hAnsi="Times New Roman" w:cs="Times New Roman"/>
          <w:sz w:val="24"/>
          <w:szCs w:val="24"/>
        </w:rPr>
        <w:t xml:space="preserve">as eventually </w:t>
      </w:r>
      <w:r w:rsidR="00676733">
        <w:rPr>
          <w:rFonts w:ascii="Times New Roman" w:hAnsi="Times New Roman" w:cs="Times New Roman"/>
          <w:sz w:val="24"/>
          <w:szCs w:val="24"/>
        </w:rPr>
        <w:t xml:space="preserve">sold to realise part of the </w:t>
      </w:r>
      <w:r w:rsidR="00BF33DE">
        <w:rPr>
          <w:rFonts w:ascii="Times New Roman" w:hAnsi="Times New Roman" w:cs="Times New Roman"/>
          <w:sz w:val="24"/>
          <w:szCs w:val="24"/>
        </w:rPr>
        <w:t>obligation, though under a subsequent deed of settlement between the herein parties and Mr. Mutombo</w:t>
      </w:r>
      <w:r w:rsidR="00676733">
        <w:rPr>
          <w:rFonts w:ascii="Times New Roman" w:hAnsi="Times New Roman" w:cs="Times New Roman"/>
          <w:sz w:val="24"/>
          <w:szCs w:val="24"/>
        </w:rPr>
        <w:t xml:space="preserve">. </w:t>
      </w:r>
    </w:p>
    <w:p w14:paraId="1F0C9E55" w14:textId="77777777" w:rsidR="00AB3E09" w:rsidRDefault="00AB3E09" w:rsidP="0096252A">
      <w:pPr>
        <w:pStyle w:val="NoSpacing"/>
        <w:spacing w:line="360" w:lineRule="auto"/>
        <w:jc w:val="both"/>
        <w:rPr>
          <w:rFonts w:ascii="Times New Roman" w:hAnsi="Times New Roman" w:cs="Times New Roman"/>
          <w:sz w:val="24"/>
          <w:szCs w:val="24"/>
        </w:rPr>
      </w:pPr>
    </w:p>
    <w:p w14:paraId="4A406470" w14:textId="2AFE83B8" w:rsidR="00497A9C" w:rsidRDefault="00676733" w:rsidP="00497A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64313">
        <w:rPr>
          <w:rFonts w:ascii="Times New Roman" w:hAnsi="Times New Roman" w:cs="Times New Roman"/>
          <w:sz w:val="24"/>
          <w:szCs w:val="24"/>
        </w:rPr>
        <w:t>13</w:t>
      </w:r>
      <w:r>
        <w:rPr>
          <w:rFonts w:ascii="Times New Roman" w:hAnsi="Times New Roman" w:cs="Times New Roman"/>
          <w:sz w:val="24"/>
          <w:szCs w:val="24"/>
        </w:rPr>
        <w:t>] The applicant</w:t>
      </w:r>
      <w:r w:rsidR="00C47AA5">
        <w:rPr>
          <w:rFonts w:ascii="Times New Roman" w:hAnsi="Times New Roman" w:cs="Times New Roman"/>
          <w:sz w:val="24"/>
          <w:szCs w:val="24"/>
        </w:rPr>
        <w:t>s</w:t>
      </w:r>
      <w:r w:rsidR="00D02344">
        <w:rPr>
          <w:rFonts w:ascii="Times New Roman" w:hAnsi="Times New Roman" w:cs="Times New Roman"/>
          <w:sz w:val="24"/>
          <w:szCs w:val="24"/>
        </w:rPr>
        <w:t xml:space="preserve"> then turned on respondent. It </w:t>
      </w:r>
      <w:r w:rsidR="00AA1E7E">
        <w:rPr>
          <w:rFonts w:ascii="Times New Roman" w:hAnsi="Times New Roman" w:cs="Times New Roman"/>
          <w:sz w:val="24"/>
          <w:szCs w:val="24"/>
        </w:rPr>
        <w:t xml:space="preserve">demanded </w:t>
      </w:r>
      <w:r>
        <w:rPr>
          <w:rFonts w:ascii="Times New Roman" w:hAnsi="Times New Roman" w:cs="Times New Roman"/>
          <w:sz w:val="24"/>
          <w:szCs w:val="24"/>
        </w:rPr>
        <w:t xml:space="preserve">a total of US$778,000 under various heads whose causa drew from the </w:t>
      </w:r>
      <w:r w:rsidR="00AA1E7E">
        <w:rPr>
          <w:rFonts w:ascii="Times New Roman" w:hAnsi="Times New Roman" w:cs="Times New Roman"/>
          <w:sz w:val="24"/>
          <w:szCs w:val="24"/>
        </w:rPr>
        <w:t xml:space="preserve">financing </w:t>
      </w:r>
      <w:r>
        <w:rPr>
          <w:rFonts w:ascii="Times New Roman" w:hAnsi="Times New Roman" w:cs="Times New Roman"/>
          <w:sz w:val="24"/>
          <w:szCs w:val="24"/>
        </w:rPr>
        <w:t>structure adverted to above. Respondent denied liability prompting applicant</w:t>
      </w:r>
      <w:r w:rsidR="00C47AA5">
        <w:rPr>
          <w:rFonts w:ascii="Times New Roman" w:hAnsi="Times New Roman" w:cs="Times New Roman"/>
          <w:sz w:val="24"/>
          <w:szCs w:val="24"/>
        </w:rPr>
        <w:t>s</w:t>
      </w:r>
      <w:r>
        <w:rPr>
          <w:rFonts w:ascii="Times New Roman" w:hAnsi="Times New Roman" w:cs="Times New Roman"/>
          <w:sz w:val="24"/>
          <w:szCs w:val="24"/>
        </w:rPr>
        <w:t xml:space="preserve"> to </w:t>
      </w:r>
      <w:r w:rsidR="00497A9C">
        <w:rPr>
          <w:rFonts w:ascii="Times New Roman" w:hAnsi="Times New Roman" w:cs="Times New Roman"/>
          <w:sz w:val="24"/>
          <w:szCs w:val="24"/>
        </w:rPr>
        <w:t xml:space="preserve">bring, on 6 February 2024- the main application in terms of section 124 of the Insolvency Act [ Chapter 6:07] seeking an order placing respondent under corporate rescue. </w:t>
      </w:r>
    </w:p>
    <w:p w14:paraId="4E72DDC8" w14:textId="77777777" w:rsidR="00497A9C" w:rsidRDefault="00497A9C" w:rsidP="00497A9C">
      <w:pPr>
        <w:pStyle w:val="NoSpacing"/>
        <w:spacing w:line="360" w:lineRule="auto"/>
        <w:jc w:val="both"/>
        <w:rPr>
          <w:rFonts w:ascii="Times New Roman" w:hAnsi="Times New Roman" w:cs="Times New Roman"/>
          <w:sz w:val="24"/>
          <w:szCs w:val="24"/>
        </w:rPr>
      </w:pPr>
    </w:p>
    <w:p w14:paraId="349F0E0A" w14:textId="0D93B6F5" w:rsidR="00752165" w:rsidRDefault="00497A9C"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4313">
        <w:rPr>
          <w:rFonts w:ascii="Times New Roman" w:hAnsi="Times New Roman" w:cs="Times New Roman"/>
          <w:sz w:val="24"/>
          <w:szCs w:val="24"/>
        </w:rPr>
        <w:t>14</w:t>
      </w:r>
      <w:r>
        <w:rPr>
          <w:rFonts w:ascii="Times New Roman" w:hAnsi="Times New Roman" w:cs="Times New Roman"/>
          <w:sz w:val="24"/>
          <w:szCs w:val="24"/>
        </w:rPr>
        <w:t>] The basis of such application being that respondent was not in a position to meet its liabilities but could, under proper statutory management, be turned round to viability.</w:t>
      </w:r>
      <w:r w:rsidR="00676733">
        <w:rPr>
          <w:rFonts w:ascii="Times New Roman" w:hAnsi="Times New Roman" w:cs="Times New Roman"/>
          <w:sz w:val="24"/>
          <w:szCs w:val="24"/>
        </w:rPr>
        <w:t xml:space="preserve"> The</w:t>
      </w:r>
      <w:r w:rsidR="00FD3736">
        <w:rPr>
          <w:rFonts w:ascii="Times New Roman" w:hAnsi="Times New Roman" w:cs="Times New Roman"/>
          <w:sz w:val="24"/>
          <w:szCs w:val="24"/>
        </w:rPr>
        <w:t xml:space="preserve"> application was opposed </w:t>
      </w:r>
      <w:r w:rsidR="00AA1E7E">
        <w:rPr>
          <w:rFonts w:ascii="Times New Roman" w:hAnsi="Times New Roman" w:cs="Times New Roman"/>
          <w:sz w:val="24"/>
          <w:szCs w:val="24"/>
        </w:rPr>
        <w:t xml:space="preserve">with a number of </w:t>
      </w:r>
      <w:r w:rsidR="00FD3736">
        <w:rPr>
          <w:rFonts w:ascii="Times New Roman" w:hAnsi="Times New Roman" w:cs="Times New Roman"/>
          <w:sz w:val="24"/>
          <w:szCs w:val="24"/>
        </w:rPr>
        <w:t xml:space="preserve">points </w:t>
      </w:r>
      <w:r w:rsidR="00FD3736" w:rsidRPr="00FD3736">
        <w:rPr>
          <w:rFonts w:ascii="Times New Roman" w:hAnsi="Times New Roman" w:cs="Times New Roman"/>
          <w:i/>
          <w:iCs/>
          <w:sz w:val="24"/>
          <w:szCs w:val="24"/>
        </w:rPr>
        <w:t>in limine</w:t>
      </w:r>
      <w:r w:rsidR="00FD3736">
        <w:rPr>
          <w:rFonts w:ascii="Times New Roman" w:hAnsi="Times New Roman" w:cs="Times New Roman"/>
          <w:sz w:val="24"/>
          <w:szCs w:val="24"/>
        </w:rPr>
        <w:t xml:space="preserve"> being taken.</w:t>
      </w:r>
      <w:r w:rsidR="006B6102">
        <w:rPr>
          <w:rFonts w:ascii="Times New Roman" w:hAnsi="Times New Roman" w:cs="Times New Roman"/>
          <w:sz w:val="24"/>
          <w:szCs w:val="24"/>
        </w:rPr>
        <w:t xml:space="preserve"> </w:t>
      </w:r>
      <w:r w:rsidR="002A2AE4">
        <w:rPr>
          <w:rFonts w:ascii="Times New Roman" w:hAnsi="Times New Roman" w:cs="Times New Roman"/>
          <w:sz w:val="24"/>
          <w:szCs w:val="24"/>
        </w:rPr>
        <w:t>T</w:t>
      </w:r>
      <w:r w:rsidR="00FD3736">
        <w:rPr>
          <w:rFonts w:ascii="Times New Roman" w:hAnsi="Times New Roman" w:cs="Times New Roman"/>
          <w:sz w:val="24"/>
          <w:szCs w:val="24"/>
        </w:rPr>
        <w:t xml:space="preserve">he </w:t>
      </w:r>
      <w:r w:rsidR="00AA1E7E">
        <w:rPr>
          <w:rFonts w:ascii="Times New Roman" w:hAnsi="Times New Roman" w:cs="Times New Roman"/>
          <w:sz w:val="24"/>
          <w:szCs w:val="24"/>
        </w:rPr>
        <w:t xml:space="preserve">points were disallowed and matter was </w:t>
      </w:r>
      <w:r w:rsidR="002A2AE4">
        <w:rPr>
          <w:rFonts w:ascii="Times New Roman" w:hAnsi="Times New Roman" w:cs="Times New Roman"/>
          <w:sz w:val="24"/>
          <w:szCs w:val="24"/>
        </w:rPr>
        <w:t xml:space="preserve">set down for argument </w:t>
      </w:r>
      <w:r w:rsidR="00AA1E7E">
        <w:rPr>
          <w:rFonts w:ascii="Times New Roman" w:hAnsi="Times New Roman" w:cs="Times New Roman"/>
          <w:sz w:val="24"/>
          <w:szCs w:val="24"/>
        </w:rPr>
        <w:t xml:space="preserve">on the merits </w:t>
      </w:r>
      <w:r w:rsidR="002A2AE4">
        <w:rPr>
          <w:rFonts w:ascii="Times New Roman" w:hAnsi="Times New Roman" w:cs="Times New Roman"/>
          <w:sz w:val="24"/>
          <w:szCs w:val="24"/>
        </w:rPr>
        <w:t>virtually on 27 June 2024 at 12</w:t>
      </w:r>
      <w:r w:rsidR="00AA1E7E">
        <w:rPr>
          <w:rFonts w:ascii="Times New Roman" w:hAnsi="Times New Roman" w:cs="Times New Roman"/>
          <w:sz w:val="24"/>
          <w:szCs w:val="24"/>
        </w:rPr>
        <w:t>:00</w:t>
      </w:r>
      <w:r w:rsidR="002A2AE4">
        <w:rPr>
          <w:rFonts w:ascii="Times New Roman" w:hAnsi="Times New Roman" w:cs="Times New Roman"/>
          <w:sz w:val="24"/>
          <w:szCs w:val="24"/>
        </w:rPr>
        <w:t xml:space="preserve"> noon.</w:t>
      </w:r>
    </w:p>
    <w:p w14:paraId="0B841962" w14:textId="77777777" w:rsidR="002A2AE4" w:rsidRDefault="002A2AE4" w:rsidP="0096252A">
      <w:pPr>
        <w:pStyle w:val="NoSpacing"/>
        <w:spacing w:line="360" w:lineRule="auto"/>
        <w:jc w:val="both"/>
        <w:rPr>
          <w:rFonts w:ascii="Times New Roman" w:hAnsi="Times New Roman" w:cs="Times New Roman"/>
          <w:sz w:val="24"/>
          <w:szCs w:val="24"/>
        </w:rPr>
      </w:pPr>
    </w:p>
    <w:p w14:paraId="3CD5E975" w14:textId="55AD3FBF" w:rsidR="002A2AE4" w:rsidRDefault="002A2AE4"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97A9C">
        <w:rPr>
          <w:rFonts w:ascii="Times New Roman" w:hAnsi="Times New Roman" w:cs="Times New Roman"/>
          <w:sz w:val="24"/>
          <w:szCs w:val="24"/>
        </w:rPr>
        <w:t>1</w:t>
      </w:r>
      <w:r w:rsidR="00A64313">
        <w:rPr>
          <w:rFonts w:ascii="Times New Roman" w:hAnsi="Times New Roman" w:cs="Times New Roman"/>
          <w:sz w:val="24"/>
          <w:szCs w:val="24"/>
        </w:rPr>
        <w:t>5</w:t>
      </w:r>
      <w:r>
        <w:rPr>
          <w:rFonts w:ascii="Times New Roman" w:hAnsi="Times New Roman" w:cs="Times New Roman"/>
          <w:sz w:val="24"/>
          <w:szCs w:val="24"/>
        </w:rPr>
        <w:t xml:space="preserve">] Mr. </w:t>
      </w:r>
      <w:r w:rsidRPr="009747F3">
        <w:rPr>
          <w:rFonts w:ascii="Times New Roman" w:hAnsi="Times New Roman" w:cs="Times New Roman"/>
          <w:i/>
          <w:iCs/>
          <w:sz w:val="24"/>
          <w:szCs w:val="24"/>
        </w:rPr>
        <w:t>Madzvamuse</w:t>
      </w:r>
      <w:r>
        <w:rPr>
          <w:rFonts w:ascii="Times New Roman" w:hAnsi="Times New Roman" w:cs="Times New Roman"/>
          <w:sz w:val="24"/>
          <w:szCs w:val="24"/>
        </w:rPr>
        <w:t xml:space="preserve"> for respondent (then and now), duly joined the proceedings on time. There was no appearance for the applicant</w:t>
      </w:r>
      <w:r w:rsidR="004221E9">
        <w:rPr>
          <w:rFonts w:ascii="Times New Roman" w:hAnsi="Times New Roman" w:cs="Times New Roman"/>
          <w:sz w:val="24"/>
          <w:szCs w:val="24"/>
        </w:rPr>
        <w:t>s</w:t>
      </w:r>
      <w:r>
        <w:rPr>
          <w:rFonts w:ascii="Times New Roman" w:hAnsi="Times New Roman" w:cs="Times New Roman"/>
          <w:sz w:val="24"/>
          <w:szCs w:val="24"/>
        </w:rPr>
        <w:t xml:space="preserve">. Mr. </w:t>
      </w:r>
      <w:r w:rsidRPr="009747F3">
        <w:rPr>
          <w:rFonts w:ascii="Times New Roman" w:hAnsi="Times New Roman" w:cs="Times New Roman"/>
          <w:i/>
          <w:iCs/>
          <w:sz w:val="24"/>
          <w:szCs w:val="24"/>
        </w:rPr>
        <w:t>Mhungu</w:t>
      </w:r>
      <w:r>
        <w:rPr>
          <w:rFonts w:ascii="Times New Roman" w:hAnsi="Times New Roman" w:cs="Times New Roman"/>
          <w:sz w:val="24"/>
          <w:szCs w:val="24"/>
        </w:rPr>
        <w:t xml:space="preserve"> only joined in almost half an hour late-too late for the matter to proceed. He tendered neither explanation nor apology apart from stating that he had been held up at the High Court. I struck the matter off the roll for non-compliance with rule 53 (2). Applicant</w:t>
      </w:r>
      <w:r w:rsidR="00C47AA5">
        <w:rPr>
          <w:rFonts w:ascii="Times New Roman" w:hAnsi="Times New Roman" w:cs="Times New Roman"/>
          <w:sz w:val="24"/>
          <w:szCs w:val="24"/>
        </w:rPr>
        <w:t xml:space="preserve">s have </w:t>
      </w:r>
      <w:r>
        <w:rPr>
          <w:rFonts w:ascii="Times New Roman" w:hAnsi="Times New Roman" w:cs="Times New Roman"/>
          <w:sz w:val="24"/>
          <w:szCs w:val="24"/>
        </w:rPr>
        <w:t xml:space="preserve">since approached the court seeking clemency for failure to seek an adjournment or postponement in terms of </w:t>
      </w:r>
      <w:r w:rsidR="00AA1E7E">
        <w:rPr>
          <w:rFonts w:ascii="Times New Roman" w:hAnsi="Times New Roman" w:cs="Times New Roman"/>
          <w:sz w:val="24"/>
          <w:szCs w:val="24"/>
        </w:rPr>
        <w:t xml:space="preserve">that </w:t>
      </w:r>
      <w:r>
        <w:rPr>
          <w:rFonts w:ascii="Times New Roman" w:hAnsi="Times New Roman" w:cs="Times New Roman"/>
          <w:sz w:val="24"/>
          <w:szCs w:val="24"/>
        </w:rPr>
        <w:t xml:space="preserve">rule 53 (2). </w:t>
      </w:r>
    </w:p>
    <w:p w14:paraId="462D6553" w14:textId="77777777" w:rsidR="002A2AE4" w:rsidRDefault="002A2AE4" w:rsidP="0096252A">
      <w:pPr>
        <w:pStyle w:val="NoSpacing"/>
        <w:spacing w:line="360" w:lineRule="auto"/>
        <w:jc w:val="both"/>
        <w:rPr>
          <w:rFonts w:ascii="Times New Roman" w:hAnsi="Times New Roman" w:cs="Times New Roman"/>
          <w:sz w:val="24"/>
          <w:szCs w:val="24"/>
        </w:rPr>
      </w:pPr>
    </w:p>
    <w:p w14:paraId="2EC3990C" w14:textId="47CC2D25" w:rsidR="002A2AE4" w:rsidRDefault="002A2AE4"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CONDONATION </w:t>
      </w:r>
    </w:p>
    <w:p w14:paraId="0D95FFB6" w14:textId="77777777" w:rsidR="00851871" w:rsidRDefault="00851871" w:rsidP="0096252A">
      <w:pPr>
        <w:pStyle w:val="NoSpacing"/>
        <w:spacing w:line="360" w:lineRule="auto"/>
        <w:jc w:val="both"/>
        <w:rPr>
          <w:rFonts w:ascii="Times New Roman" w:hAnsi="Times New Roman" w:cs="Times New Roman"/>
          <w:sz w:val="24"/>
          <w:szCs w:val="24"/>
        </w:rPr>
      </w:pPr>
    </w:p>
    <w:p w14:paraId="6453B3F6" w14:textId="50215DAC" w:rsidR="009B4CF6" w:rsidRDefault="00851871"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02344">
        <w:rPr>
          <w:rFonts w:ascii="Times New Roman" w:hAnsi="Times New Roman" w:cs="Times New Roman"/>
          <w:sz w:val="24"/>
          <w:szCs w:val="24"/>
        </w:rPr>
        <w:t>1</w:t>
      </w:r>
      <w:r w:rsidR="00A64313">
        <w:rPr>
          <w:rFonts w:ascii="Times New Roman" w:hAnsi="Times New Roman" w:cs="Times New Roman"/>
          <w:sz w:val="24"/>
          <w:szCs w:val="24"/>
        </w:rPr>
        <w:t>6</w:t>
      </w:r>
      <w:r>
        <w:rPr>
          <w:rFonts w:ascii="Times New Roman" w:hAnsi="Times New Roman" w:cs="Times New Roman"/>
          <w:sz w:val="24"/>
          <w:szCs w:val="24"/>
        </w:rPr>
        <w:t>] In the present applica</w:t>
      </w:r>
      <w:r w:rsidR="004221E9">
        <w:rPr>
          <w:rFonts w:ascii="Times New Roman" w:hAnsi="Times New Roman" w:cs="Times New Roman"/>
          <w:sz w:val="24"/>
          <w:szCs w:val="24"/>
        </w:rPr>
        <w:t>tion</w:t>
      </w:r>
      <w:r>
        <w:rPr>
          <w:rFonts w:ascii="Times New Roman" w:hAnsi="Times New Roman" w:cs="Times New Roman"/>
          <w:sz w:val="24"/>
          <w:szCs w:val="24"/>
        </w:rPr>
        <w:t>, applicant</w:t>
      </w:r>
      <w:r w:rsidR="00C47AA5">
        <w:rPr>
          <w:rFonts w:ascii="Times New Roman" w:hAnsi="Times New Roman" w:cs="Times New Roman"/>
          <w:sz w:val="24"/>
          <w:szCs w:val="24"/>
        </w:rPr>
        <w:t xml:space="preserve">s` counsel Mr </w:t>
      </w:r>
      <w:r w:rsidR="00C47AA5" w:rsidRPr="00C47AA5">
        <w:rPr>
          <w:rFonts w:ascii="Times New Roman" w:hAnsi="Times New Roman" w:cs="Times New Roman"/>
          <w:i/>
          <w:iCs/>
          <w:sz w:val="24"/>
          <w:szCs w:val="24"/>
        </w:rPr>
        <w:t>Mhungu</w:t>
      </w:r>
      <w:r w:rsidR="00C47AA5">
        <w:rPr>
          <w:rFonts w:ascii="Times New Roman" w:hAnsi="Times New Roman" w:cs="Times New Roman"/>
          <w:sz w:val="24"/>
          <w:szCs w:val="24"/>
        </w:rPr>
        <w:t xml:space="preserve">, has </w:t>
      </w:r>
      <w:r>
        <w:rPr>
          <w:rFonts w:ascii="Times New Roman" w:hAnsi="Times New Roman" w:cs="Times New Roman"/>
          <w:sz w:val="24"/>
          <w:szCs w:val="24"/>
        </w:rPr>
        <w:t xml:space="preserve">expressed compunction and tendered a fuller explanation for </w:t>
      </w:r>
      <w:r w:rsidR="00C47AA5">
        <w:rPr>
          <w:rFonts w:ascii="Times New Roman" w:hAnsi="Times New Roman" w:cs="Times New Roman"/>
          <w:sz w:val="24"/>
          <w:szCs w:val="24"/>
        </w:rPr>
        <w:t xml:space="preserve">his </w:t>
      </w:r>
      <w:r>
        <w:rPr>
          <w:rFonts w:ascii="Times New Roman" w:hAnsi="Times New Roman" w:cs="Times New Roman"/>
          <w:sz w:val="24"/>
          <w:szCs w:val="24"/>
        </w:rPr>
        <w:t>late appearance on 27 June 2024.</w:t>
      </w:r>
      <w:r w:rsidR="00C47AA5">
        <w:rPr>
          <w:rFonts w:ascii="Times New Roman" w:hAnsi="Times New Roman" w:cs="Times New Roman"/>
          <w:sz w:val="24"/>
          <w:szCs w:val="24"/>
        </w:rPr>
        <w:t xml:space="preserve">In his founding affidavit, </w:t>
      </w:r>
      <w:r>
        <w:rPr>
          <w:rFonts w:ascii="Times New Roman" w:hAnsi="Times New Roman" w:cs="Times New Roman"/>
          <w:sz w:val="24"/>
          <w:szCs w:val="24"/>
        </w:rPr>
        <w:t xml:space="preserve">Mr. </w:t>
      </w:r>
      <w:r w:rsidRPr="009747F3">
        <w:rPr>
          <w:rFonts w:ascii="Times New Roman" w:hAnsi="Times New Roman" w:cs="Times New Roman"/>
          <w:i/>
          <w:iCs/>
          <w:sz w:val="24"/>
          <w:szCs w:val="24"/>
        </w:rPr>
        <w:t>Mhungu</w:t>
      </w:r>
      <w:r>
        <w:rPr>
          <w:rFonts w:ascii="Times New Roman" w:hAnsi="Times New Roman" w:cs="Times New Roman"/>
          <w:sz w:val="24"/>
          <w:szCs w:val="24"/>
        </w:rPr>
        <w:t xml:space="preserve"> deposed to the founding affidavit. Therein, </w:t>
      </w:r>
      <w:r w:rsidR="009B4CF6">
        <w:rPr>
          <w:rFonts w:ascii="Times New Roman" w:hAnsi="Times New Roman" w:cs="Times New Roman"/>
          <w:sz w:val="24"/>
          <w:szCs w:val="24"/>
        </w:rPr>
        <w:t>sought a reprieve for the applicant</w:t>
      </w:r>
      <w:r w:rsidR="004221E9">
        <w:rPr>
          <w:rFonts w:ascii="Times New Roman" w:hAnsi="Times New Roman" w:cs="Times New Roman"/>
          <w:sz w:val="24"/>
          <w:szCs w:val="24"/>
        </w:rPr>
        <w:t>s</w:t>
      </w:r>
      <w:r w:rsidR="009B4CF6">
        <w:rPr>
          <w:rFonts w:ascii="Times New Roman" w:hAnsi="Times New Roman" w:cs="Times New Roman"/>
          <w:sz w:val="24"/>
          <w:szCs w:val="24"/>
        </w:rPr>
        <w:t xml:space="preserve"> on the basis that as counsel, his conduct had not been derelict. </w:t>
      </w:r>
    </w:p>
    <w:p w14:paraId="7FBBD46A" w14:textId="77777777" w:rsidR="009B4CF6" w:rsidRDefault="009B4CF6" w:rsidP="0096252A">
      <w:pPr>
        <w:pStyle w:val="NoSpacing"/>
        <w:spacing w:line="360" w:lineRule="auto"/>
        <w:jc w:val="both"/>
        <w:rPr>
          <w:rFonts w:ascii="Times New Roman" w:hAnsi="Times New Roman" w:cs="Times New Roman"/>
          <w:sz w:val="24"/>
          <w:szCs w:val="24"/>
        </w:rPr>
      </w:pPr>
    </w:p>
    <w:p w14:paraId="4655A239" w14:textId="21A8733E" w:rsidR="00AA1E7E" w:rsidRDefault="009B4CF6"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64313">
        <w:rPr>
          <w:rFonts w:ascii="Times New Roman" w:hAnsi="Times New Roman" w:cs="Times New Roman"/>
          <w:sz w:val="24"/>
          <w:szCs w:val="24"/>
        </w:rPr>
        <w:t>7</w:t>
      </w:r>
      <w:r>
        <w:rPr>
          <w:rFonts w:ascii="Times New Roman" w:hAnsi="Times New Roman" w:cs="Times New Roman"/>
          <w:sz w:val="24"/>
          <w:szCs w:val="24"/>
        </w:rPr>
        <w:t xml:space="preserve">] Counsel explained that the predicament leading to his late appearance arose from the fact that he was counsel of choice in three </w:t>
      </w:r>
      <w:r w:rsidR="00C47AA5">
        <w:rPr>
          <w:rFonts w:ascii="Times New Roman" w:hAnsi="Times New Roman" w:cs="Times New Roman"/>
          <w:sz w:val="24"/>
          <w:szCs w:val="24"/>
        </w:rPr>
        <w:t xml:space="preserve">different </w:t>
      </w:r>
      <w:r>
        <w:rPr>
          <w:rFonts w:ascii="Times New Roman" w:hAnsi="Times New Roman" w:cs="Times New Roman"/>
          <w:sz w:val="24"/>
          <w:szCs w:val="24"/>
        </w:rPr>
        <w:t>matters; -</w:t>
      </w:r>
      <w:r w:rsidR="00AA1E7E">
        <w:rPr>
          <w:rFonts w:ascii="Times New Roman" w:hAnsi="Times New Roman" w:cs="Times New Roman"/>
          <w:sz w:val="24"/>
          <w:szCs w:val="24"/>
        </w:rPr>
        <w:t xml:space="preserve"> </w:t>
      </w:r>
      <w:r>
        <w:rPr>
          <w:rFonts w:ascii="Times New Roman" w:hAnsi="Times New Roman" w:cs="Times New Roman"/>
          <w:sz w:val="24"/>
          <w:szCs w:val="24"/>
        </w:rPr>
        <w:t>all set down in the High Court that day. Two of those matters were in</w:t>
      </w:r>
      <w:r w:rsidR="00AA1E7E">
        <w:rPr>
          <w:rFonts w:ascii="Times New Roman" w:hAnsi="Times New Roman" w:cs="Times New Roman"/>
          <w:sz w:val="24"/>
          <w:szCs w:val="24"/>
        </w:rPr>
        <w:t xml:space="preserve"> the General Division </w:t>
      </w:r>
      <w:r>
        <w:rPr>
          <w:rFonts w:ascii="Times New Roman" w:hAnsi="Times New Roman" w:cs="Times New Roman"/>
          <w:sz w:val="24"/>
          <w:szCs w:val="24"/>
        </w:rPr>
        <w:t xml:space="preserve">whilst one -HCHC 67/24, was set down </w:t>
      </w:r>
      <w:r w:rsidR="00AA1E7E">
        <w:rPr>
          <w:rFonts w:ascii="Times New Roman" w:hAnsi="Times New Roman" w:cs="Times New Roman"/>
          <w:sz w:val="24"/>
          <w:szCs w:val="24"/>
        </w:rPr>
        <w:t>in the Commercial Court.</w:t>
      </w:r>
    </w:p>
    <w:p w14:paraId="70DCE3BD" w14:textId="77777777" w:rsidR="00AA1E7E" w:rsidRDefault="00AA1E7E" w:rsidP="0096252A">
      <w:pPr>
        <w:pStyle w:val="NoSpacing"/>
        <w:spacing w:line="360" w:lineRule="auto"/>
        <w:jc w:val="both"/>
        <w:rPr>
          <w:rFonts w:ascii="Times New Roman" w:hAnsi="Times New Roman" w:cs="Times New Roman"/>
          <w:sz w:val="24"/>
          <w:szCs w:val="24"/>
        </w:rPr>
      </w:pPr>
    </w:p>
    <w:p w14:paraId="765BEC2A" w14:textId="4EA20EC1" w:rsidR="009747F3" w:rsidRDefault="00AA1E7E"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64313">
        <w:rPr>
          <w:rFonts w:ascii="Times New Roman" w:hAnsi="Times New Roman" w:cs="Times New Roman"/>
          <w:sz w:val="24"/>
          <w:szCs w:val="24"/>
        </w:rPr>
        <w:t>8</w:t>
      </w:r>
      <w:r>
        <w:rPr>
          <w:rFonts w:ascii="Times New Roman" w:hAnsi="Times New Roman" w:cs="Times New Roman"/>
          <w:sz w:val="24"/>
          <w:szCs w:val="24"/>
        </w:rPr>
        <w:t xml:space="preserve">] </w:t>
      </w:r>
      <w:r w:rsidR="009B4CF6">
        <w:rPr>
          <w:rFonts w:ascii="Times New Roman" w:hAnsi="Times New Roman" w:cs="Times New Roman"/>
          <w:sz w:val="24"/>
          <w:szCs w:val="24"/>
        </w:rPr>
        <w:t xml:space="preserve">Although </w:t>
      </w:r>
      <w:r>
        <w:rPr>
          <w:rFonts w:ascii="Times New Roman" w:hAnsi="Times New Roman" w:cs="Times New Roman"/>
          <w:sz w:val="24"/>
          <w:szCs w:val="24"/>
        </w:rPr>
        <w:t xml:space="preserve">counsel accounted for two of those matters, </w:t>
      </w:r>
      <w:r w:rsidR="00C47AA5">
        <w:rPr>
          <w:rFonts w:ascii="Times New Roman" w:hAnsi="Times New Roman" w:cs="Times New Roman"/>
          <w:sz w:val="24"/>
          <w:szCs w:val="24"/>
        </w:rPr>
        <w:t xml:space="preserve">I note that he rather </w:t>
      </w:r>
      <w:r>
        <w:rPr>
          <w:rFonts w:ascii="Times New Roman" w:hAnsi="Times New Roman" w:cs="Times New Roman"/>
          <w:sz w:val="24"/>
          <w:szCs w:val="24"/>
        </w:rPr>
        <w:t>obfuscated on the third.</w:t>
      </w:r>
      <w:r w:rsidRPr="00AA1E7E">
        <w:rPr>
          <w:rFonts w:ascii="Times New Roman" w:hAnsi="Times New Roman" w:cs="Times New Roman"/>
          <w:sz w:val="24"/>
          <w:szCs w:val="24"/>
        </w:rPr>
        <w:t xml:space="preserve"> </w:t>
      </w:r>
      <w:r>
        <w:rPr>
          <w:rFonts w:ascii="Times New Roman" w:hAnsi="Times New Roman" w:cs="Times New Roman"/>
          <w:sz w:val="24"/>
          <w:szCs w:val="24"/>
        </w:rPr>
        <w:t xml:space="preserve">The first matter was case number HCH 6629/23 which had been set down for 10:00 </w:t>
      </w:r>
      <w:r>
        <w:rPr>
          <w:rFonts w:ascii="Times New Roman" w:hAnsi="Times New Roman" w:cs="Times New Roman"/>
          <w:sz w:val="24"/>
          <w:szCs w:val="24"/>
        </w:rPr>
        <w:lastRenderedPageBreak/>
        <w:t xml:space="preserve">hours before Hon TAKUVA J. This matter took off an hour late “due to the induction on newly-appointed judges” so submitted Mr. </w:t>
      </w:r>
      <w:r w:rsidRPr="009B4CF6">
        <w:rPr>
          <w:rFonts w:ascii="Times New Roman" w:hAnsi="Times New Roman" w:cs="Times New Roman"/>
          <w:i/>
          <w:iCs/>
          <w:sz w:val="24"/>
          <w:szCs w:val="24"/>
        </w:rPr>
        <w:t>Mhungu</w:t>
      </w:r>
      <w:r>
        <w:rPr>
          <w:rFonts w:ascii="Times New Roman" w:hAnsi="Times New Roman" w:cs="Times New Roman"/>
          <w:sz w:val="24"/>
          <w:szCs w:val="24"/>
        </w:rPr>
        <w:t>.</w:t>
      </w:r>
      <w:r w:rsidR="00851871">
        <w:rPr>
          <w:rFonts w:ascii="Times New Roman" w:hAnsi="Times New Roman" w:cs="Times New Roman"/>
          <w:sz w:val="24"/>
          <w:szCs w:val="24"/>
        </w:rPr>
        <w:t xml:space="preserve"> He </w:t>
      </w:r>
      <w:r w:rsidR="00B86AA2">
        <w:rPr>
          <w:rFonts w:ascii="Times New Roman" w:hAnsi="Times New Roman" w:cs="Times New Roman"/>
          <w:sz w:val="24"/>
          <w:szCs w:val="24"/>
        </w:rPr>
        <w:t xml:space="preserve">stated </w:t>
      </w:r>
      <w:r w:rsidR="00C47AA5">
        <w:rPr>
          <w:rFonts w:ascii="Times New Roman" w:hAnsi="Times New Roman" w:cs="Times New Roman"/>
          <w:sz w:val="24"/>
          <w:szCs w:val="24"/>
        </w:rPr>
        <w:t xml:space="preserve">further </w:t>
      </w:r>
      <w:r w:rsidR="00B86AA2">
        <w:rPr>
          <w:rFonts w:ascii="Times New Roman" w:hAnsi="Times New Roman" w:cs="Times New Roman"/>
          <w:sz w:val="24"/>
          <w:szCs w:val="24"/>
        </w:rPr>
        <w:t xml:space="preserve">that he </w:t>
      </w:r>
      <w:r w:rsidR="00851871">
        <w:rPr>
          <w:rFonts w:ascii="Times New Roman" w:hAnsi="Times New Roman" w:cs="Times New Roman"/>
          <w:sz w:val="24"/>
          <w:szCs w:val="24"/>
        </w:rPr>
        <w:t xml:space="preserve">endeavoured to communicate with the </w:t>
      </w:r>
      <w:r w:rsidR="00AB3E09">
        <w:rPr>
          <w:rFonts w:ascii="Times New Roman" w:hAnsi="Times New Roman" w:cs="Times New Roman"/>
          <w:sz w:val="24"/>
          <w:szCs w:val="24"/>
        </w:rPr>
        <w:t xml:space="preserve">Judge`s </w:t>
      </w:r>
      <w:r w:rsidR="00851871">
        <w:rPr>
          <w:rFonts w:ascii="Times New Roman" w:hAnsi="Times New Roman" w:cs="Times New Roman"/>
          <w:sz w:val="24"/>
          <w:szCs w:val="24"/>
        </w:rPr>
        <w:t xml:space="preserve">Research Assistant (formerly Judge`s Clerk/Assistant) assigned to my office in order to appraise her of his </w:t>
      </w:r>
      <w:r w:rsidR="00B86AA2">
        <w:rPr>
          <w:rFonts w:ascii="Times New Roman" w:hAnsi="Times New Roman" w:cs="Times New Roman"/>
          <w:sz w:val="24"/>
          <w:szCs w:val="24"/>
        </w:rPr>
        <w:t>unconcluded commitment before Hon TAKUVA J.</w:t>
      </w:r>
    </w:p>
    <w:p w14:paraId="2D7D0DAF" w14:textId="77777777" w:rsidR="009747F3" w:rsidRDefault="009747F3" w:rsidP="0096252A">
      <w:pPr>
        <w:pStyle w:val="NoSpacing"/>
        <w:spacing w:line="360" w:lineRule="auto"/>
        <w:jc w:val="both"/>
        <w:rPr>
          <w:rFonts w:ascii="Times New Roman" w:hAnsi="Times New Roman" w:cs="Times New Roman"/>
          <w:sz w:val="24"/>
          <w:szCs w:val="24"/>
        </w:rPr>
      </w:pPr>
    </w:p>
    <w:p w14:paraId="044BF437" w14:textId="02BE53D5" w:rsidR="009747F3" w:rsidRDefault="009747F3"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02344">
        <w:rPr>
          <w:rFonts w:ascii="Times New Roman" w:hAnsi="Times New Roman" w:cs="Times New Roman"/>
          <w:sz w:val="24"/>
          <w:szCs w:val="24"/>
        </w:rPr>
        <w:t>1</w:t>
      </w:r>
      <w:r w:rsidR="00A64313">
        <w:rPr>
          <w:rFonts w:ascii="Times New Roman" w:hAnsi="Times New Roman" w:cs="Times New Roman"/>
          <w:sz w:val="24"/>
          <w:szCs w:val="24"/>
        </w:rPr>
        <w:t>9</w:t>
      </w:r>
      <w:r>
        <w:rPr>
          <w:rFonts w:ascii="Times New Roman" w:hAnsi="Times New Roman" w:cs="Times New Roman"/>
          <w:sz w:val="24"/>
          <w:szCs w:val="24"/>
        </w:rPr>
        <w:t>] Mr</w:t>
      </w:r>
      <w:r w:rsidR="00851871">
        <w:rPr>
          <w:rFonts w:ascii="Times New Roman" w:hAnsi="Times New Roman" w:cs="Times New Roman"/>
          <w:sz w:val="24"/>
          <w:szCs w:val="24"/>
        </w:rPr>
        <w:t xml:space="preserve"> </w:t>
      </w:r>
      <w:r w:rsidR="00851871" w:rsidRPr="009747F3">
        <w:rPr>
          <w:rFonts w:ascii="Times New Roman" w:hAnsi="Times New Roman" w:cs="Times New Roman"/>
          <w:i/>
          <w:iCs/>
          <w:sz w:val="24"/>
          <w:szCs w:val="24"/>
        </w:rPr>
        <w:t xml:space="preserve">Mhungu </w:t>
      </w:r>
      <w:r w:rsidR="00851871">
        <w:rPr>
          <w:rFonts w:ascii="Times New Roman" w:hAnsi="Times New Roman" w:cs="Times New Roman"/>
          <w:sz w:val="24"/>
          <w:szCs w:val="24"/>
        </w:rPr>
        <w:t xml:space="preserve">proceeds to state that he received a note from Hon TAKUVA J`s </w:t>
      </w:r>
      <w:r>
        <w:rPr>
          <w:rFonts w:ascii="Times New Roman" w:hAnsi="Times New Roman" w:cs="Times New Roman"/>
          <w:sz w:val="24"/>
          <w:szCs w:val="24"/>
        </w:rPr>
        <w:t>Research Assistant confirming that his message had been relayed. A scrap of paper with a handwritten message was copied and attached to the applicant</w:t>
      </w:r>
      <w:r w:rsidR="004221E9">
        <w:rPr>
          <w:rFonts w:ascii="Times New Roman" w:hAnsi="Times New Roman" w:cs="Times New Roman"/>
          <w:sz w:val="24"/>
          <w:szCs w:val="24"/>
        </w:rPr>
        <w:t>s`</w:t>
      </w:r>
      <w:r>
        <w:rPr>
          <w:rFonts w:ascii="Times New Roman" w:hAnsi="Times New Roman" w:cs="Times New Roman"/>
          <w:sz w:val="24"/>
          <w:szCs w:val="24"/>
        </w:rPr>
        <w:t xml:space="preserve"> papers. It was, as stated, but a scrap of paper with some wording scribbled thereon.</w:t>
      </w:r>
    </w:p>
    <w:p w14:paraId="0B80241A" w14:textId="77777777" w:rsidR="009747F3" w:rsidRDefault="009747F3" w:rsidP="0096252A">
      <w:pPr>
        <w:pStyle w:val="NoSpacing"/>
        <w:spacing w:line="360" w:lineRule="auto"/>
        <w:jc w:val="both"/>
        <w:rPr>
          <w:rFonts w:ascii="Times New Roman" w:hAnsi="Times New Roman" w:cs="Times New Roman"/>
          <w:sz w:val="24"/>
          <w:szCs w:val="24"/>
        </w:rPr>
      </w:pPr>
    </w:p>
    <w:p w14:paraId="1B32EC44" w14:textId="4DF8D4DC" w:rsidR="00190121" w:rsidRDefault="009747F3"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4313">
        <w:rPr>
          <w:rFonts w:ascii="Times New Roman" w:hAnsi="Times New Roman" w:cs="Times New Roman"/>
          <w:sz w:val="24"/>
          <w:szCs w:val="24"/>
        </w:rPr>
        <w:t>20</w:t>
      </w:r>
      <w:r>
        <w:rPr>
          <w:rFonts w:ascii="Times New Roman" w:hAnsi="Times New Roman" w:cs="Times New Roman"/>
          <w:sz w:val="24"/>
          <w:szCs w:val="24"/>
        </w:rPr>
        <w:t xml:space="preserve">] </w:t>
      </w:r>
      <w:r w:rsidR="00190121">
        <w:rPr>
          <w:rFonts w:ascii="Times New Roman" w:hAnsi="Times New Roman" w:cs="Times New Roman"/>
          <w:sz w:val="24"/>
          <w:szCs w:val="24"/>
        </w:rPr>
        <w:t xml:space="preserve">The note </w:t>
      </w:r>
      <w:r>
        <w:rPr>
          <w:rFonts w:ascii="Times New Roman" w:hAnsi="Times New Roman" w:cs="Times New Roman"/>
          <w:sz w:val="24"/>
          <w:szCs w:val="24"/>
        </w:rPr>
        <w:t>bore n</w:t>
      </w:r>
      <w:r w:rsidR="00190121">
        <w:rPr>
          <w:rFonts w:ascii="Times New Roman" w:hAnsi="Times New Roman" w:cs="Times New Roman"/>
          <w:sz w:val="24"/>
          <w:szCs w:val="24"/>
        </w:rPr>
        <w:t xml:space="preserve">either </w:t>
      </w:r>
      <w:r>
        <w:rPr>
          <w:rFonts w:ascii="Times New Roman" w:hAnsi="Times New Roman" w:cs="Times New Roman"/>
          <w:sz w:val="24"/>
          <w:szCs w:val="24"/>
        </w:rPr>
        <w:t xml:space="preserve">date nor indication of who </w:t>
      </w:r>
      <w:r w:rsidR="00190121">
        <w:rPr>
          <w:rFonts w:ascii="Times New Roman" w:hAnsi="Times New Roman" w:cs="Times New Roman"/>
          <w:sz w:val="24"/>
          <w:szCs w:val="24"/>
        </w:rPr>
        <w:t xml:space="preserve">had </w:t>
      </w:r>
      <w:r>
        <w:rPr>
          <w:rFonts w:ascii="Times New Roman" w:hAnsi="Times New Roman" w:cs="Times New Roman"/>
          <w:sz w:val="24"/>
          <w:szCs w:val="24"/>
        </w:rPr>
        <w:t xml:space="preserve">authored it. I make this point not to demand formality in hastily scrawled missives; -but </w:t>
      </w:r>
      <w:r w:rsidR="00B86AA2">
        <w:rPr>
          <w:rFonts w:ascii="Times New Roman" w:hAnsi="Times New Roman" w:cs="Times New Roman"/>
          <w:sz w:val="24"/>
          <w:szCs w:val="24"/>
        </w:rPr>
        <w:t xml:space="preserve">simply </w:t>
      </w:r>
      <w:r>
        <w:rPr>
          <w:rFonts w:ascii="Times New Roman" w:hAnsi="Times New Roman" w:cs="Times New Roman"/>
          <w:sz w:val="24"/>
          <w:szCs w:val="24"/>
        </w:rPr>
        <w:t xml:space="preserve">to emphasise the need to observe rule 53 (2). Such adherence will </w:t>
      </w:r>
      <w:r w:rsidR="000A4ED6">
        <w:rPr>
          <w:rFonts w:ascii="Times New Roman" w:hAnsi="Times New Roman" w:cs="Times New Roman"/>
          <w:sz w:val="24"/>
          <w:szCs w:val="24"/>
        </w:rPr>
        <w:t xml:space="preserve">avoid the sort of levity </w:t>
      </w:r>
      <w:r w:rsidR="00B86AA2">
        <w:rPr>
          <w:rFonts w:ascii="Times New Roman" w:hAnsi="Times New Roman" w:cs="Times New Roman"/>
          <w:sz w:val="24"/>
          <w:szCs w:val="24"/>
        </w:rPr>
        <w:t xml:space="preserve">as that now characterising the learned counsel`s affidavit and submissions. </w:t>
      </w:r>
      <w:r w:rsidR="00190121">
        <w:rPr>
          <w:rFonts w:ascii="Times New Roman" w:hAnsi="Times New Roman" w:cs="Times New Roman"/>
          <w:sz w:val="24"/>
          <w:szCs w:val="24"/>
        </w:rPr>
        <w:t>Elevating mundane administrative matters to the court`s attention risks belittling the dignity of the court by calling into question, communication or dealings between court users and staff, issues which should o</w:t>
      </w:r>
      <w:r w:rsidR="00C47AA5">
        <w:rPr>
          <w:rFonts w:ascii="Times New Roman" w:hAnsi="Times New Roman" w:cs="Times New Roman"/>
          <w:sz w:val="24"/>
          <w:szCs w:val="24"/>
        </w:rPr>
        <w:t>rdinarily remain the</w:t>
      </w:r>
      <w:r w:rsidR="00190121">
        <w:rPr>
          <w:rFonts w:ascii="Times New Roman" w:hAnsi="Times New Roman" w:cs="Times New Roman"/>
          <w:sz w:val="24"/>
          <w:szCs w:val="24"/>
        </w:rPr>
        <w:t xml:space="preserve"> background. </w:t>
      </w:r>
    </w:p>
    <w:p w14:paraId="5E334D95" w14:textId="77777777" w:rsidR="00190121" w:rsidRDefault="00190121" w:rsidP="0096252A">
      <w:pPr>
        <w:pStyle w:val="NoSpacing"/>
        <w:spacing w:line="360" w:lineRule="auto"/>
        <w:jc w:val="both"/>
        <w:rPr>
          <w:rFonts w:ascii="Times New Roman" w:hAnsi="Times New Roman" w:cs="Times New Roman"/>
          <w:sz w:val="24"/>
          <w:szCs w:val="24"/>
        </w:rPr>
      </w:pPr>
    </w:p>
    <w:p w14:paraId="04FCA778" w14:textId="34FB43B1" w:rsidR="00E20D39" w:rsidRDefault="00190121"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4313">
        <w:rPr>
          <w:rFonts w:ascii="Times New Roman" w:hAnsi="Times New Roman" w:cs="Times New Roman"/>
          <w:sz w:val="24"/>
          <w:szCs w:val="24"/>
        </w:rPr>
        <w:t>21</w:t>
      </w:r>
      <w:r>
        <w:rPr>
          <w:rFonts w:ascii="Times New Roman" w:hAnsi="Times New Roman" w:cs="Times New Roman"/>
          <w:sz w:val="24"/>
          <w:szCs w:val="24"/>
        </w:rPr>
        <w:t xml:space="preserve">] </w:t>
      </w:r>
      <w:r w:rsidR="00C47AA5">
        <w:rPr>
          <w:rFonts w:ascii="Times New Roman" w:hAnsi="Times New Roman" w:cs="Times New Roman"/>
          <w:sz w:val="24"/>
          <w:szCs w:val="24"/>
        </w:rPr>
        <w:t xml:space="preserve">Again, I reiterate my earlier guidance on the need for appropriate action to be taken to resolve diary conflict. I say so, noting that according to </w:t>
      </w:r>
      <w:r>
        <w:rPr>
          <w:rFonts w:ascii="Times New Roman" w:hAnsi="Times New Roman" w:cs="Times New Roman"/>
          <w:sz w:val="24"/>
          <w:szCs w:val="24"/>
        </w:rPr>
        <w:t xml:space="preserve">Mr </w:t>
      </w:r>
      <w:r w:rsidRPr="00D652E4">
        <w:rPr>
          <w:rFonts w:ascii="Times New Roman" w:hAnsi="Times New Roman" w:cs="Times New Roman"/>
          <w:i/>
          <w:iCs/>
          <w:sz w:val="24"/>
          <w:szCs w:val="24"/>
        </w:rPr>
        <w:t>Mhungu</w:t>
      </w:r>
      <w:r w:rsidR="00C47AA5" w:rsidRPr="00C47AA5">
        <w:rPr>
          <w:rFonts w:ascii="Times New Roman" w:hAnsi="Times New Roman" w:cs="Times New Roman"/>
          <w:sz w:val="24"/>
          <w:szCs w:val="24"/>
        </w:rPr>
        <w:t>, the treble</w:t>
      </w:r>
      <w:r>
        <w:rPr>
          <w:rFonts w:ascii="Times New Roman" w:hAnsi="Times New Roman" w:cs="Times New Roman"/>
          <w:sz w:val="24"/>
          <w:szCs w:val="24"/>
        </w:rPr>
        <w:t xml:space="preserve"> booking on that day </w:t>
      </w:r>
      <w:r w:rsidR="00C47AA5">
        <w:rPr>
          <w:rFonts w:ascii="Times New Roman" w:hAnsi="Times New Roman" w:cs="Times New Roman"/>
          <w:sz w:val="24"/>
          <w:szCs w:val="24"/>
        </w:rPr>
        <w:t xml:space="preserve">was </w:t>
      </w:r>
      <w:r>
        <w:rPr>
          <w:rFonts w:ascii="Times New Roman" w:hAnsi="Times New Roman" w:cs="Times New Roman"/>
          <w:sz w:val="24"/>
          <w:szCs w:val="24"/>
        </w:rPr>
        <w:t xml:space="preserve">not </w:t>
      </w:r>
      <w:r w:rsidR="00C47AA5">
        <w:rPr>
          <w:rFonts w:ascii="Times New Roman" w:hAnsi="Times New Roman" w:cs="Times New Roman"/>
          <w:sz w:val="24"/>
          <w:szCs w:val="24"/>
        </w:rPr>
        <w:t>entirely of his making.</w:t>
      </w:r>
      <w:r>
        <w:rPr>
          <w:rFonts w:ascii="Times New Roman" w:hAnsi="Times New Roman" w:cs="Times New Roman"/>
          <w:sz w:val="24"/>
          <w:szCs w:val="24"/>
        </w:rPr>
        <w:t xml:space="preserve"> The High Court runs continuous rolls and allocates slots as they become available. This being the very reason why provisions such as rule 53 (2) have been factored into the rules to address such anomalies. </w:t>
      </w:r>
      <w:r w:rsidR="00E20D39">
        <w:rPr>
          <w:rFonts w:ascii="Times New Roman" w:hAnsi="Times New Roman" w:cs="Times New Roman"/>
          <w:sz w:val="24"/>
          <w:szCs w:val="24"/>
        </w:rPr>
        <w:t xml:space="preserve"> </w:t>
      </w:r>
      <w:r w:rsidR="004C6659">
        <w:rPr>
          <w:rFonts w:ascii="Times New Roman" w:hAnsi="Times New Roman" w:cs="Times New Roman"/>
          <w:sz w:val="24"/>
          <w:szCs w:val="24"/>
        </w:rPr>
        <w:t xml:space="preserve">I need not detail all of counsel`s travails in the General Division that day. I may </w:t>
      </w:r>
      <w:r w:rsidR="00E20D39">
        <w:rPr>
          <w:rFonts w:ascii="Times New Roman" w:hAnsi="Times New Roman" w:cs="Times New Roman"/>
          <w:sz w:val="24"/>
          <w:szCs w:val="24"/>
        </w:rPr>
        <w:t>state however</w:t>
      </w:r>
      <w:r w:rsidR="004C6659">
        <w:rPr>
          <w:rFonts w:ascii="Times New Roman" w:hAnsi="Times New Roman" w:cs="Times New Roman"/>
          <w:sz w:val="24"/>
          <w:szCs w:val="24"/>
        </w:rPr>
        <w:t xml:space="preserve"> </w:t>
      </w:r>
      <w:r w:rsidR="00E20D39">
        <w:rPr>
          <w:rFonts w:ascii="Times New Roman" w:hAnsi="Times New Roman" w:cs="Times New Roman"/>
          <w:sz w:val="24"/>
          <w:szCs w:val="24"/>
        </w:rPr>
        <w:t>that frenetic</w:t>
      </w:r>
      <w:r w:rsidR="004C6659">
        <w:rPr>
          <w:rFonts w:ascii="Times New Roman" w:hAnsi="Times New Roman" w:cs="Times New Roman"/>
          <w:sz w:val="24"/>
          <w:szCs w:val="24"/>
        </w:rPr>
        <w:t xml:space="preserve"> were </w:t>
      </w:r>
      <w:r w:rsidR="00E20D39">
        <w:rPr>
          <w:rFonts w:ascii="Times New Roman" w:hAnsi="Times New Roman" w:cs="Times New Roman"/>
          <w:sz w:val="24"/>
          <w:szCs w:val="24"/>
        </w:rPr>
        <w:t xml:space="preserve">his </w:t>
      </w:r>
      <w:r w:rsidR="004C6659">
        <w:rPr>
          <w:rFonts w:ascii="Times New Roman" w:hAnsi="Times New Roman" w:cs="Times New Roman"/>
          <w:sz w:val="24"/>
          <w:szCs w:val="24"/>
        </w:rPr>
        <w:t xml:space="preserve">efforts to diffuse </w:t>
      </w:r>
      <w:r w:rsidR="00E20D39">
        <w:rPr>
          <w:rFonts w:ascii="Times New Roman" w:hAnsi="Times New Roman" w:cs="Times New Roman"/>
          <w:sz w:val="24"/>
          <w:szCs w:val="24"/>
        </w:rPr>
        <w:t>the demand</w:t>
      </w:r>
      <w:r w:rsidR="00C47AA5">
        <w:rPr>
          <w:rFonts w:ascii="Times New Roman" w:hAnsi="Times New Roman" w:cs="Times New Roman"/>
          <w:sz w:val="24"/>
          <w:szCs w:val="24"/>
        </w:rPr>
        <w:t xml:space="preserve">s </w:t>
      </w:r>
      <w:r w:rsidR="00E20D39">
        <w:rPr>
          <w:rFonts w:ascii="Times New Roman" w:hAnsi="Times New Roman" w:cs="Times New Roman"/>
          <w:sz w:val="24"/>
          <w:szCs w:val="24"/>
        </w:rPr>
        <w:t xml:space="preserve">for a legal practitioner </w:t>
      </w:r>
      <w:r w:rsidR="004C6659">
        <w:rPr>
          <w:rFonts w:ascii="Times New Roman" w:hAnsi="Times New Roman" w:cs="Times New Roman"/>
          <w:sz w:val="24"/>
          <w:szCs w:val="24"/>
        </w:rPr>
        <w:t>to be in two places at one time.</w:t>
      </w:r>
      <w:r w:rsidR="00DE3968">
        <w:rPr>
          <w:rFonts w:ascii="Times New Roman" w:hAnsi="Times New Roman" w:cs="Times New Roman"/>
          <w:sz w:val="24"/>
          <w:szCs w:val="24"/>
        </w:rPr>
        <w:t xml:space="preserve"> </w:t>
      </w:r>
    </w:p>
    <w:p w14:paraId="10827790" w14:textId="77777777" w:rsidR="00E20D39" w:rsidRDefault="00E20D39" w:rsidP="0096252A">
      <w:pPr>
        <w:pStyle w:val="NoSpacing"/>
        <w:spacing w:line="360" w:lineRule="auto"/>
        <w:jc w:val="both"/>
        <w:rPr>
          <w:rFonts w:ascii="Times New Roman" w:hAnsi="Times New Roman" w:cs="Times New Roman"/>
          <w:sz w:val="24"/>
          <w:szCs w:val="24"/>
        </w:rPr>
      </w:pPr>
    </w:p>
    <w:p w14:paraId="7CC43C2F" w14:textId="108B0C6E" w:rsidR="009A27F4" w:rsidRDefault="00E20D39"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4313">
        <w:rPr>
          <w:rFonts w:ascii="Times New Roman" w:hAnsi="Times New Roman" w:cs="Times New Roman"/>
          <w:sz w:val="24"/>
          <w:szCs w:val="24"/>
        </w:rPr>
        <w:t>22</w:t>
      </w:r>
      <w:r>
        <w:rPr>
          <w:rFonts w:ascii="Times New Roman" w:hAnsi="Times New Roman" w:cs="Times New Roman"/>
          <w:sz w:val="24"/>
          <w:szCs w:val="24"/>
        </w:rPr>
        <w:t xml:space="preserve">] In sustaining his plea for indulgence, Mr </w:t>
      </w:r>
      <w:r w:rsidRPr="000F1858">
        <w:rPr>
          <w:rFonts w:ascii="Times New Roman" w:hAnsi="Times New Roman" w:cs="Times New Roman"/>
          <w:i/>
          <w:iCs/>
          <w:sz w:val="24"/>
          <w:szCs w:val="24"/>
        </w:rPr>
        <w:t>Mhungu</w:t>
      </w:r>
      <w:r>
        <w:rPr>
          <w:rFonts w:ascii="Times New Roman" w:hAnsi="Times New Roman" w:cs="Times New Roman"/>
          <w:sz w:val="24"/>
          <w:szCs w:val="24"/>
        </w:rPr>
        <w:t xml:space="preserve"> drew my attention to the leading authorities on condonation</w:t>
      </w:r>
      <w:r w:rsidR="009A27F4">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He deposed </w:t>
      </w:r>
      <w:r w:rsidR="009A27F4">
        <w:rPr>
          <w:rFonts w:ascii="Times New Roman" w:hAnsi="Times New Roman" w:cs="Times New Roman"/>
          <w:sz w:val="24"/>
          <w:szCs w:val="24"/>
        </w:rPr>
        <w:t>-</w:t>
      </w:r>
      <w:r>
        <w:rPr>
          <w:rFonts w:ascii="Times New Roman" w:hAnsi="Times New Roman" w:cs="Times New Roman"/>
          <w:sz w:val="24"/>
          <w:szCs w:val="24"/>
        </w:rPr>
        <w:t>in the affidavit</w:t>
      </w:r>
      <w:r w:rsidR="000F1858">
        <w:rPr>
          <w:rFonts w:ascii="Times New Roman" w:hAnsi="Times New Roman" w:cs="Times New Roman"/>
          <w:sz w:val="24"/>
          <w:szCs w:val="24"/>
        </w:rPr>
        <w:t>,</w:t>
      </w:r>
      <w:r>
        <w:rPr>
          <w:rFonts w:ascii="Times New Roman" w:hAnsi="Times New Roman" w:cs="Times New Roman"/>
          <w:sz w:val="24"/>
          <w:szCs w:val="24"/>
        </w:rPr>
        <w:t xml:space="preserve"> and submitted in argument</w:t>
      </w:r>
      <w:r w:rsidR="009A27F4">
        <w:rPr>
          <w:rFonts w:ascii="Times New Roman" w:hAnsi="Times New Roman" w:cs="Times New Roman"/>
          <w:sz w:val="24"/>
          <w:szCs w:val="24"/>
        </w:rPr>
        <w:t>-</w:t>
      </w:r>
      <w:r>
        <w:rPr>
          <w:rFonts w:ascii="Times New Roman" w:hAnsi="Times New Roman" w:cs="Times New Roman"/>
          <w:sz w:val="24"/>
          <w:szCs w:val="24"/>
        </w:rPr>
        <w:t xml:space="preserve"> that the applicant</w:t>
      </w:r>
      <w:r w:rsidR="004221E9">
        <w:rPr>
          <w:rFonts w:ascii="Times New Roman" w:hAnsi="Times New Roman" w:cs="Times New Roman"/>
          <w:sz w:val="24"/>
          <w:szCs w:val="24"/>
        </w:rPr>
        <w:t xml:space="preserve">s were </w:t>
      </w:r>
      <w:r>
        <w:rPr>
          <w:rFonts w:ascii="Times New Roman" w:hAnsi="Times New Roman" w:cs="Times New Roman"/>
          <w:sz w:val="24"/>
          <w:szCs w:val="24"/>
        </w:rPr>
        <w:t xml:space="preserve">deserving of the court`s mercy in that the neither the breach nor delay were </w:t>
      </w:r>
      <w:r w:rsidR="000F1858">
        <w:rPr>
          <w:rFonts w:ascii="Times New Roman" w:hAnsi="Times New Roman" w:cs="Times New Roman"/>
          <w:sz w:val="24"/>
          <w:szCs w:val="24"/>
        </w:rPr>
        <w:t xml:space="preserve">inordinate. </w:t>
      </w:r>
      <w:r w:rsidR="009A27F4">
        <w:rPr>
          <w:rFonts w:ascii="Times New Roman" w:hAnsi="Times New Roman" w:cs="Times New Roman"/>
          <w:sz w:val="24"/>
          <w:szCs w:val="24"/>
        </w:rPr>
        <w:t xml:space="preserve">Counsel also exhorted the court not to visit the aberration </w:t>
      </w:r>
      <w:r w:rsidR="002053E7">
        <w:rPr>
          <w:rFonts w:ascii="Times New Roman" w:hAnsi="Times New Roman" w:cs="Times New Roman"/>
          <w:sz w:val="24"/>
          <w:szCs w:val="24"/>
        </w:rPr>
        <w:t>of applicant</w:t>
      </w:r>
      <w:r w:rsidR="004221E9">
        <w:rPr>
          <w:rFonts w:ascii="Times New Roman" w:hAnsi="Times New Roman" w:cs="Times New Roman"/>
          <w:sz w:val="24"/>
          <w:szCs w:val="24"/>
        </w:rPr>
        <w:t>s`</w:t>
      </w:r>
      <w:r w:rsidR="002053E7">
        <w:rPr>
          <w:rFonts w:ascii="Times New Roman" w:hAnsi="Times New Roman" w:cs="Times New Roman"/>
          <w:sz w:val="24"/>
          <w:szCs w:val="24"/>
        </w:rPr>
        <w:t xml:space="preserve"> </w:t>
      </w:r>
      <w:r w:rsidR="009A27F4">
        <w:rPr>
          <w:rFonts w:ascii="Times New Roman" w:hAnsi="Times New Roman" w:cs="Times New Roman"/>
          <w:sz w:val="24"/>
          <w:szCs w:val="24"/>
        </w:rPr>
        <w:t xml:space="preserve">legal </w:t>
      </w:r>
      <w:r w:rsidR="002053E7">
        <w:rPr>
          <w:rFonts w:ascii="Times New Roman" w:hAnsi="Times New Roman" w:cs="Times New Roman"/>
          <w:sz w:val="24"/>
          <w:szCs w:val="24"/>
        </w:rPr>
        <w:t>on the litigant</w:t>
      </w:r>
      <w:r w:rsidR="004221E9">
        <w:rPr>
          <w:rFonts w:ascii="Times New Roman" w:hAnsi="Times New Roman" w:cs="Times New Roman"/>
          <w:sz w:val="24"/>
          <w:szCs w:val="24"/>
        </w:rPr>
        <w:t>s</w:t>
      </w:r>
      <w:r w:rsidR="002053E7">
        <w:rPr>
          <w:rFonts w:ascii="Times New Roman" w:hAnsi="Times New Roman" w:cs="Times New Roman"/>
          <w:sz w:val="24"/>
          <w:szCs w:val="24"/>
        </w:rPr>
        <w:t xml:space="preserve">. </w:t>
      </w:r>
    </w:p>
    <w:p w14:paraId="03BA037B" w14:textId="77777777" w:rsidR="009A27F4" w:rsidRDefault="009A27F4" w:rsidP="0096252A">
      <w:pPr>
        <w:pStyle w:val="NoSpacing"/>
        <w:spacing w:line="360" w:lineRule="auto"/>
        <w:jc w:val="both"/>
        <w:rPr>
          <w:rFonts w:ascii="Times New Roman" w:hAnsi="Times New Roman" w:cs="Times New Roman"/>
          <w:sz w:val="24"/>
          <w:szCs w:val="24"/>
        </w:rPr>
      </w:pPr>
    </w:p>
    <w:p w14:paraId="346AE872" w14:textId="7DF3BF7B" w:rsidR="00D02344" w:rsidRDefault="009A27F4"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4313">
        <w:rPr>
          <w:rFonts w:ascii="Times New Roman" w:hAnsi="Times New Roman" w:cs="Times New Roman"/>
          <w:sz w:val="24"/>
          <w:szCs w:val="24"/>
        </w:rPr>
        <w:t>23]</w:t>
      </w:r>
      <w:r w:rsidR="00497A9C">
        <w:rPr>
          <w:rFonts w:ascii="Times New Roman" w:hAnsi="Times New Roman" w:cs="Times New Roman"/>
          <w:sz w:val="24"/>
          <w:szCs w:val="24"/>
        </w:rPr>
        <w:t xml:space="preserve"> </w:t>
      </w:r>
      <w:r w:rsidR="000F1858">
        <w:rPr>
          <w:rFonts w:ascii="Times New Roman" w:hAnsi="Times New Roman" w:cs="Times New Roman"/>
          <w:sz w:val="24"/>
          <w:szCs w:val="24"/>
        </w:rPr>
        <w:t>He further submitted that the applicant</w:t>
      </w:r>
      <w:r w:rsidR="00C47AA5">
        <w:rPr>
          <w:rFonts w:ascii="Times New Roman" w:hAnsi="Times New Roman" w:cs="Times New Roman"/>
          <w:sz w:val="24"/>
          <w:szCs w:val="24"/>
        </w:rPr>
        <w:t>s</w:t>
      </w:r>
      <w:r w:rsidR="000F1858">
        <w:rPr>
          <w:rFonts w:ascii="Times New Roman" w:hAnsi="Times New Roman" w:cs="Times New Roman"/>
          <w:sz w:val="24"/>
          <w:szCs w:val="24"/>
        </w:rPr>
        <w:t xml:space="preserve"> had a good case on the merits. </w:t>
      </w:r>
      <w:r w:rsidR="00C47AA5">
        <w:rPr>
          <w:rFonts w:ascii="Times New Roman" w:hAnsi="Times New Roman" w:cs="Times New Roman"/>
          <w:sz w:val="24"/>
          <w:szCs w:val="24"/>
        </w:rPr>
        <w:t xml:space="preserve">Their </w:t>
      </w:r>
      <w:r w:rsidR="000F1858">
        <w:rPr>
          <w:rFonts w:ascii="Times New Roman" w:hAnsi="Times New Roman" w:cs="Times New Roman"/>
          <w:sz w:val="24"/>
          <w:szCs w:val="24"/>
        </w:rPr>
        <w:t xml:space="preserve">claim against respondent was </w:t>
      </w:r>
      <w:r w:rsidR="002053E7">
        <w:rPr>
          <w:rFonts w:ascii="Times New Roman" w:hAnsi="Times New Roman" w:cs="Times New Roman"/>
          <w:sz w:val="24"/>
          <w:szCs w:val="24"/>
        </w:rPr>
        <w:t>based on the rights of a creditor under the Insolvency Act. He drew attention to the fact that a number of preliminary objections raised by respondent in the main matter had all been dismissed, arguing that this development counted in favour of applicant</w:t>
      </w:r>
      <w:r w:rsidR="004221E9">
        <w:rPr>
          <w:rFonts w:ascii="Times New Roman" w:hAnsi="Times New Roman" w:cs="Times New Roman"/>
          <w:sz w:val="24"/>
          <w:szCs w:val="24"/>
        </w:rPr>
        <w:t>s`</w:t>
      </w:r>
      <w:r w:rsidR="002053E7">
        <w:rPr>
          <w:rFonts w:ascii="Times New Roman" w:hAnsi="Times New Roman" w:cs="Times New Roman"/>
          <w:sz w:val="24"/>
          <w:szCs w:val="24"/>
        </w:rPr>
        <w:t xml:space="preserve"> prospects.</w:t>
      </w:r>
    </w:p>
    <w:p w14:paraId="12C348FB" w14:textId="77777777" w:rsidR="00A979FF" w:rsidRDefault="00A979FF" w:rsidP="0096252A">
      <w:pPr>
        <w:pStyle w:val="NoSpacing"/>
        <w:spacing w:line="360" w:lineRule="auto"/>
        <w:jc w:val="both"/>
        <w:rPr>
          <w:rFonts w:ascii="Times New Roman" w:hAnsi="Times New Roman" w:cs="Times New Roman"/>
          <w:sz w:val="24"/>
          <w:szCs w:val="24"/>
        </w:rPr>
      </w:pPr>
    </w:p>
    <w:p w14:paraId="13D43C8D" w14:textId="41589209" w:rsidR="00A979FF" w:rsidRPr="006C5F67" w:rsidRDefault="00A979FF" w:rsidP="0096252A">
      <w:pPr>
        <w:pStyle w:val="NoSpacing"/>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THE </w:t>
      </w:r>
      <w:r w:rsidR="00AE1E2C">
        <w:rPr>
          <w:rFonts w:ascii="Times New Roman" w:hAnsi="Times New Roman" w:cs="Times New Roman"/>
          <w:sz w:val="24"/>
          <w:szCs w:val="24"/>
        </w:rPr>
        <w:t xml:space="preserve">TWO </w:t>
      </w:r>
      <w:r>
        <w:rPr>
          <w:rFonts w:ascii="Times New Roman" w:hAnsi="Times New Roman" w:cs="Times New Roman"/>
          <w:sz w:val="24"/>
          <w:szCs w:val="24"/>
        </w:rPr>
        <w:t xml:space="preserve">POINTS </w:t>
      </w:r>
      <w:r w:rsidRPr="006C5F67">
        <w:rPr>
          <w:rFonts w:ascii="Times New Roman" w:hAnsi="Times New Roman" w:cs="Times New Roman"/>
          <w:i/>
          <w:iCs/>
          <w:sz w:val="24"/>
          <w:szCs w:val="24"/>
        </w:rPr>
        <w:t xml:space="preserve">IN LIMINE </w:t>
      </w:r>
    </w:p>
    <w:p w14:paraId="622468EB" w14:textId="77777777" w:rsidR="00A979FF" w:rsidRDefault="00A979FF" w:rsidP="0096252A">
      <w:pPr>
        <w:pStyle w:val="NoSpacing"/>
        <w:spacing w:line="360" w:lineRule="auto"/>
        <w:jc w:val="both"/>
        <w:rPr>
          <w:rFonts w:ascii="Times New Roman" w:hAnsi="Times New Roman" w:cs="Times New Roman"/>
          <w:sz w:val="24"/>
          <w:szCs w:val="24"/>
        </w:rPr>
      </w:pPr>
    </w:p>
    <w:p w14:paraId="7FFD7C83" w14:textId="627FDAF1" w:rsidR="006E184C" w:rsidRDefault="00A979FF"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4313">
        <w:rPr>
          <w:rFonts w:ascii="Times New Roman" w:hAnsi="Times New Roman" w:cs="Times New Roman"/>
          <w:sz w:val="24"/>
          <w:szCs w:val="24"/>
        </w:rPr>
        <w:t>24</w:t>
      </w:r>
      <w:r>
        <w:rPr>
          <w:rFonts w:ascii="Times New Roman" w:hAnsi="Times New Roman" w:cs="Times New Roman"/>
          <w:sz w:val="24"/>
          <w:szCs w:val="24"/>
        </w:rPr>
        <w:t xml:space="preserve">] </w:t>
      </w:r>
      <w:r w:rsidR="006E184C">
        <w:rPr>
          <w:rFonts w:ascii="Times New Roman" w:hAnsi="Times New Roman" w:cs="Times New Roman"/>
          <w:sz w:val="24"/>
          <w:szCs w:val="24"/>
        </w:rPr>
        <w:t xml:space="preserve">Two points </w:t>
      </w:r>
      <w:r w:rsidR="006E184C" w:rsidRPr="00AE1E2C">
        <w:rPr>
          <w:rFonts w:ascii="Times New Roman" w:hAnsi="Times New Roman" w:cs="Times New Roman"/>
          <w:i/>
          <w:iCs/>
          <w:sz w:val="24"/>
          <w:szCs w:val="24"/>
        </w:rPr>
        <w:t>in limine</w:t>
      </w:r>
      <w:r w:rsidR="006E184C">
        <w:rPr>
          <w:rFonts w:ascii="Times New Roman" w:hAnsi="Times New Roman" w:cs="Times New Roman"/>
          <w:sz w:val="24"/>
          <w:szCs w:val="24"/>
        </w:rPr>
        <w:t xml:space="preserve"> preceded the respondent`s opposition. Respondent contended </w:t>
      </w:r>
      <w:r w:rsidR="00AE1E2C">
        <w:rPr>
          <w:rFonts w:ascii="Times New Roman" w:hAnsi="Times New Roman" w:cs="Times New Roman"/>
          <w:sz w:val="24"/>
          <w:szCs w:val="24"/>
        </w:rPr>
        <w:t xml:space="preserve">that </w:t>
      </w:r>
      <w:r w:rsidR="006E184C">
        <w:rPr>
          <w:rFonts w:ascii="Times New Roman" w:hAnsi="Times New Roman" w:cs="Times New Roman"/>
          <w:sz w:val="24"/>
          <w:szCs w:val="24"/>
        </w:rPr>
        <w:t xml:space="preserve">both the application itself and the relief sought were blighted by </w:t>
      </w:r>
      <w:r w:rsidR="00AE1E2C">
        <w:rPr>
          <w:rFonts w:ascii="Times New Roman" w:hAnsi="Times New Roman" w:cs="Times New Roman"/>
          <w:sz w:val="24"/>
          <w:szCs w:val="24"/>
        </w:rPr>
        <w:t xml:space="preserve">incurable </w:t>
      </w:r>
      <w:r w:rsidR="006E184C">
        <w:rPr>
          <w:rFonts w:ascii="Times New Roman" w:hAnsi="Times New Roman" w:cs="Times New Roman"/>
          <w:sz w:val="24"/>
          <w:szCs w:val="24"/>
        </w:rPr>
        <w:t>defects. Firstly, the application was based not on Form CC 11 A as required by the rules, but on an alien form. Secondly, although the application was for condonation for failure to abide by rule 53 (2) and a prayer for reinstatement, there was no prayer for condonation in the draft order.</w:t>
      </w:r>
    </w:p>
    <w:p w14:paraId="75418DB2" w14:textId="77777777" w:rsidR="006E184C" w:rsidRDefault="006E184C" w:rsidP="0096252A">
      <w:pPr>
        <w:pStyle w:val="NoSpacing"/>
        <w:spacing w:line="360" w:lineRule="auto"/>
        <w:jc w:val="both"/>
        <w:rPr>
          <w:rFonts w:ascii="Times New Roman" w:hAnsi="Times New Roman" w:cs="Times New Roman"/>
          <w:sz w:val="24"/>
          <w:szCs w:val="24"/>
        </w:rPr>
      </w:pPr>
    </w:p>
    <w:p w14:paraId="53A02E94" w14:textId="22ACBE70" w:rsidR="000D7EC3" w:rsidRDefault="006E184C" w:rsidP="0096252A">
      <w:pPr>
        <w:pStyle w:val="NoSpacing"/>
        <w:spacing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[2</w:t>
      </w:r>
      <w:r w:rsidR="00A64313">
        <w:rPr>
          <w:rFonts w:ascii="Times New Roman" w:hAnsi="Times New Roman" w:cs="Times New Roman"/>
          <w:sz w:val="24"/>
          <w:szCs w:val="24"/>
        </w:rPr>
        <w:t>5</w:t>
      </w:r>
      <w:r>
        <w:rPr>
          <w:rFonts w:ascii="Times New Roman" w:hAnsi="Times New Roman" w:cs="Times New Roman"/>
          <w:sz w:val="24"/>
          <w:szCs w:val="24"/>
        </w:rPr>
        <w:t xml:space="preserve">] I find none of the two points </w:t>
      </w:r>
      <w:r w:rsidRPr="00AE1E2C">
        <w:rPr>
          <w:rFonts w:ascii="Times New Roman" w:hAnsi="Times New Roman" w:cs="Times New Roman"/>
          <w:i/>
          <w:iCs/>
          <w:sz w:val="24"/>
          <w:szCs w:val="24"/>
        </w:rPr>
        <w:t>in limine</w:t>
      </w:r>
      <w:r>
        <w:rPr>
          <w:rFonts w:ascii="Times New Roman" w:hAnsi="Times New Roman" w:cs="Times New Roman"/>
          <w:sz w:val="24"/>
          <w:szCs w:val="24"/>
        </w:rPr>
        <w:t xml:space="preserve"> sustainable for the following reasons. Firstly, it </w:t>
      </w:r>
      <w:r w:rsidR="00C47AA5">
        <w:rPr>
          <w:rFonts w:ascii="Times New Roman" w:hAnsi="Times New Roman" w:cs="Times New Roman"/>
          <w:sz w:val="24"/>
          <w:szCs w:val="24"/>
        </w:rPr>
        <w:t xml:space="preserve">beyond issue that </w:t>
      </w:r>
      <w:r>
        <w:rPr>
          <w:rFonts w:ascii="Times New Roman" w:hAnsi="Times New Roman" w:cs="Times New Roman"/>
          <w:sz w:val="24"/>
          <w:szCs w:val="24"/>
        </w:rPr>
        <w:t xml:space="preserve">parties must abide by the rules of court. </w:t>
      </w:r>
      <w:r w:rsidR="000D7EC3">
        <w:rPr>
          <w:rFonts w:ascii="Times New Roman" w:hAnsi="Times New Roman" w:cs="Times New Roman"/>
          <w:sz w:val="24"/>
          <w:szCs w:val="24"/>
        </w:rPr>
        <w:t xml:space="preserve">In </w:t>
      </w:r>
      <w:r w:rsidR="000D7EC3" w:rsidRPr="000D7EC3">
        <w:rPr>
          <w:rFonts w:ascii="Times New Roman" w:eastAsia="Calibri" w:hAnsi="Times New Roman" w:cs="Times New Roman"/>
          <w:i/>
          <w:kern w:val="0"/>
          <w:sz w:val="24"/>
          <w:szCs w:val="24"/>
          <w14:ligatures w14:val="none"/>
        </w:rPr>
        <w:t xml:space="preserve">FBC Bank Limited </w:t>
      </w:r>
      <w:r w:rsidR="000D7EC3" w:rsidRPr="000D7EC3">
        <w:rPr>
          <w:rFonts w:ascii="Times New Roman" w:eastAsia="Calibri" w:hAnsi="Times New Roman" w:cs="Times New Roman"/>
          <w:kern w:val="0"/>
          <w:sz w:val="24"/>
          <w:szCs w:val="24"/>
          <w14:ligatures w14:val="none"/>
        </w:rPr>
        <w:t>v</w:t>
      </w:r>
      <w:r w:rsidR="000D7EC3" w:rsidRPr="000D7EC3">
        <w:rPr>
          <w:rFonts w:ascii="Times New Roman" w:eastAsia="Calibri" w:hAnsi="Times New Roman" w:cs="Times New Roman"/>
          <w:i/>
          <w:kern w:val="0"/>
          <w:sz w:val="24"/>
          <w:szCs w:val="24"/>
          <w14:ligatures w14:val="none"/>
        </w:rPr>
        <w:t xml:space="preserve"> Chiwanza</w:t>
      </w:r>
      <w:r w:rsidR="000D7EC3" w:rsidRPr="000D7EC3">
        <w:rPr>
          <w:rFonts w:ascii="Times New Roman" w:eastAsia="Calibri" w:hAnsi="Times New Roman" w:cs="Times New Roman"/>
          <w:kern w:val="0"/>
          <w:sz w:val="24"/>
          <w:szCs w:val="24"/>
          <w14:ligatures w14:val="none"/>
        </w:rPr>
        <w:t xml:space="preserve"> SC 31</w:t>
      </w:r>
      <w:r w:rsidR="000D7EC3">
        <w:rPr>
          <w:rFonts w:ascii="Times New Roman" w:eastAsia="Calibri" w:hAnsi="Times New Roman" w:cs="Times New Roman"/>
          <w:kern w:val="0"/>
          <w:sz w:val="24"/>
          <w:szCs w:val="24"/>
          <w14:ligatures w14:val="none"/>
        </w:rPr>
        <w:t>-17, the court held at page 3 that; -</w:t>
      </w:r>
    </w:p>
    <w:p w14:paraId="42A45178" w14:textId="77777777" w:rsidR="004266C8" w:rsidRDefault="004266C8" w:rsidP="0096252A">
      <w:pPr>
        <w:pStyle w:val="NoSpacing"/>
        <w:spacing w:line="360" w:lineRule="auto"/>
        <w:jc w:val="both"/>
        <w:rPr>
          <w:rFonts w:ascii="Times New Roman" w:hAnsi="Times New Roman" w:cs="Times New Roman"/>
          <w:sz w:val="24"/>
          <w:szCs w:val="24"/>
        </w:rPr>
      </w:pPr>
    </w:p>
    <w:p w14:paraId="2C583F2E" w14:textId="2FC897A5" w:rsidR="000D7EC3" w:rsidRDefault="000D7EC3" w:rsidP="000D7EC3">
      <w:pPr>
        <w:tabs>
          <w:tab w:val="left" w:pos="4030"/>
        </w:tabs>
        <w:spacing w:after="0" w:line="360" w:lineRule="auto"/>
        <w:ind w:left="902"/>
        <w:jc w:val="both"/>
        <w:rPr>
          <w:rFonts w:ascii="Times New Roman" w:hAnsi="Times New Roman" w:cs="Times New Roman"/>
          <w:sz w:val="24"/>
          <w:szCs w:val="24"/>
        </w:rPr>
      </w:pPr>
      <w:r w:rsidRPr="000D7EC3">
        <w:rPr>
          <w:rFonts w:ascii="Times New Roman" w:eastAsia="Calibri" w:hAnsi="Times New Roman" w:cs="Times New Roman"/>
          <w:kern w:val="0"/>
          <w:sz w:val="24"/>
          <w:szCs w:val="24"/>
          <w14:ligatures w14:val="none"/>
        </w:rPr>
        <w:t xml:space="preserve">“It hardly needs mention that rules of court must be followed in order to ensure proper and good administration of justice. In </w:t>
      </w:r>
      <w:r w:rsidRPr="000D7EC3">
        <w:rPr>
          <w:rFonts w:ascii="Times New Roman" w:eastAsia="Calibri" w:hAnsi="Times New Roman" w:cs="Times New Roman"/>
          <w:i/>
          <w:kern w:val="0"/>
          <w:sz w:val="24"/>
          <w:szCs w:val="24"/>
          <w14:ligatures w14:val="none"/>
        </w:rPr>
        <w:t>Sibanda v The State</w:t>
      </w:r>
      <w:r w:rsidRPr="000D7EC3">
        <w:rPr>
          <w:rFonts w:ascii="Times New Roman" w:eastAsia="Calibri" w:hAnsi="Times New Roman" w:cs="Times New Roman"/>
          <w:kern w:val="0"/>
          <w:sz w:val="24"/>
          <w:szCs w:val="24"/>
          <w14:ligatures w14:val="none"/>
        </w:rPr>
        <w:t xml:space="preserve">, the court quoted the case of </w:t>
      </w:r>
      <w:r w:rsidRPr="000D7EC3">
        <w:rPr>
          <w:rFonts w:ascii="Times New Roman" w:eastAsia="Calibri" w:hAnsi="Times New Roman" w:cs="Times New Roman"/>
          <w:i/>
          <w:kern w:val="0"/>
          <w:sz w:val="24"/>
          <w:szCs w:val="24"/>
          <w14:ligatures w14:val="none"/>
        </w:rPr>
        <w:t>S v McNab</w:t>
      </w:r>
      <w:r w:rsidRPr="000D7EC3">
        <w:rPr>
          <w:rFonts w:ascii="Times New Roman" w:eastAsia="Calibri" w:hAnsi="Times New Roman" w:cs="Times New Roman"/>
          <w:kern w:val="0"/>
          <w:sz w:val="24"/>
          <w:szCs w:val="24"/>
          <w14:ligatures w14:val="none"/>
        </w:rPr>
        <w:t xml:space="preserve"> 1986 (2) ZLR 280 (S)</w:t>
      </w:r>
      <w:r w:rsidRPr="000D7EC3">
        <w:rPr>
          <w:rFonts w:ascii="Times New Roman" w:eastAsia="Calibri" w:hAnsi="Times New Roman" w:cs="Times New Roman"/>
          <w:b/>
          <w:kern w:val="0"/>
          <w:sz w:val="24"/>
          <w:szCs w:val="24"/>
          <w14:ligatures w14:val="none"/>
        </w:rPr>
        <w:t xml:space="preserve"> </w:t>
      </w:r>
      <w:r w:rsidRPr="000D7EC3">
        <w:rPr>
          <w:rFonts w:ascii="Times New Roman" w:eastAsia="Calibri" w:hAnsi="Times New Roman" w:cs="Times New Roman"/>
          <w:kern w:val="0"/>
          <w:sz w:val="24"/>
          <w:szCs w:val="24"/>
          <w14:ligatures w14:val="none"/>
        </w:rPr>
        <w:t>at 284E where DUMBUTSHENA CJ noted the following: - “I have dealt at length on this point because it is my opinion that laxity on the part of the court in dealing with non-observance of the rules will encourage some legal practitioners to disregard the rules of court to the detriment of the good administration of justice.”</w:t>
      </w:r>
      <w:r>
        <w:rPr>
          <w:rStyle w:val="FootnoteReference"/>
          <w:rFonts w:ascii="Times New Roman" w:eastAsia="Calibri" w:hAnsi="Times New Roman" w:cs="Times New Roman"/>
          <w:kern w:val="0"/>
          <w:sz w:val="24"/>
          <w:szCs w:val="24"/>
          <w14:ligatures w14:val="none"/>
        </w:rPr>
        <w:footnoteReference w:id="4"/>
      </w:r>
    </w:p>
    <w:p w14:paraId="547D1BDD" w14:textId="77777777" w:rsidR="000D7EC3" w:rsidRDefault="000D7EC3" w:rsidP="0096252A">
      <w:pPr>
        <w:pStyle w:val="NoSpacing"/>
        <w:spacing w:line="360" w:lineRule="auto"/>
        <w:jc w:val="both"/>
        <w:rPr>
          <w:rFonts w:ascii="Times New Roman" w:hAnsi="Times New Roman" w:cs="Times New Roman"/>
          <w:sz w:val="24"/>
          <w:szCs w:val="24"/>
        </w:rPr>
      </w:pPr>
    </w:p>
    <w:p w14:paraId="253DE07D" w14:textId="5E50FACB" w:rsidR="00A979FF" w:rsidRDefault="000D7EC3"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A64313">
        <w:rPr>
          <w:rFonts w:ascii="Times New Roman" w:hAnsi="Times New Roman" w:cs="Times New Roman"/>
          <w:sz w:val="24"/>
          <w:szCs w:val="24"/>
        </w:rPr>
        <w:t>6</w:t>
      </w:r>
      <w:r>
        <w:rPr>
          <w:rFonts w:ascii="Times New Roman" w:hAnsi="Times New Roman" w:cs="Times New Roman"/>
          <w:sz w:val="24"/>
          <w:szCs w:val="24"/>
        </w:rPr>
        <w:t xml:space="preserve">] </w:t>
      </w:r>
      <w:r w:rsidR="006E184C">
        <w:rPr>
          <w:rFonts w:ascii="Times New Roman" w:hAnsi="Times New Roman" w:cs="Times New Roman"/>
          <w:sz w:val="24"/>
          <w:szCs w:val="24"/>
        </w:rPr>
        <w:t xml:space="preserve">This </w:t>
      </w:r>
      <w:r w:rsidR="00AE1E2C">
        <w:rPr>
          <w:rFonts w:ascii="Times New Roman" w:hAnsi="Times New Roman" w:cs="Times New Roman"/>
          <w:sz w:val="24"/>
          <w:szCs w:val="24"/>
        </w:rPr>
        <w:t xml:space="preserve">need for </w:t>
      </w:r>
      <w:r w:rsidR="006E184C">
        <w:rPr>
          <w:rFonts w:ascii="Times New Roman" w:hAnsi="Times New Roman" w:cs="Times New Roman"/>
          <w:sz w:val="24"/>
          <w:szCs w:val="24"/>
        </w:rPr>
        <w:t xml:space="preserve">compliance </w:t>
      </w:r>
      <w:r w:rsidR="00497A9C">
        <w:rPr>
          <w:rFonts w:ascii="Times New Roman" w:hAnsi="Times New Roman" w:cs="Times New Roman"/>
          <w:sz w:val="24"/>
          <w:szCs w:val="24"/>
        </w:rPr>
        <w:t xml:space="preserve">prompted the opening remarks in this judgment. That </w:t>
      </w:r>
      <w:r w:rsidR="004266C8">
        <w:rPr>
          <w:rFonts w:ascii="Times New Roman" w:hAnsi="Times New Roman" w:cs="Times New Roman"/>
          <w:sz w:val="24"/>
          <w:szCs w:val="24"/>
        </w:rPr>
        <w:t>need, however</w:t>
      </w:r>
      <w:r w:rsidR="006E184C">
        <w:rPr>
          <w:rFonts w:ascii="Times New Roman" w:hAnsi="Times New Roman" w:cs="Times New Roman"/>
          <w:sz w:val="24"/>
          <w:szCs w:val="24"/>
        </w:rPr>
        <w:t xml:space="preserve">, is </w:t>
      </w:r>
      <w:r w:rsidR="00497A9C">
        <w:rPr>
          <w:rFonts w:ascii="Times New Roman" w:hAnsi="Times New Roman" w:cs="Times New Roman"/>
          <w:sz w:val="24"/>
          <w:szCs w:val="24"/>
        </w:rPr>
        <w:t xml:space="preserve">one </w:t>
      </w:r>
      <w:r w:rsidR="006E184C">
        <w:rPr>
          <w:rFonts w:ascii="Times New Roman" w:hAnsi="Times New Roman" w:cs="Times New Roman"/>
          <w:sz w:val="24"/>
          <w:szCs w:val="24"/>
        </w:rPr>
        <w:t xml:space="preserve">born of the need to ensure that ultimately, justice is done as between </w:t>
      </w:r>
      <w:r w:rsidR="00AE1E2C">
        <w:rPr>
          <w:rFonts w:ascii="Times New Roman" w:hAnsi="Times New Roman" w:cs="Times New Roman"/>
          <w:sz w:val="24"/>
          <w:szCs w:val="24"/>
        </w:rPr>
        <w:t xml:space="preserve">parties. </w:t>
      </w:r>
      <w:r w:rsidR="00497A9C">
        <w:rPr>
          <w:rFonts w:ascii="Times New Roman" w:hAnsi="Times New Roman" w:cs="Times New Roman"/>
          <w:sz w:val="24"/>
          <w:szCs w:val="24"/>
        </w:rPr>
        <w:t>The court do</w:t>
      </w:r>
      <w:r w:rsidR="004266C8">
        <w:rPr>
          <w:rFonts w:ascii="Times New Roman" w:hAnsi="Times New Roman" w:cs="Times New Roman"/>
          <w:sz w:val="24"/>
          <w:szCs w:val="24"/>
        </w:rPr>
        <w:t>es</w:t>
      </w:r>
      <w:r w:rsidR="00497A9C">
        <w:rPr>
          <w:rFonts w:ascii="Times New Roman" w:hAnsi="Times New Roman" w:cs="Times New Roman"/>
          <w:sz w:val="24"/>
          <w:szCs w:val="24"/>
        </w:rPr>
        <w:t xml:space="preserve"> not demand </w:t>
      </w:r>
      <w:r w:rsidR="00AE1E2C">
        <w:rPr>
          <w:rFonts w:ascii="Times New Roman" w:hAnsi="Times New Roman" w:cs="Times New Roman"/>
          <w:sz w:val="24"/>
          <w:szCs w:val="24"/>
        </w:rPr>
        <w:t xml:space="preserve">compliance </w:t>
      </w:r>
      <w:r w:rsidR="004266C8">
        <w:rPr>
          <w:rFonts w:ascii="Times New Roman" w:hAnsi="Times New Roman" w:cs="Times New Roman"/>
          <w:sz w:val="24"/>
          <w:szCs w:val="24"/>
        </w:rPr>
        <w:t xml:space="preserve">with its rules </w:t>
      </w:r>
      <w:r w:rsidR="00AE1E2C">
        <w:rPr>
          <w:rFonts w:ascii="Times New Roman" w:hAnsi="Times New Roman" w:cs="Times New Roman"/>
          <w:sz w:val="24"/>
          <w:szCs w:val="24"/>
        </w:rPr>
        <w:t xml:space="preserve">as </w:t>
      </w:r>
      <w:r w:rsidR="006E184C">
        <w:rPr>
          <w:rFonts w:ascii="Times New Roman" w:hAnsi="Times New Roman" w:cs="Times New Roman"/>
          <w:sz w:val="24"/>
          <w:szCs w:val="24"/>
        </w:rPr>
        <w:t xml:space="preserve">an end unto itself. It is </w:t>
      </w:r>
      <w:r w:rsidR="004266C8">
        <w:rPr>
          <w:rFonts w:ascii="Times New Roman" w:hAnsi="Times New Roman" w:cs="Times New Roman"/>
          <w:sz w:val="24"/>
          <w:szCs w:val="24"/>
        </w:rPr>
        <w:t>partially in recognition of the need for flexibility that</w:t>
      </w:r>
      <w:r w:rsidR="006E184C">
        <w:rPr>
          <w:rFonts w:ascii="Times New Roman" w:hAnsi="Times New Roman" w:cs="Times New Roman"/>
          <w:sz w:val="24"/>
          <w:szCs w:val="24"/>
        </w:rPr>
        <w:t xml:space="preserve"> the Commercial </w:t>
      </w:r>
      <w:r>
        <w:rPr>
          <w:rFonts w:ascii="Times New Roman" w:hAnsi="Times New Roman" w:cs="Times New Roman"/>
          <w:sz w:val="24"/>
          <w:szCs w:val="24"/>
        </w:rPr>
        <w:t>Court rules</w:t>
      </w:r>
      <w:r w:rsidR="006E184C">
        <w:rPr>
          <w:rFonts w:ascii="Times New Roman" w:hAnsi="Times New Roman" w:cs="Times New Roman"/>
          <w:sz w:val="24"/>
          <w:szCs w:val="24"/>
        </w:rPr>
        <w:t xml:space="preserve"> specifically provide as follows; -</w:t>
      </w:r>
    </w:p>
    <w:p w14:paraId="10199E7D" w14:textId="77777777" w:rsidR="006E184C" w:rsidRDefault="006E184C" w:rsidP="0096252A">
      <w:pPr>
        <w:pStyle w:val="NoSpacing"/>
        <w:spacing w:line="360" w:lineRule="auto"/>
        <w:jc w:val="both"/>
        <w:rPr>
          <w:rFonts w:ascii="Times New Roman" w:hAnsi="Times New Roman" w:cs="Times New Roman"/>
          <w:sz w:val="24"/>
          <w:szCs w:val="24"/>
        </w:rPr>
      </w:pPr>
    </w:p>
    <w:p w14:paraId="57B8A8C2" w14:textId="77777777" w:rsidR="00EB36CD" w:rsidRPr="00EB36CD" w:rsidRDefault="00EB36CD" w:rsidP="00EB36CD">
      <w:pPr>
        <w:pStyle w:val="NoSpacing"/>
        <w:spacing w:line="360" w:lineRule="auto"/>
        <w:ind w:left="851"/>
        <w:jc w:val="both"/>
        <w:rPr>
          <w:rFonts w:ascii="Times New Roman" w:hAnsi="Times New Roman" w:cs="Times New Roman"/>
          <w:sz w:val="24"/>
          <w:szCs w:val="24"/>
          <w:u w:val="single"/>
        </w:rPr>
      </w:pPr>
      <w:r w:rsidRPr="00EB36CD">
        <w:rPr>
          <w:rFonts w:ascii="Times New Roman" w:hAnsi="Times New Roman" w:cs="Times New Roman"/>
          <w:sz w:val="24"/>
          <w:szCs w:val="24"/>
          <w:u w:val="single"/>
        </w:rPr>
        <w:t xml:space="preserve">Adoption of incorrect form of application </w:t>
      </w:r>
    </w:p>
    <w:p w14:paraId="41117A0F" w14:textId="77777777" w:rsidR="00EB36CD" w:rsidRPr="00EB36CD" w:rsidRDefault="00EB36CD" w:rsidP="00EB36CD">
      <w:pPr>
        <w:pStyle w:val="NoSpacing"/>
        <w:spacing w:line="360" w:lineRule="auto"/>
        <w:ind w:left="851"/>
        <w:jc w:val="both"/>
        <w:rPr>
          <w:rFonts w:ascii="Times New Roman" w:hAnsi="Times New Roman" w:cs="Times New Roman"/>
          <w:sz w:val="24"/>
          <w:szCs w:val="24"/>
        </w:rPr>
      </w:pPr>
      <w:r w:rsidRPr="00EB36CD">
        <w:rPr>
          <w:rFonts w:ascii="Times New Roman" w:hAnsi="Times New Roman" w:cs="Times New Roman"/>
          <w:sz w:val="24"/>
          <w:szCs w:val="24"/>
        </w:rPr>
        <w:t>28. (1) Notwithstanding anything said in these rules, the fact that an applicant has instituted—</w:t>
      </w:r>
    </w:p>
    <w:p w14:paraId="324579D9" w14:textId="77777777" w:rsidR="00EB36CD" w:rsidRPr="00EB36CD" w:rsidRDefault="00EB36CD" w:rsidP="00EB36CD">
      <w:pPr>
        <w:pStyle w:val="NoSpacing"/>
        <w:spacing w:line="360" w:lineRule="auto"/>
        <w:ind w:left="851"/>
        <w:jc w:val="both"/>
        <w:rPr>
          <w:rFonts w:ascii="Times New Roman" w:hAnsi="Times New Roman" w:cs="Times New Roman"/>
          <w:sz w:val="24"/>
          <w:szCs w:val="24"/>
        </w:rPr>
      </w:pPr>
      <w:r w:rsidRPr="00EB36CD">
        <w:rPr>
          <w:rFonts w:ascii="Times New Roman" w:hAnsi="Times New Roman" w:cs="Times New Roman"/>
          <w:sz w:val="24"/>
          <w:szCs w:val="24"/>
        </w:rPr>
        <w:t xml:space="preserve"> (a) a court application when he or she should have proceeded by way of a chamber application; or</w:t>
      </w:r>
    </w:p>
    <w:p w14:paraId="3E2C598A" w14:textId="77777777" w:rsidR="00EB36CD" w:rsidRPr="00EB36CD" w:rsidRDefault="00EB36CD" w:rsidP="00EB36CD">
      <w:pPr>
        <w:pStyle w:val="NoSpacing"/>
        <w:spacing w:line="360" w:lineRule="auto"/>
        <w:ind w:left="851"/>
        <w:jc w:val="both"/>
        <w:rPr>
          <w:rFonts w:ascii="Times New Roman" w:hAnsi="Times New Roman" w:cs="Times New Roman"/>
          <w:sz w:val="24"/>
          <w:szCs w:val="24"/>
        </w:rPr>
      </w:pPr>
      <w:r w:rsidRPr="00EB36CD">
        <w:rPr>
          <w:rFonts w:ascii="Times New Roman" w:hAnsi="Times New Roman" w:cs="Times New Roman"/>
          <w:sz w:val="24"/>
          <w:szCs w:val="24"/>
        </w:rPr>
        <w:t xml:space="preserve"> (b) a chamber application when he or she should have proceeded by way of a court application;</w:t>
      </w:r>
    </w:p>
    <w:p w14:paraId="65615498" w14:textId="77777777" w:rsidR="00EB36CD" w:rsidRPr="00EB36CD" w:rsidRDefault="00EB36CD" w:rsidP="00EB36CD">
      <w:pPr>
        <w:pStyle w:val="NoSpacing"/>
        <w:spacing w:line="360" w:lineRule="auto"/>
        <w:ind w:left="851"/>
        <w:jc w:val="both"/>
        <w:rPr>
          <w:rFonts w:ascii="Times New Roman" w:hAnsi="Times New Roman" w:cs="Times New Roman"/>
          <w:sz w:val="24"/>
          <w:szCs w:val="24"/>
        </w:rPr>
      </w:pPr>
      <w:r w:rsidRPr="00EB36CD">
        <w:rPr>
          <w:rFonts w:ascii="Times New Roman" w:hAnsi="Times New Roman" w:cs="Times New Roman"/>
          <w:sz w:val="24"/>
          <w:szCs w:val="24"/>
        </w:rPr>
        <w:t xml:space="preserve"> </w:t>
      </w:r>
      <w:r w:rsidRPr="00EB36CD">
        <w:rPr>
          <w:rFonts w:ascii="Times New Roman" w:hAnsi="Times New Roman" w:cs="Times New Roman"/>
          <w:sz w:val="24"/>
          <w:szCs w:val="24"/>
          <w:u w:val="single"/>
        </w:rPr>
        <w:t>shall not in itself</w:t>
      </w:r>
      <w:r w:rsidRPr="00EB36CD">
        <w:rPr>
          <w:rFonts w:ascii="Times New Roman" w:hAnsi="Times New Roman" w:cs="Times New Roman"/>
          <w:sz w:val="24"/>
          <w:szCs w:val="24"/>
        </w:rPr>
        <w:t xml:space="preserve"> be a ground for dismissing the application unless the court or judge, as the case may be, considers that— </w:t>
      </w:r>
    </w:p>
    <w:p w14:paraId="17125EC1" w14:textId="77777777" w:rsidR="00EB36CD" w:rsidRPr="00EB36CD" w:rsidRDefault="00EB36CD" w:rsidP="00EB36CD">
      <w:pPr>
        <w:pStyle w:val="NoSpacing"/>
        <w:spacing w:line="360" w:lineRule="auto"/>
        <w:ind w:left="851"/>
        <w:jc w:val="both"/>
        <w:rPr>
          <w:rFonts w:ascii="Times New Roman" w:hAnsi="Times New Roman" w:cs="Times New Roman"/>
          <w:sz w:val="24"/>
          <w:szCs w:val="24"/>
        </w:rPr>
      </w:pPr>
      <w:r w:rsidRPr="00EB36CD">
        <w:rPr>
          <w:rFonts w:ascii="Times New Roman" w:hAnsi="Times New Roman" w:cs="Times New Roman"/>
          <w:sz w:val="24"/>
          <w:szCs w:val="24"/>
        </w:rPr>
        <w:t xml:space="preserve">(i)  </w:t>
      </w:r>
      <w:r w:rsidRPr="00EB36CD">
        <w:rPr>
          <w:rFonts w:ascii="Times New Roman" w:hAnsi="Times New Roman" w:cs="Times New Roman"/>
          <w:sz w:val="24"/>
          <w:szCs w:val="24"/>
          <w:u w:val="single"/>
        </w:rPr>
        <w:t xml:space="preserve">some interested party has or may have been prejudiced by the applicant’s failure to institute the application in proper form; </w:t>
      </w:r>
      <w:r w:rsidRPr="00EB36CD">
        <w:rPr>
          <w:rFonts w:ascii="Times New Roman" w:hAnsi="Times New Roman" w:cs="Times New Roman"/>
          <w:b/>
          <w:bCs/>
          <w:sz w:val="24"/>
          <w:szCs w:val="24"/>
        </w:rPr>
        <w:t xml:space="preserve">and </w:t>
      </w:r>
    </w:p>
    <w:p w14:paraId="2E2D8090" w14:textId="577A78A7" w:rsidR="006E184C" w:rsidRPr="00EB36CD" w:rsidRDefault="00EB36CD" w:rsidP="00EB36CD">
      <w:pPr>
        <w:pStyle w:val="NoSpacing"/>
        <w:spacing w:line="360" w:lineRule="auto"/>
        <w:ind w:left="851"/>
        <w:jc w:val="both"/>
        <w:rPr>
          <w:rFonts w:ascii="Times New Roman" w:hAnsi="Times New Roman" w:cs="Times New Roman"/>
          <w:sz w:val="24"/>
          <w:szCs w:val="24"/>
        </w:rPr>
      </w:pPr>
      <w:r w:rsidRPr="00EB36CD">
        <w:rPr>
          <w:rFonts w:ascii="Times New Roman" w:hAnsi="Times New Roman" w:cs="Times New Roman"/>
          <w:sz w:val="24"/>
          <w:szCs w:val="24"/>
        </w:rPr>
        <w:t xml:space="preserve">(ii) </w:t>
      </w:r>
      <w:r w:rsidRPr="00EB36CD">
        <w:rPr>
          <w:rFonts w:ascii="Times New Roman" w:hAnsi="Times New Roman" w:cs="Times New Roman"/>
          <w:sz w:val="24"/>
          <w:szCs w:val="24"/>
          <w:u w:val="single"/>
        </w:rPr>
        <w:t>such prejudice cannot be remedied by directions for the service of the application on that party with or without an appropriate order of costs</w:t>
      </w:r>
      <w:r w:rsidRPr="00EB36CD">
        <w:rPr>
          <w:rFonts w:ascii="Times New Roman" w:hAnsi="Times New Roman" w:cs="Times New Roman"/>
          <w:sz w:val="24"/>
          <w:szCs w:val="24"/>
        </w:rPr>
        <w:t>.</w:t>
      </w:r>
      <w:r w:rsidR="00A64313">
        <w:rPr>
          <w:rFonts w:ascii="Times New Roman" w:hAnsi="Times New Roman" w:cs="Times New Roman"/>
          <w:sz w:val="24"/>
          <w:szCs w:val="24"/>
        </w:rPr>
        <w:t xml:space="preserve">  [Underlined and emboldened for emphasis]</w:t>
      </w:r>
    </w:p>
    <w:p w14:paraId="129C3884" w14:textId="77777777" w:rsidR="006E184C" w:rsidRDefault="006E184C" w:rsidP="0096252A">
      <w:pPr>
        <w:pStyle w:val="NoSpacing"/>
        <w:spacing w:line="360" w:lineRule="auto"/>
        <w:jc w:val="both"/>
        <w:rPr>
          <w:rFonts w:ascii="Times New Roman" w:hAnsi="Times New Roman" w:cs="Times New Roman"/>
          <w:sz w:val="24"/>
          <w:szCs w:val="24"/>
        </w:rPr>
      </w:pPr>
    </w:p>
    <w:p w14:paraId="37A3D341" w14:textId="427644B5" w:rsidR="00A64313" w:rsidRDefault="006B5C2C"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A64313">
        <w:rPr>
          <w:rFonts w:ascii="Times New Roman" w:hAnsi="Times New Roman" w:cs="Times New Roman"/>
          <w:sz w:val="24"/>
          <w:szCs w:val="24"/>
        </w:rPr>
        <w:t>7</w:t>
      </w:r>
      <w:r>
        <w:rPr>
          <w:rFonts w:ascii="Times New Roman" w:hAnsi="Times New Roman" w:cs="Times New Roman"/>
          <w:sz w:val="24"/>
          <w:szCs w:val="24"/>
        </w:rPr>
        <w:t xml:space="preserve">] In mounting and persisting with his objection, I expected Mr. </w:t>
      </w:r>
      <w:r w:rsidRPr="006B5C2C">
        <w:rPr>
          <w:rFonts w:ascii="Times New Roman" w:hAnsi="Times New Roman" w:cs="Times New Roman"/>
          <w:i/>
          <w:iCs/>
          <w:sz w:val="24"/>
          <w:szCs w:val="24"/>
        </w:rPr>
        <w:t>Madzvamuse</w:t>
      </w:r>
      <w:r>
        <w:rPr>
          <w:rFonts w:ascii="Times New Roman" w:hAnsi="Times New Roman" w:cs="Times New Roman"/>
          <w:sz w:val="24"/>
          <w:szCs w:val="24"/>
        </w:rPr>
        <w:t xml:space="preserve"> to address himself specifically to the import of this rule. It was necessary for him to do so but he did </w:t>
      </w:r>
      <w:r w:rsidR="0043240A">
        <w:rPr>
          <w:rFonts w:ascii="Times New Roman" w:hAnsi="Times New Roman" w:cs="Times New Roman"/>
          <w:sz w:val="24"/>
          <w:szCs w:val="24"/>
        </w:rPr>
        <w:t xml:space="preserve">not. This is because one must not indulge in what HLATSHWAYO J (as he then was) described as </w:t>
      </w:r>
      <w:r w:rsidR="0043240A" w:rsidRPr="00B21B55">
        <w:rPr>
          <w:rFonts w:ascii="Times New Roman" w:hAnsi="Times New Roman" w:cs="Times New Roman"/>
          <w:sz w:val="24"/>
          <w:szCs w:val="24"/>
        </w:rPr>
        <w:t>“</w:t>
      </w:r>
      <w:r w:rsidR="0043240A" w:rsidRPr="00B21B55">
        <w:rPr>
          <w:rFonts w:ascii="Times New Roman" w:eastAsia="Calibri" w:hAnsi="Times New Roman" w:cs="Times New Roman"/>
          <w:i/>
          <w:iCs/>
          <w:kern w:val="0"/>
          <w:sz w:val="24"/>
          <w:szCs w:val="24"/>
          <w14:ligatures w14:val="none"/>
        </w:rPr>
        <w:t>a sterile dispute about forms</w:t>
      </w:r>
      <w:r w:rsidR="0043240A" w:rsidRPr="00B21B55">
        <w:rPr>
          <w:rFonts w:ascii="Times New Roman" w:eastAsia="Calibri" w:hAnsi="Times New Roman" w:cs="Times New Roman"/>
          <w:kern w:val="0"/>
          <w:sz w:val="24"/>
          <w:szCs w:val="24"/>
          <w14:ligatures w14:val="none"/>
        </w:rPr>
        <w:t xml:space="preserve">” way back in 2009 in </w:t>
      </w:r>
      <w:r w:rsidR="00B21B55" w:rsidRPr="00B21B55">
        <w:rPr>
          <w:rFonts w:ascii="Times New Roman" w:hAnsi="Times New Roman" w:cs="Times New Roman"/>
          <w:i/>
          <w:iCs/>
          <w:sz w:val="24"/>
          <w:szCs w:val="24"/>
        </w:rPr>
        <w:t>Zimbabwe Open University v Mazombwe</w:t>
      </w:r>
      <w:r w:rsidR="00B21B55" w:rsidRPr="00B21B55">
        <w:rPr>
          <w:rFonts w:ascii="Times New Roman" w:hAnsi="Times New Roman" w:cs="Times New Roman"/>
          <w:sz w:val="24"/>
          <w:szCs w:val="24"/>
        </w:rPr>
        <w:t xml:space="preserve"> 2009 (1) ZLR 101 (H) at page 103 C.</w:t>
      </w:r>
    </w:p>
    <w:p w14:paraId="5BA35FA1" w14:textId="77777777" w:rsidR="00A64313" w:rsidRDefault="00A64313" w:rsidP="0096252A">
      <w:pPr>
        <w:pStyle w:val="NoSpacing"/>
        <w:spacing w:line="360" w:lineRule="auto"/>
        <w:jc w:val="both"/>
        <w:rPr>
          <w:rFonts w:ascii="Times New Roman" w:hAnsi="Times New Roman" w:cs="Times New Roman"/>
          <w:sz w:val="24"/>
          <w:szCs w:val="24"/>
        </w:rPr>
      </w:pPr>
    </w:p>
    <w:p w14:paraId="5D123DE2" w14:textId="2260D562" w:rsidR="007A7E00" w:rsidRDefault="00A64313" w:rsidP="0096252A">
      <w:pPr>
        <w:pStyle w:val="NoSpacing"/>
        <w:spacing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 xml:space="preserve">[28] </w:t>
      </w:r>
      <w:r w:rsidRPr="00B21B55">
        <w:rPr>
          <w:rFonts w:ascii="Times New Roman" w:hAnsi="Times New Roman" w:cs="Times New Roman"/>
          <w:sz w:val="24"/>
          <w:szCs w:val="24"/>
        </w:rPr>
        <w:t>The</w:t>
      </w:r>
      <w:r w:rsidR="00B21B55">
        <w:rPr>
          <w:rFonts w:ascii="Times New Roman" w:hAnsi="Times New Roman" w:cs="Times New Roman"/>
          <w:sz w:val="24"/>
          <w:szCs w:val="24"/>
        </w:rPr>
        <w:t xml:space="preserve"> Supreme Court recently reaffirmed the pragmatic approach to the issue of wrong forms and held thus </w:t>
      </w:r>
      <w:r w:rsidR="007A7E00">
        <w:rPr>
          <w:rFonts w:ascii="Times New Roman" w:hAnsi="Times New Roman" w:cs="Times New Roman"/>
          <w:sz w:val="24"/>
          <w:szCs w:val="24"/>
        </w:rPr>
        <w:t xml:space="preserve">per GUVAVA JA at paragraph </w:t>
      </w:r>
      <w:r w:rsidR="007A7E00" w:rsidRPr="00A64313">
        <w:rPr>
          <w:rFonts w:ascii="Times New Roman" w:hAnsi="Times New Roman" w:cs="Times New Roman"/>
          <w:i/>
          <w:iCs/>
          <w:sz w:val="24"/>
          <w:szCs w:val="24"/>
        </w:rPr>
        <w:t>[ 19]</w:t>
      </w:r>
      <w:r w:rsidR="007A7E00">
        <w:rPr>
          <w:rFonts w:ascii="Times New Roman" w:hAnsi="Times New Roman" w:cs="Times New Roman"/>
          <w:sz w:val="24"/>
          <w:szCs w:val="24"/>
        </w:rPr>
        <w:t xml:space="preserve"> in </w:t>
      </w:r>
      <w:r w:rsidR="0043240A" w:rsidRPr="0043240A">
        <w:rPr>
          <w:rFonts w:ascii="Times New Roman" w:eastAsia="Calibri" w:hAnsi="Times New Roman" w:cs="Times New Roman"/>
          <w:i/>
          <w:kern w:val="0"/>
          <w:sz w:val="24"/>
          <w:szCs w:val="24"/>
          <w14:ligatures w14:val="none"/>
        </w:rPr>
        <w:t xml:space="preserve">Chiangwa </w:t>
      </w:r>
      <w:r w:rsidR="0043240A" w:rsidRPr="0043240A">
        <w:rPr>
          <w:rFonts w:ascii="Times New Roman" w:eastAsia="Calibri" w:hAnsi="Times New Roman" w:cs="Times New Roman"/>
          <w:kern w:val="0"/>
          <w:sz w:val="24"/>
          <w:szCs w:val="24"/>
          <w14:ligatures w14:val="none"/>
        </w:rPr>
        <w:t>v</w:t>
      </w:r>
      <w:r w:rsidR="0043240A" w:rsidRPr="0043240A">
        <w:rPr>
          <w:rFonts w:ascii="Times New Roman" w:eastAsia="Calibri" w:hAnsi="Times New Roman" w:cs="Times New Roman"/>
          <w:i/>
          <w:kern w:val="0"/>
          <w:sz w:val="24"/>
          <w:szCs w:val="24"/>
          <w14:ligatures w14:val="none"/>
        </w:rPr>
        <w:t xml:space="preserve"> Apostolic Faith Mission</w:t>
      </w:r>
      <w:r w:rsidR="0043240A" w:rsidRPr="0043240A">
        <w:rPr>
          <w:rFonts w:ascii="Times New Roman" w:eastAsia="Calibri" w:hAnsi="Times New Roman" w:cs="Times New Roman"/>
          <w:kern w:val="0"/>
          <w:sz w:val="24"/>
          <w:szCs w:val="24"/>
          <w14:ligatures w14:val="none"/>
        </w:rPr>
        <w:t xml:space="preserve"> SC 5</w:t>
      </w:r>
      <w:r w:rsidR="007A7E00">
        <w:rPr>
          <w:rFonts w:ascii="Times New Roman" w:eastAsia="Calibri" w:hAnsi="Times New Roman" w:cs="Times New Roman"/>
          <w:kern w:val="0"/>
          <w:sz w:val="24"/>
          <w:szCs w:val="24"/>
          <w14:ligatures w14:val="none"/>
        </w:rPr>
        <w:t>-</w:t>
      </w:r>
      <w:r w:rsidR="007A7E00" w:rsidRPr="0043240A">
        <w:rPr>
          <w:rFonts w:ascii="Times New Roman" w:eastAsia="Calibri" w:hAnsi="Times New Roman" w:cs="Times New Roman"/>
          <w:kern w:val="0"/>
          <w:sz w:val="24"/>
          <w:szCs w:val="24"/>
          <w14:ligatures w14:val="none"/>
        </w:rPr>
        <w:t>23</w:t>
      </w:r>
      <w:r w:rsidR="007A7E00">
        <w:rPr>
          <w:rStyle w:val="FootnoteReference"/>
          <w:rFonts w:ascii="Times New Roman" w:eastAsia="Calibri" w:hAnsi="Times New Roman" w:cs="Times New Roman"/>
          <w:kern w:val="0"/>
          <w:sz w:val="24"/>
          <w:szCs w:val="24"/>
          <w14:ligatures w14:val="none"/>
        </w:rPr>
        <w:footnoteReference w:id="5"/>
      </w:r>
      <w:r w:rsidR="007A7E00">
        <w:rPr>
          <w:rFonts w:ascii="Times New Roman" w:eastAsia="Calibri" w:hAnsi="Times New Roman" w:cs="Times New Roman"/>
          <w:kern w:val="0"/>
          <w:sz w:val="24"/>
          <w:szCs w:val="24"/>
          <w14:ligatures w14:val="none"/>
        </w:rPr>
        <w:t>; -</w:t>
      </w:r>
    </w:p>
    <w:p w14:paraId="6EAC26C3" w14:textId="77777777" w:rsidR="007A7E00" w:rsidRDefault="007A7E00" w:rsidP="0096252A">
      <w:pPr>
        <w:pStyle w:val="NoSpacing"/>
        <w:spacing w:line="360" w:lineRule="auto"/>
        <w:jc w:val="both"/>
        <w:rPr>
          <w:rFonts w:ascii="Times New Roman" w:eastAsia="Calibri" w:hAnsi="Times New Roman" w:cs="Times New Roman"/>
          <w:kern w:val="0"/>
          <w:sz w:val="24"/>
          <w:szCs w:val="24"/>
          <w14:ligatures w14:val="none"/>
        </w:rPr>
      </w:pPr>
    </w:p>
    <w:p w14:paraId="2CEA72CA" w14:textId="68DA6EDE" w:rsidR="007A7E00" w:rsidRPr="007A7E00" w:rsidRDefault="007A7E00" w:rsidP="007A7E00">
      <w:pPr>
        <w:spacing w:after="0" w:line="360" w:lineRule="auto"/>
        <w:ind w:left="1418" w:hanging="567"/>
        <w:jc w:val="both"/>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bCs/>
          <w:iCs/>
          <w:color w:val="000000"/>
          <w:kern w:val="0"/>
          <w:sz w:val="24"/>
          <w:szCs w:val="24"/>
          <w:lang w:val="en-US"/>
          <w14:ligatures w14:val="none"/>
        </w:rPr>
        <w:t xml:space="preserve">          </w:t>
      </w:r>
      <w:r w:rsidRPr="007A7E00">
        <w:rPr>
          <w:rFonts w:ascii="Times New Roman" w:eastAsia="Times New Roman" w:hAnsi="Times New Roman" w:cs="Times New Roman"/>
          <w:bCs/>
          <w:i/>
          <w:color w:val="000000"/>
          <w:kern w:val="0"/>
          <w:sz w:val="24"/>
          <w:szCs w:val="24"/>
          <w:lang w:val="en-US"/>
          <w14:ligatures w14:val="none"/>
        </w:rPr>
        <w:t>[19]</w:t>
      </w:r>
      <w:r>
        <w:rPr>
          <w:rFonts w:ascii="Times New Roman" w:eastAsia="Times New Roman" w:hAnsi="Times New Roman" w:cs="Times New Roman"/>
          <w:bCs/>
          <w:iCs/>
          <w:color w:val="000000"/>
          <w:kern w:val="0"/>
          <w:sz w:val="24"/>
          <w:szCs w:val="24"/>
          <w:lang w:val="en-US"/>
          <w14:ligatures w14:val="none"/>
        </w:rPr>
        <w:t xml:space="preserve"> </w:t>
      </w:r>
      <w:r w:rsidRPr="007A7E00">
        <w:rPr>
          <w:rFonts w:ascii="Times New Roman" w:eastAsia="Times New Roman" w:hAnsi="Times New Roman" w:cs="Times New Roman"/>
          <w:bCs/>
          <w:iCs/>
          <w:color w:val="000000"/>
          <w:kern w:val="0"/>
          <w:sz w:val="24"/>
          <w:szCs w:val="24"/>
          <w:lang w:val="en-US"/>
          <w14:ligatures w14:val="none"/>
        </w:rPr>
        <w:t xml:space="preserve">I agree. The above </w:t>
      </w:r>
      <w:r w:rsidRPr="007A7E00">
        <w:rPr>
          <w:rFonts w:ascii="Times New Roman" w:eastAsia="Times New Roman" w:hAnsi="Times New Roman" w:cs="Times New Roman"/>
          <w:bCs/>
          <w:i/>
          <w:iCs/>
          <w:color w:val="000000"/>
          <w:kern w:val="0"/>
          <w:sz w:val="24"/>
          <w:szCs w:val="24"/>
          <w:lang w:val="en-US"/>
          <w14:ligatures w14:val="none"/>
        </w:rPr>
        <w:t xml:space="preserve">ratio dicidendi </w:t>
      </w:r>
      <w:r w:rsidRPr="007A7E00">
        <w:rPr>
          <w:rFonts w:ascii="Times New Roman" w:eastAsia="Times New Roman" w:hAnsi="Times New Roman" w:cs="Times New Roman"/>
          <w:bCs/>
          <w:iCs/>
          <w:color w:val="000000"/>
          <w:kern w:val="0"/>
          <w:sz w:val="24"/>
          <w:szCs w:val="24"/>
          <w:lang w:val="en-US"/>
          <w14:ligatures w14:val="none"/>
        </w:rPr>
        <w:t xml:space="preserve">puts to rest the complaint by the appellant about the use of the wrong procedure. From the above it is apparent that the rule was designed to ensure that justice delivery prevails. It also has the added advantage of curbing the associated problem of dismissing or striking off </w:t>
      </w:r>
      <w:r w:rsidRPr="007A7E00">
        <w:rPr>
          <w:rFonts w:ascii="Times New Roman" w:eastAsia="Times New Roman" w:hAnsi="Times New Roman" w:cs="Times New Roman"/>
          <w:bCs/>
          <w:iCs/>
          <w:color w:val="000000"/>
          <w:kern w:val="0"/>
          <w:sz w:val="24"/>
          <w:szCs w:val="24"/>
          <w:lang w:val="en-US"/>
          <w14:ligatures w14:val="none"/>
        </w:rPr>
        <w:lastRenderedPageBreak/>
        <w:t>matters which may have merit solely on the basis of procedural mishaps. The rule gives the court discretion to allow access to a party who has not approached the court in the proper form provided there is no prejudice to an interested party. In exercising its discretion, the court must have regard to the exceptions set out under r 58 (13) (c) and (d). It follows that the bringing of an application either as a chamber application or a court application does not automatically in itself amount to a basis for the dismissal of the application unless there is prejudice. The court must consider whether the wrong procedure will prejudice an interested party and if such prejudice cannot be cured by</w:t>
      </w:r>
      <w:r w:rsidRPr="007A7E00">
        <w:rPr>
          <w:rFonts w:ascii="Times New Roman" w:eastAsia="Calibri" w:hAnsi="Times New Roman" w:cs="Times New Roman"/>
          <w:kern w:val="0"/>
          <w:sz w:val="24"/>
          <w:szCs w:val="24"/>
          <w:lang w:val="en-US"/>
          <w14:ligatures w14:val="none"/>
        </w:rPr>
        <w:t xml:space="preserve"> giving directions for the service of the application on that party with or without an appropriate order of costs.</w:t>
      </w:r>
    </w:p>
    <w:p w14:paraId="158BBD50" w14:textId="7018EA17" w:rsidR="007A7E00" w:rsidRDefault="007A7E00" w:rsidP="0096252A">
      <w:pPr>
        <w:pStyle w:val="NoSpacing"/>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w:t>
      </w:r>
      <w:r w:rsidR="00A64313">
        <w:rPr>
          <w:rFonts w:ascii="Times New Roman" w:eastAsia="Calibri" w:hAnsi="Times New Roman" w:cs="Times New Roman"/>
          <w:kern w:val="0"/>
          <w:sz w:val="24"/>
          <w:szCs w:val="24"/>
          <w14:ligatures w14:val="none"/>
        </w:rPr>
        <w:t>9</w:t>
      </w:r>
      <w:r>
        <w:rPr>
          <w:rFonts w:ascii="Times New Roman" w:eastAsia="Calibri" w:hAnsi="Times New Roman" w:cs="Times New Roman"/>
          <w:kern w:val="0"/>
          <w:sz w:val="24"/>
          <w:szCs w:val="24"/>
          <w14:ligatures w14:val="none"/>
        </w:rPr>
        <w:t xml:space="preserve">] With no prejudice having been shown, the point </w:t>
      </w:r>
      <w:r w:rsidRPr="004266C8">
        <w:rPr>
          <w:rFonts w:ascii="Times New Roman" w:eastAsia="Calibri" w:hAnsi="Times New Roman" w:cs="Times New Roman"/>
          <w:i/>
          <w:iCs/>
          <w:kern w:val="0"/>
          <w:sz w:val="24"/>
          <w:szCs w:val="24"/>
          <w14:ligatures w14:val="none"/>
        </w:rPr>
        <w:t>in limine</w:t>
      </w:r>
      <w:r>
        <w:rPr>
          <w:rFonts w:ascii="Times New Roman" w:eastAsia="Calibri" w:hAnsi="Times New Roman" w:cs="Times New Roman"/>
          <w:kern w:val="0"/>
          <w:sz w:val="24"/>
          <w:szCs w:val="24"/>
          <w14:ligatures w14:val="none"/>
        </w:rPr>
        <w:t xml:space="preserve"> cannot stand. I will only linger on this point before dismissing it to stress one issue. The duty of that party objecting to the usage of wrong form to show prejudice must be met </w:t>
      </w:r>
      <w:r w:rsidR="004266C8">
        <w:rPr>
          <w:rFonts w:ascii="Times New Roman" w:eastAsia="Calibri" w:hAnsi="Times New Roman" w:cs="Times New Roman"/>
          <w:kern w:val="0"/>
          <w:sz w:val="24"/>
          <w:szCs w:val="24"/>
          <w14:ligatures w14:val="none"/>
        </w:rPr>
        <w:t>by</w:t>
      </w:r>
      <w:r>
        <w:rPr>
          <w:rFonts w:ascii="Times New Roman" w:eastAsia="Calibri" w:hAnsi="Times New Roman" w:cs="Times New Roman"/>
          <w:kern w:val="0"/>
          <w:sz w:val="24"/>
          <w:szCs w:val="24"/>
          <w14:ligatures w14:val="none"/>
        </w:rPr>
        <w:t xml:space="preserve"> a corresponding explanation</w:t>
      </w:r>
      <w:r w:rsidR="004266C8">
        <w:rPr>
          <w:rFonts w:ascii="Times New Roman" w:eastAsia="Calibri" w:hAnsi="Times New Roman" w:cs="Times New Roman"/>
          <w:kern w:val="0"/>
          <w:sz w:val="24"/>
          <w:szCs w:val="24"/>
          <w14:ligatures w14:val="none"/>
        </w:rPr>
        <w:t xml:space="preserve"> from </w:t>
      </w:r>
      <w:r>
        <w:rPr>
          <w:rFonts w:ascii="Times New Roman" w:eastAsia="Calibri" w:hAnsi="Times New Roman" w:cs="Times New Roman"/>
          <w:kern w:val="0"/>
          <w:sz w:val="24"/>
          <w:szCs w:val="24"/>
          <w14:ligatures w14:val="none"/>
        </w:rPr>
        <w:t>the party in breach to assure the court that no</w:t>
      </w:r>
      <w:r w:rsidR="004266C8">
        <w:rPr>
          <w:rFonts w:ascii="Times New Roman" w:eastAsia="Calibri" w:hAnsi="Times New Roman" w:cs="Times New Roman"/>
          <w:kern w:val="0"/>
          <w:sz w:val="24"/>
          <w:szCs w:val="24"/>
          <w14:ligatures w14:val="none"/>
        </w:rPr>
        <w:t xml:space="preserve"> prejudice </w:t>
      </w:r>
      <w:r>
        <w:rPr>
          <w:rFonts w:ascii="Times New Roman" w:eastAsia="Calibri" w:hAnsi="Times New Roman" w:cs="Times New Roman"/>
          <w:kern w:val="0"/>
          <w:sz w:val="24"/>
          <w:szCs w:val="24"/>
          <w14:ligatures w14:val="none"/>
        </w:rPr>
        <w:t xml:space="preserve">was occasioned. It would not be remiss for the defaulting party to </w:t>
      </w:r>
      <w:r w:rsidR="004266C8">
        <w:rPr>
          <w:rFonts w:ascii="Times New Roman" w:eastAsia="Calibri" w:hAnsi="Times New Roman" w:cs="Times New Roman"/>
          <w:kern w:val="0"/>
          <w:sz w:val="24"/>
          <w:szCs w:val="24"/>
          <w14:ligatures w14:val="none"/>
        </w:rPr>
        <w:t xml:space="preserve">further </w:t>
      </w:r>
      <w:r>
        <w:rPr>
          <w:rFonts w:ascii="Times New Roman" w:eastAsia="Calibri" w:hAnsi="Times New Roman" w:cs="Times New Roman"/>
          <w:kern w:val="0"/>
          <w:sz w:val="24"/>
          <w:szCs w:val="24"/>
          <w14:ligatures w14:val="none"/>
        </w:rPr>
        <w:t xml:space="preserve">reinforce its case </w:t>
      </w:r>
      <w:r w:rsidR="00892AC2">
        <w:rPr>
          <w:rFonts w:ascii="Times New Roman" w:eastAsia="Calibri" w:hAnsi="Times New Roman" w:cs="Times New Roman"/>
          <w:kern w:val="0"/>
          <w:sz w:val="24"/>
          <w:szCs w:val="24"/>
          <w14:ligatures w14:val="none"/>
        </w:rPr>
        <w:t>(and</w:t>
      </w:r>
      <w:r>
        <w:rPr>
          <w:rFonts w:ascii="Times New Roman" w:eastAsia="Calibri" w:hAnsi="Times New Roman" w:cs="Times New Roman"/>
          <w:kern w:val="0"/>
          <w:sz w:val="24"/>
          <w:szCs w:val="24"/>
          <w14:ligatures w14:val="none"/>
        </w:rPr>
        <w:t xml:space="preserve"> evade adverse rulings on </w:t>
      </w:r>
      <w:r w:rsidR="00892AC2">
        <w:rPr>
          <w:rFonts w:ascii="Times New Roman" w:eastAsia="Calibri" w:hAnsi="Times New Roman" w:cs="Times New Roman"/>
          <w:kern w:val="0"/>
          <w:sz w:val="24"/>
          <w:szCs w:val="24"/>
          <w14:ligatures w14:val="none"/>
        </w:rPr>
        <w:t>costs)</w:t>
      </w:r>
      <w:r w:rsidR="004266C8">
        <w:rPr>
          <w:rFonts w:ascii="Times New Roman" w:eastAsia="Calibri" w:hAnsi="Times New Roman" w:cs="Times New Roman"/>
          <w:kern w:val="0"/>
          <w:sz w:val="24"/>
          <w:szCs w:val="24"/>
          <w14:ligatures w14:val="none"/>
        </w:rPr>
        <w:t xml:space="preserve"> by taking the</w:t>
      </w:r>
      <w:r>
        <w:rPr>
          <w:rFonts w:ascii="Times New Roman" w:eastAsia="Calibri" w:hAnsi="Times New Roman" w:cs="Times New Roman"/>
          <w:kern w:val="0"/>
          <w:sz w:val="24"/>
          <w:szCs w:val="24"/>
          <w14:ligatures w14:val="none"/>
        </w:rPr>
        <w:t xml:space="preserve"> court into his confidence </w:t>
      </w:r>
      <w:r w:rsidR="004266C8">
        <w:rPr>
          <w:rFonts w:ascii="Times New Roman" w:eastAsia="Calibri" w:hAnsi="Times New Roman" w:cs="Times New Roman"/>
          <w:kern w:val="0"/>
          <w:sz w:val="24"/>
          <w:szCs w:val="24"/>
          <w14:ligatures w14:val="none"/>
        </w:rPr>
        <w:t xml:space="preserve">and show that </w:t>
      </w:r>
      <w:r>
        <w:rPr>
          <w:rFonts w:ascii="Times New Roman" w:eastAsia="Calibri" w:hAnsi="Times New Roman" w:cs="Times New Roman"/>
          <w:kern w:val="0"/>
          <w:sz w:val="24"/>
          <w:szCs w:val="24"/>
          <w14:ligatures w14:val="none"/>
        </w:rPr>
        <w:t xml:space="preserve">breach was not a result of </w:t>
      </w:r>
      <w:r w:rsidR="00892AC2">
        <w:rPr>
          <w:rFonts w:ascii="Times New Roman" w:eastAsia="Calibri" w:hAnsi="Times New Roman" w:cs="Times New Roman"/>
          <w:kern w:val="0"/>
          <w:sz w:val="24"/>
          <w:szCs w:val="24"/>
          <w14:ligatures w14:val="none"/>
        </w:rPr>
        <w:t>inexcusable derelict.</w:t>
      </w:r>
    </w:p>
    <w:p w14:paraId="77947062" w14:textId="77777777" w:rsidR="007A7E00" w:rsidRDefault="007A7E00" w:rsidP="0096252A">
      <w:pPr>
        <w:pStyle w:val="NoSpacing"/>
        <w:spacing w:line="360" w:lineRule="auto"/>
        <w:jc w:val="both"/>
        <w:rPr>
          <w:rFonts w:ascii="Times New Roman" w:eastAsia="Calibri" w:hAnsi="Times New Roman" w:cs="Times New Roman"/>
          <w:kern w:val="0"/>
          <w:sz w:val="24"/>
          <w:szCs w:val="24"/>
          <w14:ligatures w14:val="none"/>
        </w:rPr>
      </w:pPr>
    </w:p>
    <w:p w14:paraId="362A8E7C" w14:textId="4EE9D00B" w:rsidR="00892AC2" w:rsidRDefault="00892AC2" w:rsidP="0096252A">
      <w:pPr>
        <w:pStyle w:val="NoSpacing"/>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A64313">
        <w:rPr>
          <w:rFonts w:ascii="Times New Roman" w:eastAsia="Calibri" w:hAnsi="Times New Roman" w:cs="Times New Roman"/>
          <w:kern w:val="0"/>
          <w:sz w:val="24"/>
          <w:szCs w:val="24"/>
          <w14:ligatures w14:val="none"/>
        </w:rPr>
        <w:t>30</w:t>
      </w:r>
      <w:r>
        <w:rPr>
          <w:rFonts w:ascii="Times New Roman" w:eastAsia="Calibri" w:hAnsi="Times New Roman" w:cs="Times New Roman"/>
          <w:kern w:val="0"/>
          <w:sz w:val="24"/>
          <w:szCs w:val="24"/>
          <w14:ligatures w14:val="none"/>
        </w:rPr>
        <w:t xml:space="preserve">] The second point </w:t>
      </w:r>
      <w:r w:rsidRPr="004266C8">
        <w:rPr>
          <w:rFonts w:ascii="Times New Roman" w:eastAsia="Calibri" w:hAnsi="Times New Roman" w:cs="Times New Roman"/>
          <w:i/>
          <w:iCs/>
          <w:kern w:val="0"/>
          <w:sz w:val="24"/>
          <w:szCs w:val="24"/>
          <w14:ligatures w14:val="none"/>
        </w:rPr>
        <w:t>in limine</w:t>
      </w:r>
      <w:r>
        <w:rPr>
          <w:rFonts w:ascii="Times New Roman" w:eastAsia="Calibri" w:hAnsi="Times New Roman" w:cs="Times New Roman"/>
          <w:kern w:val="0"/>
          <w:sz w:val="24"/>
          <w:szCs w:val="24"/>
          <w14:ligatures w14:val="none"/>
        </w:rPr>
        <w:t xml:space="preserve"> amounted to a fastidious protest over a minor defect that can be easily rectified. </w:t>
      </w:r>
      <w:r w:rsidR="004266C8">
        <w:rPr>
          <w:rFonts w:ascii="Times New Roman" w:eastAsia="Calibri" w:hAnsi="Times New Roman" w:cs="Times New Roman"/>
          <w:kern w:val="0"/>
          <w:sz w:val="24"/>
          <w:szCs w:val="24"/>
          <w14:ligatures w14:val="none"/>
        </w:rPr>
        <w:t xml:space="preserve">That point similarly </w:t>
      </w:r>
      <w:r>
        <w:rPr>
          <w:rFonts w:ascii="Times New Roman" w:eastAsia="Calibri" w:hAnsi="Times New Roman" w:cs="Times New Roman"/>
          <w:kern w:val="0"/>
          <w:sz w:val="24"/>
          <w:szCs w:val="24"/>
          <w14:ligatures w14:val="none"/>
        </w:rPr>
        <w:t xml:space="preserve">cannot </w:t>
      </w:r>
      <w:r w:rsidR="004266C8">
        <w:rPr>
          <w:rFonts w:ascii="Times New Roman" w:eastAsia="Calibri" w:hAnsi="Times New Roman" w:cs="Times New Roman"/>
          <w:kern w:val="0"/>
          <w:sz w:val="24"/>
          <w:szCs w:val="24"/>
          <w14:ligatures w14:val="none"/>
        </w:rPr>
        <w:t xml:space="preserve">succeed. In support of this view, </w:t>
      </w:r>
      <w:r>
        <w:rPr>
          <w:rFonts w:ascii="Times New Roman" w:eastAsia="Calibri" w:hAnsi="Times New Roman" w:cs="Times New Roman"/>
          <w:kern w:val="0"/>
          <w:sz w:val="24"/>
          <w:szCs w:val="24"/>
          <w14:ligatures w14:val="none"/>
        </w:rPr>
        <w:t xml:space="preserve"> I refer to the remarks of MAKARAU JA (as she then was</w:t>
      </w:r>
      <w:r w:rsidR="006C5F67">
        <w:rPr>
          <w:rFonts w:ascii="Times New Roman" w:eastAsia="Calibri" w:hAnsi="Times New Roman" w:cs="Times New Roman"/>
          <w:kern w:val="0"/>
          <w:sz w:val="24"/>
          <w:szCs w:val="24"/>
          <w14:ligatures w14:val="none"/>
        </w:rPr>
        <w:t xml:space="preserve">) in </w:t>
      </w:r>
      <w:r w:rsidR="006C5F67" w:rsidRPr="006C5F67">
        <w:rPr>
          <w:rFonts w:ascii="Times New Roman" w:eastAsia="Calibri" w:hAnsi="Times New Roman" w:cs="Times New Roman"/>
          <w:i/>
          <w:iCs/>
          <w:kern w:val="0"/>
          <w:sz w:val="24"/>
          <w:szCs w:val="24"/>
          <w14:ligatures w14:val="none"/>
        </w:rPr>
        <w:t>Reggie Saruchera &amp; Anor v Silo Foods Industries &amp; 2 Ors</w:t>
      </w:r>
      <w:r w:rsidR="006C5F67">
        <w:rPr>
          <w:rFonts w:ascii="Times New Roman" w:eastAsia="Calibri" w:hAnsi="Times New Roman" w:cs="Times New Roman"/>
          <w:kern w:val="0"/>
          <w:sz w:val="24"/>
          <w:szCs w:val="24"/>
          <w14:ligatures w14:val="none"/>
        </w:rPr>
        <w:t xml:space="preserve"> SC 104-20. The</w:t>
      </w:r>
      <w:r>
        <w:rPr>
          <w:rFonts w:ascii="Times New Roman" w:eastAsia="Calibri" w:hAnsi="Times New Roman" w:cs="Times New Roman"/>
          <w:kern w:val="0"/>
          <w:sz w:val="24"/>
          <w:szCs w:val="24"/>
          <w14:ligatures w14:val="none"/>
        </w:rPr>
        <w:t xml:space="preserve"> Learned Judge of Appeal </w:t>
      </w:r>
      <w:r w:rsidR="006C5F67">
        <w:rPr>
          <w:rFonts w:ascii="Times New Roman" w:eastAsia="Calibri" w:hAnsi="Times New Roman" w:cs="Times New Roman"/>
          <w:kern w:val="0"/>
          <w:sz w:val="24"/>
          <w:szCs w:val="24"/>
          <w14:ligatures w14:val="none"/>
        </w:rPr>
        <w:t xml:space="preserve">discussed </w:t>
      </w:r>
      <w:r>
        <w:rPr>
          <w:rFonts w:ascii="Times New Roman" w:eastAsia="Calibri" w:hAnsi="Times New Roman" w:cs="Times New Roman"/>
          <w:kern w:val="0"/>
          <w:sz w:val="24"/>
          <w:szCs w:val="24"/>
          <w14:ligatures w14:val="none"/>
        </w:rPr>
        <w:t>the authority of a court to remedy errors (and omissions) in draft orders where the cause of action warranted as order</w:t>
      </w:r>
      <w:r w:rsidR="006C5F67">
        <w:rPr>
          <w:rFonts w:ascii="Times New Roman" w:eastAsia="Calibri" w:hAnsi="Times New Roman" w:cs="Times New Roman"/>
          <w:kern w:val="0"/>
          <w:sz w:val="24"/>
          <w:szCs w:val="24"/>
          <w14:ligatures w14:val="none"/>
        </w:rPr>
        <w:t xml:space="preserve"> and opined as follows [ at page 6]</w:t>
      </w:r>
      <w:r>
        <w:rPr>
          <w:rFonts w:ascii="Times New Roman" w:eastAsia="Calibri" w:hAnsi="Times New Roman" w:cs="Times New Roman"/>
          <w:kern w:val="0"/>
          <w:sz w:val="24"/>
          <w:szCs w:val="24"/>
          <w14:ligatures w14:val="none"/>
        </w:rPr>
        <w:t>; -</w:t>
      </w:r>
    </w:p>
    <w:p w14:paraId="04B743EF" w14:textId="77777777" w:rsidR="00892AC2" w:rsidRDefault="00892AC2" w:rsidP="0096252A">
      <w:pPr>
        <w:pStyle w:val="NoSpacing"/>
        <w:spacing w:line="360" w:lineRule="auto"/>
        <w:jc w:val="both"/>
        <w:rPr>
          <w:rFonts w:ascii="Times New Roman" w:eastAsia="Calibri" w:hAnsi="Times New Roman" w:cs="Times New Roman"/>
          <w:kern w:val="0"/>
          <w:sz w:val="24"/>
          <w:szCs w:val="24"/>
          <w14:ligatures w14:val="none"/>
        </w:rPr>
      </w:pPr>
    </w:p>
    <w:p w14:paraId="34C3ED57" w14:textId="5BF74D68" w:rsidR="00892AC2" w:rsidRPr="00892AC2" w:rsidRDefault="00892AC2" w:rsidP="00892AC2">
      <w:pPr>
        <w:spacing w:after="0" w:line="360" w:lineRule="auto"/>
        <w:ind w:left="851"/>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w:t>
      </w:r>
      <w:r w:rsidRPr="00892AC2">
        <w:rPr>
          <w:rFonts w:ascii="Times New Roman" w:eastAsia="Calibri" w:hAnsi="Times New Roman" w:cs="Times New Roman"/>
          <w:kern w:val="0"/>
          <w:sz w:val="24"/>
          <w:szCs w:val="24"/>
          <w:lang w:val="en-US"/>
          <w14:ligatures w14:val="none"/>
        </w:rPr>
        <w:t>Whilst draft orders have to be attached to all applications for completeness of form and to conform to the rules of court, they do not bind the court. The court retains in all instances and in all respects, the power to issue an order that is consistent with the relief sought by the applicant and is in accordance with the law. It also stands to reason that the court, having the final word in the matter, issues an order that is devoid of grammatical and other elementary errors.</w:t>
      </w:r>
    </w:p>
    <w:p w14:paraId="5B74ED9B" w14:textId="0ED06BF9" w:rsidR="00892AC2" w:rsidRPr="00892AC2" w:rsidRDefault="00892AC2" w:rsidP="00892AC2">
      <w:pPr>
        <w:spacing w:after="0" w:line="360" w:lineRule="auto"/>
        <w:ind w:left="851"/>
        <w:jc w:val="both"/>
        <w:rPr>
          <w:rFonts w:ascii="Times New Roman" w:eastAsia="Calibri" w:hAnsi="Times New Roman" w:cs="Times New Roman"/>
          <w:kern w:val="0"/>
          <w:sz w:val="24"/>
          <w:szCs w:val="24"/>
          <w:lang w:val="en-US"/>
          <w14:ligatures w14:val="none"/>
        </w:rPr>
      </w:pPr>
      <w:r w:rsidRPr="00892AC2">
        <w:rPr>
          <w:rFonts w:ascii="Times New Roman" w:eastAsia="Calibri" w:hAnsi="Times New Roman" w:cs="Times New Roman"/>
          <w:kern w:val="0"/>
          <w:sz w:val="24"/>
          <w:szCs w:val="24"/>
          <w:lang w:val="en-US"/>
          <w14:ligatures w14:val="none"/>
        </w:rPr>
        <w:t xml:space="preserve">The conduct of the court </w:t>
      </w:r>
      <w:r w:rsidRPr="00892AC2">
        <w:rPr>
          <w:rFonts w:ascii="Times New Roman" w:eastAsia="Calibri" w:hAnsi="Times New Roman" w:cs="Times New Roman"/>
          <w:i/>
          <w:kern w:val="0"/>
          <w:sz w:val="24"/>
          <w:szCs w:val="24"/>
          <w:lang w:val="en-US"/>
          <w14:ligatures w14:val="none"/>
        </w:rPr>
        <w:t>a quo</w:t>
      </w:r>
      <w:r w:rsidRPr="00892AC2">
        <w:rPr>
          <w:rFonts w:ascii="Times New Roman" w:eastAsia="Calibri" w:hAnsi="Times New Roman" w:cs="Times New Roman"/>
          <w:kern w:val="0"/>
          <w:sz w:val="24"/>
          <w:szCs w:val="24"/>
          <w:lang w:val="en-US"/>
          <w14:ligatures w14:val="none"/>
        </w:rPr>
        <w:t xml:space="preserve"> in amending the draft order as it did must be contrasted with and distinguished from the conduct that was criticized in </w:t>
      </w:r>
      <w:r w:rsidRPr="00892AC2">
        <w:rPr>
          <w:rFonts w:ascii="Times New Roman" w:eastAsia="Calibri" w:hAnsi="Times New Roman" w:cs="Times New Roman"/>
          <w:i/>
          <w:kern w:val="0"/>
          <w:sz w:val="24"/>
          <w:szCs w:val="24"/>
          <w:lang w:val="en-US"/>
          <w14:ligatures w14:val="none"/>
        </w:rPr>
        <w:t xml:space="preserve">Shorai Mavis Nzara </w:t>
      </w:r>
      <w:r w:rsidRPr="00892AC2">
        <w:rPr>
          <w:rFonts w:ascii="Times New Roman" w:eastAsia="Calibri" w:hAnsi="Times New Roman" w:cs="Times New Roman"/>
          <w:i/>
          <w:kern w:val="0"/>
          <w:sz w:val="24"/>
          <w:szCs w:val="24"/>
          <w:lang w:val="en-US"/>
          <w14:ligatures w14:val="none"/>
        </w:rPr>
        <w:lastRenderedPageBreak/>
        <w:t>and Others v Cecilia Kashumba N. O. and Others</w:t>
      </w:r>
      <w:r w:rsidRPr="00892AC2">
        <w:rPr>
          <w:rFonts w:ascii="Times New Roman" w:eastAsia="Calibri" w:hAnsi="Times New Roman" w:cs="Times New Roman"/>
          <w:kern w:val="0"/>
          <w:sz w:val="24"/>
          <w:szCs w:val="24"/>
          <w:lang w:val="en-US"/>
          <w14:ligatures w14:val="none"/>
        </w:rPr>
        <w:t xml:space="preserve"> SC 18/18. In that matter, the lower court was found to have gone on a frolic of its own. It gave an order which it thought was fair and equitable, an order that had not been sought by any of the parties and all this in an effort to find what it considered to be middle ground in the dispute.</w:t>
      </w:r>
      <w:r>
        <w:rPr>
          <w:rFonts w:ascii="Times New Roman" w:eastAsia="Calibri" w:hAnsi="Times New Roman" w:cs="Times New Roman"/>
          <w:kern w:val="0"/>
          <w:sz w:val="24"/>
          <w:szCs w:val="24"/>
          <w:lang w:val="en-US"/>
          <w14:ligatures w14:val="none"/>
        </w:rPr>
        <w:t>”</w:t>
      </w:r>
      <w:r w:rsidRPr="00892AC2">
        <w:rPr>
          <w:rFonts w:ascii="Times New Roman" w:eastAsia="Calibri" w:hAnsi="Times New Roman" w:cs="Times New Roman"/>
          <w:kern w:val="0"/>
          <w:sz w:val="24"/>
          <w:szCs w:val="24"/>
          <w:lang w:val="en-US"/>
          <w14:ligatures w14:val="none"/>
        </w:rPr>
        <w:t xml:space="preserve"> </w:t>
      </w:r>
    </w:p>
    <w:p w14:paraId="716BDAEF" w14:textId="77777777" w:rsidR="00222987" w:rsidRDefault="00222987" w:rsidP="0096252A">
      <w:pPr>
        <w:pStyle w:val="NoSpacing"/>
        <w:spacing w:line="360" w:lineRule="auto"/>
        <w:jc w:val="both"/>
        <w:rPr>
          <w:rFonts w:ascii="Times New Roman" w:hAnsi="Times New Roman" w:cs="Times New Roman"/>
          <w:sz w:val="24"/>
          <w:szCs w:val="24"/>
        </w:rPr>
      </w:pPr>
    </w:p>
    <w:p w14:paraId="7398D6B3" w14:textId="34E5DD69" w:rsidR="002A2AE4" w:rsidRDefault="006C5F67"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OPPOSITION </w:t>
      </w:r>
      <w:r w:rsidR="00222987">
        <w:rPr>
          <w:rFonts w:ascii="Times New Roman" w:hAnsi="Times New Roman" w:cs="Times New Roman"/>
          <w:sz w:val="24"/>
          <w:szCs w:val="24"/>
        </w:rPr>
        <w:t>AND LAW ON CONDONATION</w:t>
      </w:r>
    </w:p>
    <w:p w14:paraId="4D6D7735" w14:textId="77777777" w:rsidR="006C5F67" w:rsidRDefault="006C5F67" w:rsidP="0096252A">
      <w:pPr>
        <w:pStyle w:val="NoSpacing"/>
        <w:spacing w:line="360" w:lineRule="auto"/>
        <w:jc w:val="both"/>
        <w:rPr>
          <w:rFonts w:ascii="Times New Roman" w:hAnsi="Times New Roman" w:cs="Times New Roman"/>
          <w:sz w:val="24"/>
          <w:szCs w:val="24"/>
        </w:rPr>
      </w:pPr>
    </w:p>
    <w:p w14:paraId="784E9D8A" w14:textId="3332DBC7" w:rsidR="00222987" w:rsidRDefault="006C5F67"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4313">
        <w:rPr>
          <w:rFonts w:ascii="Times New Roman" w:hAnsi="Times New Roman" w:cs="Times New Roman"/>
          <w:sz w:val="24"/>
          <w:szCs w:val="24"/>
        </w:rPr>
        <w:t>31</w:t>
      </w:r>
      <w:r>
        <w:rPr>
          <w:rFonts w:ascii="Times New Roman" w:hAnsi="Times New Roman" w:cs="Times New Roman"/>
          <w:sz w:val="24"/>
          <w:szCs w:val="24"/>
        </w:rPr>
        <w:t xml:space="preserve">] </w:t>
      </w:r>
      <w:r w:rsidR="00AE1E2C">
        <w:rPr>
          <w:rFonts w:ascii="Times New Roman" w:hAnsi="Times New Roman" w:cs="Times New Roman"/>
          <w:sz w:val="24"/>
          <w:szCs w:val="24"/>
        </w:rPr>
        <w:t>The respondent disputed that applicant</w:t>
      </w:r>
      <w:r w:rsidR="004221E9">
        <w:rPr>
          <w:rFonts w:ascii="Times New Roman" w:hAnsi="Times New Roman" w:cs="Times New Roman"/>
          <w:sz w:val="24"/>
          <w:szCs w:val="24"/>
        </w:rPr>
        <w:t>s`</w:t>
      </w:r>
      <w:r w:rsidR="00AE1E2C">
        <w:rPr>
          <w:rFonts w:ascii="Times New Roman" w:hAnsi="Times New Roman" w:cs="Times New Roman"/>
          <w:sz w:val="24"/>
          <w:szCs w:val="24"/>
        </w:rPr>
        <w:t xml:space="preserve"> legal practitioner had a plausible cause for failure to attend court on time. </w:t>
      </w:r>
      <w:r w:rsidR="00222987">
        <w:rPr>
          <w:rFonts w:ascii="Times New Roman" w:hAnsi="Times New Roman" w:cs="Times New Roman"/>
          <w:sz w:val="24"/>
          <w:szCs w:val="24"/>
        </w:rPr>
        <w:t xml:space="preserve">Mr </w:t>
      </w:r>
      <w:r w:rsidR="00222987" w:rsidRPr="004266C8">
        <w:rPr>
          <w:rFonts w:ascii="Times New Roman" w:hAnsi="Times New Roman" w:cs="Times New Roman"/>
          <w:i/>
          <w:iCs/>
          <w:sz w:val="24"/>
          <w:szCs w:val="24"/>
        </w:rPr>
        <w:t>Madzvamuse</w:t>
      </w:r>
      <w:r w:rsidR="00222987">
        <w:rPr>
          <w:rFonts w:ascii="Times New Roman" w:hAnsi="Times New Roman" w:cs="Times New Roman"/>
          <w:sz w:val="24"/>
          <w:szCs w:val="24"/>
        </w:rPr>
        <w:t xml:space="preserve"> described Mr. </w:t>
      </w:r>
      <w:r w:rsidR="00222987" w:rsidRPr="004266C8">
        <w:rPr>
          <w:rFonts w:ascii="Times New Roman" w:hAnsi="Times New Roman" w:cs="Times New Roman"/>
          <w:i/>
          <w:iCs/>
          <w:sz w:val="24"/>
          <w:szCs w:val="24"/>
        </w:rPr>
        <w:t>Mhungu</w:t>
      </w:r>
      <w:r w:rsidR="00222987">
        <w:rPr>
          <w:rFonts w:ascii="Times New Roman" w:hAnsi="Times New Roman" w:cs="Times New Roman"/>
          <w:sz w:val="24"/>
          <w:szCs w:val="24"/>
        </w:rPr>
        <w:t xml:space="preserve">` s account as a “skeletal” explanation wholly insufficient for required purpose. </w:t>
      </w:r>
      <w:r w:rsidR="00AE1E2C">
        <w:rPr>
          <w:rFonts w:ascii="Times New Roman" w:hAnsi="Times New Roman" w:cs="Times New Roman"/>
          <w:sz w:val="24"/>
          <w:szCs w:val="24"/>
        </w:rPr>
        <w:t xml:space="preserve">The opposing affidavit </w:t>
      </w:r>
      <w:r w:rsidR="00222987">
        <w:rPr>
          <w:rFonts w:ascii="Times New Roman" w:hAnsi="Times New Roman" w:cs="Times New Roman"/>
          <w:sz w:val="24"/>
          <w:szCs w:val="24"/>
        </w:rPr>
        <w:t xml:space="preserve">detailed what respondent considered </w:t>
      </w:r>
      <w:r w:rsidR="004266C8">
        <w:rPr>
          <w:rFonts w:ascii="Times New Roman" w:hAnsi="Times New Roman" w:cs="Times New Roman"/>
          <w:sz w:val="24"/>
          <w:szCs w:val="24"/>
        </w:rPr>
        <w:t xml:space="preserve">to be a serious </w:t>
      </w:r>
      <w:r w:rsidR="00AE1E2C">
        <w:rPr>
          <w:rFonts w:ascii="Times New Roman" w:hAnsi="Times New Roman" w:cs="Times New Roman"/>
          <w:sz w:val="24"/>
          <w:szCs w:val="24"/>
        </w:rPr>
        <w:t>lack of preparedness on the part of applicant</w:t>
      </w:r>
      <w:r w:rsidR="004221E9">
        <w:rPr>
          <w:rFonts w:ascii="Times New Roman" w:hAnsi="Times New Roman" w:cs="Times New Roman"/>
          <w:sz w:val="24"/>
          <w:szCs w:val="24"/>
        </w:rPr>
        <w:t>s`</w:t>
      </w:r>
      <w:r w:rsidR="00AE1E2C">
        <w:rPr>
          <w:rFonts w:ascii="Times New Roman" w:hAnsi="Times New Roman" w:cs="Times New Roman"/>
          <w:sz w:val="24"/>
          <w:szCs w:val="24"/>
        </w:rPr>
        <w:t xml:space="preserve"> counsel on the day in question.</w:t>
      </w:r>
    </w:p>
    <w:p w14:paraId="16D5268D" w14:textId="77777777" w:rsidR="00222987" w:rsidRDefault="00222987" w:rsidP="0096252A">
      <w:pPr>
        <w:pStyle w:val="NoSpacing"/>
        <w:spacing w:line="360" w:lineRule="auto"/>
        <w:jc w:val="both"/>
        <w:rPr>
          <w:rFonts w:ascii="Times New Roman" w:hAnsi="Times New Roman" w:cs="Times New Roman"/>
          <w:sz w:val="24"/>
          <w:szCs w:val="24"/>
        </w:rPr>
      </w:pPr>
    </w:p>
    <w:p w14:paraId="1FB86315" w14:textId="1BF6D13D" w:rsidR="00032D41" w:rsidRDefault="00222987"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4313">
        <w:rPr>
          <w:rFonts w:ascii="Times New Roman" w:hAnsi="Times New Roman" w:cs="Times New Roman"/>
          <w:sz w:val="24"/>
          <w:szCs w:val="24"/>
        </w:rPr>
        <w:t>32</w:t>
      </w:r>
      <w:r>
        <w:rPr>
          <w:rFonts w:ascii="Times New Roman" w:hAnsi="Times New Roman" w:cs="Times New Roman"/>
          <w:sz w:val="24"/>
          <w:szCs w:val="24"/>
        </w:rPr>
        <w:t>] The</w:t>
      </w:r>
      <w:r w:rsidR="00AE1E2C">
        <w:rPr>
          <w:rFonts w:ascii="Times New Roman" w:hAnsi="Times New Roman" w:cs="Times New Roman"/>
          <w:sz w:val="24"/>
          <w:szCs w:val="24"/>
        </w:rPr>
        <w:t xml:space="preserve"> deponent went further to allege elements of dishonesty and </w:t>
      </w:r>
      <w:r>
        <w:rPr>
          <w:rFonts w:ascii="Times New Roman" w:hAnsi="Times New Roman" w:cs="Times New Roman"/>
          <w:sz w:val="24"/>
          <w:szCs w:val="24"/>
        </w:rPr>
        <w:t>non-disclosure</w:t>
      </w:r>
      <w:r w:rsidR="004266C8">
        <w:rPr>
          <w:rFonts w:ascii="Times New Roman" w:hAnsi="Times New Roman" w:cs="Times New Roman"/>
          <w:sz w:val="24"/>
          <w:szCs w:val="24"/>
        </w:rPr>
        <w:t xml:space="preserve"> on the part of Mr.</w:t>
      </w:r>
      <w:r w:rsidR="004266C8" w:rsidRPr="004266C8">
        <w:rPr>
          <w:rFonts w:ascii="Times New Roman" w:hAnsi="Times New Roman" w:cs="Times New Roman"/>
          <w:i/>
          <w:iCs/>
          <w:sz w:val="24"/>
          <w:szCs w:val="24"/>
        </w:rPr>
        <w:t>Mhungu</w:t>
      </w:r>
      <w:r w:rsidRPr="004266C8">
        <w:rPr>
          <w:rFonts w:ascii="Times New Roman" w:hAnsi="Times New Roman" w:cs="Times New Roman"/>
          <w:i/>
          <w:iCs/>
          <w:sz w:val="24"/>
          <w:szCs w:val="24"/>
        </w:rPr>
        <w:t>.</w:t>
      </w:r>
      <w:r>
        <w:rPr>
          <w:rFonts w:ascii="Times New Roman" w:hAnsi="Times New Roman" w:cs="Times New Roman"/>
          <w:sz w:val="24"/>
          <w:szCs w:val="24"/>
        </w:rPr>
        <w:t xml:space="preserve"> In that regard, the court was urged to treat the disdain of its authority with appropriate severity and deny the reprieve sought. Mr. </w:t>
      </w:r>
      <w:r w:rsidRPr="004266C8">
        <w:rPr>
          <w:rFonts w:ascii="Times New Roman" w:hAnsi="Times New Roman" w:cs="Times New Roman"/>
          <w:i/>
          <w:iCs/>
          <w:sz w:val="24"/>
          <w:szCs w:val="24"/>
        </w:rPr>
        <w:t>Madzvamuse</w:t>
      </w:r>
      <w:r>
        <w:rPr>
          <w:rFonts w:ascii="Times New Roman" w:hAnsi="Times New Roman" w:cs="Times New Roman"/>
          <w:sz w:val="24"/>
          <w:szCs w:val="24"/>
        </w:rPr>
        <w:t xml:space="preserve"> similarly argued that the papers exposed applicant</w:t>
      </w:r>
      <w:r w:rsidR="004221E9">
        <w:rPr>
          <w:rFonts w:ascii="Times New Roman" w:hAnsi="Times New Roman" w:cs="Times New Roman"/>
          <w:sz w:val="24"/>
          <w:szCs w:val="24"/>
        </w:rPr>
        <w:t>s`</w:t>
      </w:r>
      <w:r>
        <w:rPr>
          <w:rFonts w:ascii="Times New Roman" w:hAnsi="Times New Roman" w:cs="Times New Roman"/>
          <w:sz w:val="24"/>
          <w:szCs w:val="24"/>
        </w:rPr>
        <w:t xml:space="preserve"> lack of prospects on the merits. Again the opposing affidavit referred to the transaction insisting that applicant</w:t>
      </w:r>
      <w:r w:rsidR="004221E9">
        <w:rPr>
          <w:rFonts w:ascii="Times New Roman" w:hAnsi="Times New Roman" w:cs="Times New Roman"/>
          <w:sz w:val="24"/>
          <w:szCs w:val="24"/>
        </w:rPr>
        <w:t>s</w:t>
      </w:r>
      <w:r>
        <w:rPr>
          <w:rFonts w:ascii="Times New Roman" w:hAnsi="Times New Roman" w:cs="Times New Roman"/>
          <w:sz w:val="24"/>
          <w:szCs w:val="24"/>
        </w:rPr>
        <w:t xml:space="preserve"> had no basis to claim the status of creditor to respondent.</w:t>
      </w:r>
    </w:p>
    <w:p w14:paraId="31949A15" w14:textId="77777777" w:rsidR="00032D41" w:rsidRDefault="00032D41" w:rsidP="0096252A">
      <w:pPr>
        <w:pStyle w:val="NoSpacing"/>
        <w:spacing w:line="360" w:lineRule="auto"/>
        <w:jc w:val="both"/>
        <w:rPr>
          <w:rFonts w:ascii="Times New Roman" w:hAnsi="Times New Roman" w:cs="Times New Roman"/>
          <w:sz w:val="24"/>
          <w:szCs w:val="24"/>
        </w:rPr>
      </w:pPr>
    </w:p>
    <w:p w14:paraId="4FFDE051" w14:textId="71FD27A1" w:rsidR="00222987" w:rsidRDefault="00032D41"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4313">
        <w:rPr>
          <w:rFonts w:ascii="Times New Roman" w:hAnsi="Times New Roman" w:cs="Times New Roman"/>
          <w:sz w:val="24"/>
          <w:szCs w:val="24"/>
        </w:rPr>
        <w:t>33</w:t>
      </w:r>
      <w:r>
        <w:rPr>
          <w:rFonts w:ascii="Times New Roman" w:hAnsi="Times New Roman" w:cs="Times New Roman"/>
          <w:sz w:val="24"/>
          <w:szCs w:val="24"/>
        </w:rPr>
        <w:t>] In particular, the respondent averred that both parties were borrowers who benefitted from the loan amount. Additionally, respondent alleged that applicant</w:t>
      </w:r>
      <w:r w:rsidR="004221E9">
        <w:rPr>
          <w:rFonts w:ascii="Times New Roman" w:hAnsi="Times New Roman" w:cs="Times New Roman"/>
          <w:sz w:val="24"/>
          <w:szCs w:val="24"/>
        </w:rPr>
        <w:t>s`</w:t>
      </w:r>
      <w:r>
        <w:rPr>
          <w:rFonts w:ascii="Times New Roman" w:hAnsi="Times New Roman" w:cs="Times New Roman"/>
          <w:sz w:val="24"/>
          <w:szCs w:val="24"/>
        </w:rPr>
        <w:t xml:space="preserve"> case was riddled with inconsistencies.</w:t>
      </w:r>
      <w:r w:rsidR="00222987">
        <w:rPr>
          <w:rFonts w:ascii="Times New Roman" w:hAnsi="Times New Roman" w:cs="Times New Roman"/>
          <w:sz w:val="24"/>
          <w:szCs w:val="24"/>
        </w:rPr>
        <w:t xml:space="preserve"> </w:t>
      </w:r>
      <w:r w:rsidR="008C6B10">
        <w:rPr>
          <w:rFonts w:ascii="Times New Roman" w:hAnsi="Times New Roman" w:cs="Times New Roman"/>
          <w:sz w:val="24"/>
          <w:szCs w:val="24"/>
        </w:rPr>
        <w:t>Firstly, in paragraph 22 of the affidavit founding the main application, applicant claimed an amount of US$ 784,391. In the same breath, applicant changed the amount for the same claim to US$778,000.</w:t>
      </w:r>
    </w:p>
    <w:p w14:paraId="2501BA14" w14:textId="77777777" w:rsidR="008C6B10" w:rsidRDefault="008C6B10" w:rsidP="0096252A">
      <w:pPr>
        <w:pStyle w:val="NoSpacing"/>
        <w:spacing w:line="360" w:lineRule="auto"/>
        <w:jc w:val="both"/>
        <w:rPr>
          <w:rFonts w:ascii="Times New Roman" w:hAnsi="Times New Roman" w:cs="Times New Roman"/>
          <w:sz w:val="24"/>
          <w:szCs w:val="24"/>
        </w:rPr>
      </w:pPr>
    </w:p>
    <w:p w14:paraId="63656B9C" w14:textId="39197191" w:rsidR="008C6B10" w:rsidRDefault="008C6B10"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4313">
        <w:rPr>
          <w:rFonts w:ascii="Times New Roman" w:hAnsi="Times New Roman" w:cs="Times New Roman"/>
          <w:sz w:val="24"/>
          <w:szCs w:val="24"/>
        </w:rPr>
        <w:t>34</w:t>
      </w:r>
      <w:r>
        <w:rPr>
          <w:rFonts w:ascii="Times New Roman" w:hAnsi="Times New Roman" w:cs="Times New Roman"/>
          <w:sz w:val="24"/>
          <w:szCs w:val="24"/>
        </w:rPr>
        <w:t>] Secondly, in the same founding affidavit, applicant</w:t>
      </w:r>
      <w:r w:rsidR="00110C94">
        <w:rPr>
          <w:rFonts w:ascii="Times New Roman" w:hAnsi="Times New Roman" w:cs="Times New Roman"/>
          <w:sz w:val="24"/>
          <w:szCs w:val="24"/>
        </w:rPr>
        <w:t>s</w:t>
      </w:r>
      <w:r>
        <w:rPr>
          <w:rFonts w:ascii="Times New Roman" w:hAnsi="Times New Roman" w:cs="Times New Roman"/>
          <w:sz w:val="24"/>
          <w:szCs w:val="24"/>
        </w:rPr>
        <w:t xml:space="preserve"> stipulated its claim for lost income as US$ 111,391.Herein, this amount was altered to US$105,000.Thirdly, respondent accused applicant</w:t>
      </w:r>
      <w:r w:rsidR="004221E9">
        <w:rPr>
          <w:rFonts w:ascii="Times New Roman" w:hAnsi="Times New Roman" w:cs="Times New Roman"/>
          <w:sz w:val="24"/>
          <w:szCs w:val="24"/>
        </w:rPr>
        <w:t>s</w:t>
      </w:r>
      <w:r>
        <w:rPr>
          <w:rFonts w:ascii="Times New Roman" w:hAnsi="Times New Roman" w:cs="Times New Roman"/>
          <w:sz w:val="24"/>
          <w:szCs w:val="24"/>
        </w:rPr>
        <w:t xml:space="preserve"> of inflating the fee for usage of applicant</w:t>
      </w:r>
      <w:r w:rsidR="00110C94">
        <w:rPr>
          <w:rFonts w:ascii="Times New Roman" w:hAnsi="Times New Roman" w:cs="Times New Roman"/>
          <w:sz w:val="24"/>
          <w:szCs w:val="24"/>
        </w:rPr>
        <w:t>s`</w:t>
      </w:r>
      <w:r>
        <w:rPr>
          <w:rFonts w:ascii="Times New Roman" w:hAnsi="Times New Roman" w:cs="Times New Roman"/>
          <w:sz w:val="24"/>
          <w:szCs w:val="24"/>
        </w:rPr>
        <w:t xml:space="preserve"> title deeds as security from the agreed US$30,000 to US$140,000.Finally, respondent averred that the value of the collateral property jumped from US$220,000 to US$550,000.</w:t>
      </w:r>
      <w:r w:rsidR="00557476">
        <w:rPr>
          <w:rFonts w:ascii="Times New Roman" w:hAnsi="Times New Roman" w:cs="Times New Roman"/>
          <w:sz w:val="24"/>
          <w:szCs w:val="24"/>
        </w:rPr>
        <w:t>In the end, respondent reiterated that applicant</w:t>
      </w:r>
      <w:r w:rsidR="004221E9">
        <w:rPr>
          <w:rFonts w:ascii="Times New Roman" w:hAnsi="Times New Roman" w:cs="Times New Roman"/>
          <w:sz w:val="24"/>
          <w:szCs w:val="24"/>
        </w:rPr>
        <w:t>s</w:t>
      </w:r>
      <w:r w:rsidR="00557476">
        <w:rPr>
          <w:rFonts w:ascii="Times New Roman" w:hAnsi="Times New Roman" w:cs="Times New Roman"/>
          <w:sz w:val="24"/>
          <w:szCs w:val="24"/>
        </w:rPr>
        <w:t xml:space="preserve"> had failed to establish its status as creditor, a prerequisite to locus standi under section 124 of the Insolvency Act.</w:t>
      </w:r>
    </w:p>
    <w:p w14:paraId="07AF9162" w14:textId="77777777" w:rsidR="00222987" w:rsidRDefault="00222987" w:rsidP="0096252A">
      <w:pPr>
        <w:pStyle w:val="NoSpacing"/>
        <w:spacing w:line="360" w:lineRule="auto"/>
        <w:jc w:val="both"/>
        <w:rPr>
          <w:rFonts w:ascii="Times New Roman" w:hAnsi="Times New Roman" w:cs="Times New Roman"/>
          <w:sz w:val="24"/>
          <w:szCs w:val="24"/>
        </w:rPr>
      </w:pPr>
    </w:p>
    <w:p w14:paraId="6C5CBA96" w14:textId="56257A34" w:rsidR="006C5F67" w:rsidRDefault="00222987" w:rsidP="00032D41">
      <w:pPr>
        <w:pStyle w:val="FootnoteText"/>
        <w:spacing w:line="360" w:lineRule="auto"/>
        <w:jc w:val="both"/>
        <w:rPr>
          <w:rFonts w:ascii="Times New Roman" w:eastAsia="Calibri" w:hAnsi="Times New Roman" w:cs="Times New Roman"/>
          <w:kern w:val="0"/>
          <w:sz w:val="24"/>
          <w:szCs w:val="24"/>
          <w:lang w:val="en-US"/>
          <w14:ligatures w14:val="none"/>
        </w:rPr>
      </w:pPr>
      <w:r>
        <w:rPr>
          <w:rFonts w:ascii="Times New Roman" w:hAnsi="Times New Roman" w:cs="Times New Roman"/>
          <w:sz w:val="24"/>
          <w:szCs w:val="24"/>
        </w:rPr>
        <w:t>[</w:t>
      </w:r>
      <w:r w:rsidR="00A64313">
        <w:rPr>
          <w:rFonts w:ascii="Times New Roman" w:hAnsi="Times New Roman" w:cs="Times New Roman"/>
          <w:sz w:val="24"/>
          <w:szCs w:val="24"/>
        </w:rPr>
        <w:t>35</w:t>
      </w:r>
      <w:r>
        <w:rPr>
          <w:rFonts w:ascii="Times New Roman" w:hAnsi="Times New Roman" w:cs="Times New Roman"/>
          <w:sz w:val="24"/>
          <w:szCs w:val="24"/>
        </w:rPr>
        <w:t xml:space="preserve">] In dealing with the arguments, I commence by restating the well-established position on </w:t>
      </w:r>
      <w:r w:rsidR="00032D41">
        <w:rPr>
          <w:rFonts w:ascii="Times New Roman" w:hAnsi="Times New Roman" w:cs="Times New Roman"/>
          <w:sz w:val="24"/>
          <w:szCs w:val="24"/>
        </w:rPr>
        <w:t xml:space="preserve">the requirements for </w:t>
      </w:r>
      <w:r>
        <w:rPr>
          <w:rFonts w:ascii="Times New Roman" w:hAnsi="Times New Roman" w:cs="Times New Roman"/>
          <w:sz w:val="24"/>
          <w:szCs w:val="24"/>
        </w:rPr>
        <w:t xml:space="preserve">condonation. The critical considerations in an application of this nature </w:t>
      </w:r>
      <w:r w:rsidR="00556687">
        <w:rPr>
          <w:rFonts w:ascii="Times New Roman" w:hAnsi="Times New Roman" w:cs="Times New Roman"/>
          <w:sz w:val="24"/>
          <w:szCs w:val="24"/>
        </w:rPr>
        <w:t>r</w:t>
      </w:r>
      <w:r>
        <w:rPr>
          <w:rFonts w:ascii="Times New Roman" w:hAnsi="Times New Roman" w:cs="Times New Roman"/>
          <w:sz w:val="24"/>
          <w:szCs w:val="24"/>
        </w:rPr>
        <w:t xml:space="preserve">evolve around </w:t>
      </w:r>
      <w:r w:rsidR="00556687" w:rsidRPr="00556687">
        <w:rPr>
          <w:rFonts w:ascii="Times New Roman" w:eastAsia="Calibri" w:hAnsi="Times New Roman" w:cs="Times New Roman"/>
          <w:kern w:val="0"/>
          <w:sz w:val="24"/>
          <w:szCs w:val="24"/>
          <w:lang w:val="en-US"/>
          <w14:ligatures w14:val="none"/>
        </w:rPr>
        <w:t xml:space="preserve">the </w:t>
      </w:r>
      <w:r w:rsidR="00556687">
        <w:rPr>
          <w:rFonts w:ascii="Times New Roman" w:eastAsia="Calibri" w:hAnsi="Times New Roman" w:cs="Times New Roman"/>
          <w:kern w:val="0"/>
          <w:sz w:val="24"/>
          <w:szCs w:val="24"/>
          <w:lang w:val="en-US"/>
          <w14:ligatures w14:val="none"/>
        </w:rPr>
        <w:t xml:space="preserve">nature and </w:t>
      </w:r>
      <w:r w:rsidR="00556687" w:rsidRPr="00556687">
        <w:rPr>
          <w:rFonts w:ascii="Times New Roman" w:eastAsia="Calibri" w:hAnsi="Times New Roman" w:cs="Times New Roman"/>
          <w:kern w:val="0"/>
          <w:sz w:val="24"/>
          <w:szCs w:val="24"/>
          <w:lang w:val="en-US"/>
          <w14:ligatures w14:val="none"/>
        </w:rPr>
        <w:t xml:space="preserve">extent of </w:t>
      </w:r>
      <w:r w:rsidR="00032D41">
        <w:rPr>
          <w:rFonts w:ascii="Times New Roman" w:eastAsia="Calibri" w:hAnsi="Times New Roman" w:cs="Times New Roman"/>
          <w:kern w:val="0"/>
          <w:sz w:val="24"/>
          <w:szCs w:val="24"/>
          <w:lang w:val="en-US"/>
          <w14:ligatures w14:val="none"/>
        </w:rPr>
        <w:t>breach,</w:t>
      </w:r>
      <w:r w:rsidR="00556687">
        <w:rPr>
          <w:rFonts w:ascii="Times New Roman" w:eastAsia="Calibri" w:hAnsi="Times New Roman" w:cs="Times New Roman"/>
          <w:kern w:val="0"/>
          <w:sz w:val="24"/>
          <w:szCs w:val="24"/>
          <w:lang w:val="en-US"/>
          <w14:ligatures w14:val="none"/>
        </w:rPr>
        <w:t xml:space="preserve"> </w:t>
      </w:r>
      <w:r w:rsidR="00556687" w:rsidRPr="00556687">
        <w:rPr>
          <w:rFonts w:ascii="Times New Roman" w:eastAsia="Calibri" w:hAnsi="Times New Roman" w:cs="Times New Roman"/>
          <w:kern w:val="0"/>
          <w:sz w:val="24"/>
          <w:szCs w:val="24"/>
          <w:lang w:val="en-US"/>
          <w14:ligatures w14:val="none"/>
        </w:rPr>
        <w:t>delay</w:t>
      </w:r>
      <w:r w:rsidR="00032D41">
        <w:rPr>
          <w:rFonts w:ascii="Times New Roman" w:eastAsia="Calibri" w:hAnsi="Times New Roman" w:cs="Times New Roman"/>
          <w:kern w:val="0"/>
          <w:sz w:val="24"/>
          <w:szCs w:val="24"/>
          <w:lang w:val="en-US"/>
          <w14:ligatures w14:val="none"/>
        </w:rPr>
        <w:t xml:space="preserve"> in taking steps to rectify it</w:t>
      </w:r>
      <w:r w:rsidR="00556687" w:rsidRPr="00556687">
        <w:rPr>
          <w:rFonts w:ascii="Times New Roman" w:eastAsia="Calibri" w:hAnsi="Times New Roman" w:cs="Times New Roman"/>
          <w:kern w:val="0"/>
          <w:sz w:val="24"/>
          <w:szCs w:val="24"/>
          <w:lang w:val="en-US"/>
          <w14:ligatures w14:val="none"/>
        </w:rPr>
        <w:t xml:space="preserve">, the </w:t>
      </w:r>
      <w:r w:rsidR="00556687" w:rsidRPr="00032D41">
        <w:rPr>
          <w:rFonts w:ascii="Times New Roman" w:eastAsia="Calibri" w:hAnsi="Times New Roman" w:cs="Times New Roman"/>
          <w:kern w:val="0"/>
          <w:sz w:val="24"/>
          <w:szCs w:val="24"/>
          <w:lang w:val="en-US"/>
          <w14:ligatures w14:val="none"/>
        </w:rPr>
        <w:t>reasonableness of the explanation for such breach as well as the applicant</w:t>
      </w:r>
      <w:r w:rsidR="00110C94">
        <w:rPr>
          <w:rFonts w:ascii="Times New Roman" w:eastAsia="Calibri" w:hAnsi="Times New Roman" w:cs="Times New Roman"/>
          <w:kern w:val="0"/>
          <w:sz w:val="24"/>
          <w:szCs w:val="24"/>
          <w:lang w:val="en-US"/>
          <w14:ligatures w14:val="none"/>
        </w:rPr>
        <w:t>s`</w:t>
      </w:r>
      <w:r w:rsidR="00556687" w:rsidRPr="00032D41">
        <w:rPr>
          <w:rFonts w:ascii="Times New Roman" w:eastAsia="Calibri" w:hAnsi="Times New Roman" w:cs="Times New Roman"/>
          <w:kern w:val="0"/>
          <w:sz w:val="24"/>
          <w:szCs w:val="24"/>
          <w:lang w:val="en-US"/>
          <w14:ligatures w14:val="none"/>
        </w:rPr>
        <w:t xml:space="preserve"> prospects of success.</w:t>
      </w:r>
      <w:r w:rsidR="00556687" w:rsidRPr="00032D41">
        <w:rPr>
          <w:rStyle w:val="FootnoteReference"/>
          <w:rFonts w:ascii="Times New Roman" w:eastAsia="Calibri" w:hAnsi="Times New Roman" w:cs="Times New Roman"/>
          <w:kern w:val="0"/>
          <w:sz w:val="24"/>
          <w:szCs w:val="24"/>
          <w:lang w:val="en-US"/>
          <w14:ligatures w14:val="none"/>
        </w:rPr>
        <w:footnoteReference w:id="6"/>
      </w:r>
      <w:r w:rsidR="00556687" w:rsidRPr="00032D41">
        <w:rPr>
          <w:rFonts w:ascii="Times New Roman" w:eastAsia="Calibri" w:hAnsi="Times New Roman" w:cs="Times New Roman"/>
          <w:kern w:val="0"/>
          <w:sz w:val="24"/>
          <w:szCs w:val="24"/>
          <w:lang w:val="en-US"/>
          <w14:ligatures w14:val="none"/>
        </w:rPr>
        <w:t xml:space="preserve"> In </w:t>
      </w:r>
      <w:r w:rsidR="00F64123" w:rsidRPr="00032D41">
        <w:rPr>
          <w:rFonts w:ascii="Times New Roman" w:hAnsi="Times New Roman" w:cs="Times New Roman"/>
          <w:bCs/>
          <w:i/>
          <w:iCs/>
          <w:kern w:val="0"/>
          <w:sz w:val="24"/>
          <w:szCs w:val="24"/>
          <w14:ligatures w14:val="none"/>
        </w:rPr>
        <w:t xml:space="preserve">Paul     Hoyland     Read versus </w:t>
      </w:r>
      <w:r w:rsidR="00F64123" w:rsidRPr="00032D41">
        <w:rPr>
          <w:rFonts w:ascii="Times New Roman" w:hAnsi="Times New Roman" w:cs="Times New Roman"/>
          <w:bCs/>
          <w:i/>
          <w:iCs/>
          <w:kern w:val="0"/>
          <w:sz w:val="24"/>
          <w:szCs w:val="24"/>
          <w:lang w:val="en-ZA"/>
          <w14:ligatures w14:val="none"/>
        </w:rPr>
        <w:t xml:space="preserve">  John     Stewart     Mathews     Gardiner    and Another, SC  70-19, [ page 5], </w:t>
      </w:r>
      <w:r w:rsidR="00032D41" w:rsidRPr="00032D41">
        <w:rPr>
          <w:rFonts w:ascii="Times New Roman" w:hAnsi="Times New Roman" w:cs="Times New Roman"/>
          <w:bCs/>
          <w:kern w:val="0"/>
          <w:sz w:val="24"/>
          <w:szCs w:val="24"/>
          <w14:ligatures w14:val="none"/>
        </w:rPr>
        <w:t>the court outlined the requirements as follows [ enumerated]</w:t>
      </w:r>
      <w:r w:rsidR="00032D41">
        <w:rPr>
          <w:rFonts w:ascii="Times New Roman" w:hAnsi="Times New Roman" w:cs="Times New Roman"/>
          <w:bCs/>
          <w:kern w:val="0"/>
          <w:sz w:val="24"/>
          <w:szCs w:val="24"/>
          <w14:ligatures w14:val="none"/>
        </w:rPr>
        <w:t>;-</w:t>
      </w:r>
    </w:p>
    <w:p w14:paraId="36362054" w14:textId="77777777" w:rsidR="00F64123" w:rsidRDefault="00F64123" w:rsidP="00032D41">
      <w:pPr>
        <w:pStyle w:val="NoSpacing"/>
        <w:spacing w:line="360" w:lineRule="auto"/>
        <w:jc w:val="both"/>
        <w:rPr>
          <w:rFonts w:ascii="Times New Roman" w:eastAsia="Calibri" w:hAnsi="Times New Roman" w:cs="Times New Roman"/>
          <w:kern w:val="0"/>
          <w:sz w:val="24"/>
          <w:szCs w:val="24"/>
          <w:lang w:val="en-US"/>
          <w14:ligatures w14:val="none"/>
        </w:rPr>
      </w:pPr>
    </w:p>
    <w:p w14:paraId="7F17602F" w14:textId="3731CDE1" w:rsidR="00F64123" w:rsidRPr="00032D41" w:rsidRDefault="00032D41" w:rsidP="00032D41">
      <w:pPr>
        <w:pStyle w:val="ListParagraph"/>
        <w:numPr>
          <w:ilvl w:val="0"/>
          <w:numId w:val="1"/>
        </w:numPr>
        <w:spacing w:after="0" w:line="360" w:lineRule="auto"/>
        <w:ind w:left="1208" w:hanging="357"/>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w:t>
      </w:r>
      <w:r w:rsidR="00F64123" w:rsidRPr="00032D41">
        <w:rPr>
          <w:rFonts w:ascii="Times New Roman" w:hAnsi="Times New Roman" w:cs="Times New Roman"/>
          <w:bCs/>
          <w:kern w:val="0"/>
          <w:sz w:val="24"/>
          <w:szCs w:val="24"/>
          <w14:ligatures w14:val="none"/>
        </w:rPr>
        <w:t>The extent of the delay involved or non-compliance in question.</w:t>
      </w:r>
    </w:p>
    <w:p w14:paraId="3ED1EFD9" w14:textId="11EED808" w:rsidR="00F64123" w:rsidRPr="00032D41" w:rsidRDefault="00F64123" w:rsidP="00032D41">
      <w:pPr>
        <w:pStyle w:val="ListParagraph"/>
        <w:numPr>
          <w:ilvl w:val="0"/>
          <w:numId w:val="1"/>
        </w:numPr>
        <w:spacing w:after="0" w:line="360" w:lineRule="auto"/>
        <w:ind w:left="1208" w:hanging="357"/>
        <w:jc w:val="both"/>
        <w:rPr>
          <w:rFonts w:ascii="Times New Roman" w:hAnsi="Times New Roman" w:cs="Times New Roman"/>
          <w:bCs/>
          <w:kern w:val="0"/>
          <w:sz w:val="24"/>
          <w:szCs w:val="24"/>
          <w14:ligatures w14:val="none"/>
        </w:rPr>
      </w:pPr>
      <w:r w:rsidRPr="00032D41">
        <w:rPr>
          <w:rFonts w:ascii="Times New Roman" w:hAnsi="Times New Roman" w:cs="Times New Roman"/>
          <w:bCs/>
          <w:kern w:val="0"/>
          <w:sz w:val="24"/>
          <w:szCs w:val="24"/>
          <w14:ligatures w14:val="none"/>
        </w:rPr>
        <w:t>The reasonableness of the explanation for the delay or non-compliance.</w:t>
      </w:r>
    </w:p>
    <w:p w14:paraId="16EB2C94" w14:textId="0C246502" w:rsidR="00F64123" w:rsidRPr="00032D41" w:rsidRDefault="00F64123" w:rsidP="00032D41">
      <w:pPr>
        <w:pStyle w:val="ListParagraph"/>
        <w:numPr>
          <w:ilvl w:val="0"/>
          <w:numId w:val="1"/>
        </w:numPr>
        <w:spacing w:after="0" w:line="360" w:lineRule="auto"/>
        <w:ind w:left="1208" w:hanging="357"/>
        <w:jc w:val="both"/>
        <w:rPr>
          <w:rFonts w:ascii="Times New Roman" w:hAnsi="Times New Roman" w:cs="Times New Roman"/>
          <w:bCs/>
          <w:kern w:val="0"/>
          <w:sz w:val="24"/>
          <w:szCs w:val="24"/>
          <w14:ligatures w14:val="none"/>
        </w:rPr>
      </w:pPr>
      <w:r w:rsidRPr="00032D41">
        <w:rPr>
          <w:rFonts w:ascii="Times New Roman" w:hAnsi="Times New Roman" w:cs="Times New Roman"/>
          <w:bCs/>
          <w:kern w:val="0"/>
          <w:sz w:val="24"/>
          <w:szCs w:val="24"/>
          <w14:ligatures w14:val="none"/>
        </w:rPr>
        <w:t>The prospects of success should the application be granted.</w:t>
      </w:r>
    </w:p>
    <w:p w14:paraId="5719EDF3" w14:textId="3996C7EC" w:rsidR="00F64123" w:rsidRPr="00032D41" w:rsidRDefault="00F64123" w:rsidP="00032D41">
      <w:pPr>
        <w:pStyle w:val="ListParagraph"/>
        <w:numPr>
          <w:ilvl w:val="0"/>
          <w:numId w:val="1"/>
        </w:numPr>
        <w:spacing w:after="0" w:line="360" w:lineRule="auto"/>
        <w:ind w:left="1208" w:hanging="357"/>
        <w:jc w:val="both"/>
        <w:rPr>
          <w:rFonts w:ascii="Times New Roman" w:hAnsi="Times New Roman" w:cs="Times New Roman"/>
          <w:bCs/>
          <w:kern w:val="0"/>
          <w:sz w:val="24"/>
          <w:szCs w:val="24"/>
          <w14:ligatures w14:val="none"/>
        </w:rPr>
      </w:pPr>
      <w:r w:rsidRPr="00032D41">
        <w:rPr>
          <w:rFonts w:ascii="Times New Roman" w:hAnsi="Times New Roman" w:cs="Times New Roman"/>
          <w:bCs/>
          <w:kern w:val="0"/>
          <w:sz w:val="24"/>
          <w:szCs w:val="24"/>
          <w14:ligatures w14:val="none"/>
        </w:rPr>
        <w:t>The possible prejudice to the other party.</w:t>
      </w:r>
    </w:p>
    <w:p w14:paraId="18CA685C" w14:textId="08582751" w:rsidR="00F64123" w:rsidRPr="00032D41" w:rsidRDefault="00F64123" w:rsidP="00032D41">
      <w:pPr>
        <w:pStyle w:val="ListParagraph"/>
        <w:numPr>
          <w:ilvl w:val="0"/>
          <w:numId w:val="1"/>
        </w:numPr>
        <w:spacing w:after="0" w:line="360" w:lineRule="auto"/>
        <w:ind w:left="1208" w:hanging="357"/>
        <w:jc w:val="both"/>
        <w:rPr>
          <w:rFonts w:ascii="Times New Roman" w:hAnsi="Times New Roman" w:cs="Times New Roman"/>
          <w:bCs/>
          <w:kern w:val="0"/>
          <w:sz w:val="24"/>
          <w:szCs w:val="24"/>
          <w14:ligatures w14:val="none"/>
        </w:rPr>
      </w:pPr>
      <w:r w:rsidRPr="00032D41">
        <w:rPr>
          <w:rFonts w:ascii="Times New Roman" w:hAnsi="Times New Roman" w:cs="Times New Roman"/>
          <w:bCs/>
          <w:kern w:val="0"/>
          <w:sz w:val="24"/>
          <w:szCs w:val="24"/>
          <w14:ligatures w14:val="none"/>
        </w:rPr>
        <w:t>The need for finality in litigation.</w:t>
      </w:r>
    </w:p>
    <w:p w14:paraId="2812462C" w14:textId="578B93D7" w:rsidR="00F64123" w:rsidRPr="00032D41" w:rsidRDefault="00F64123" w:rsidP="00032D41">
      <w:pPr>
        <w:pStyle w:val="ListParagraph"/>
        <w:numPr>
          <w:ilvl w:val="0"/>
          <w:numId w:val="1"/>
        </w:numPr>
        <w:spacing w:after="0" w:line="360" w:lineRule="auto"/>
        <w:ind w:left="1208" w:hanging="357"/>
        <w:jc w:val="both"/>
        <w:rPr>
          <w:rFonts w:ascii="Times New Roman" w:hAnsi="Times New Roman" w:cs="Times New Roman"/>
          <w:bCs/>
          <w:kern w:val="0"/>
          <w:sz w:val="24"/>
          <w:szCs w:val="24"/>
          <w14:ligatures w14:val="none"/>
        </w:rPr>
      </w:pPr>
      <w:r w:rsidRPr="00032D41">
        <w:rPr>
          <w:rFonts w:ascii="Times New Roman" w:hAnsi="Times New Roman" w:cs="Times New Roman"/>
          <w:bCs/>
          <w:kern w:val="0"/>
          <w:sz w:val="24"/>
          <w:szCs w:val="24"/>
          <w14:ligatures w14:val="none"/>
        </w:rPr>
        <w:t>The importance of the case.</w:t>
      </w:r>
    </w:p>
    <w:p w14:paraId="601ADB07" w14:textId="5FD5A2AB" w:rsidR="00F64123" w:rsidRPr="00032D41" w:rsidRDefault="00F64123" w:rsidP="00032D41">
      <w:pPr>
        <w:pStyle w:val="ListParagraph"/>
        <w:numPr>
          <w:ilvl w:val="0"/>
          <w:numId w:val="1"/>
        </w:numPr>
        <w:spacing w:after="0" w:line="360" w:lineRule="auto"/>
        <w:ind w:left="1208" w:hanging="357"/>
        <w:jc w:val="both"/>
        <w:rPr>
          <w:rFonts w:ascii="Times New Roman" w:hAnsi="Times New Roman" w:cs="Times New Roman"/>
          <w:bCs/>
          <w:kern w:val="0"/>
          <w:sz w:val="24"/>
          <w:szCs w:val="24"/>
          <w14:ligatures w14:val="none"/>
        </w:rPr>
      </w:pPr>
      <w:r w:rsidRPr="00032D41">
        <w:rPr>
          <w:rFonts w:ascii="Times New Roman" w:hAnsi="Times New Roman" w:cs="Times New Roman"/>
          <w:bCs/>
          <w:kern w:val="0"/>
          <w:sz w:val="24"/>
          <w:szCs w:val="24"/>
          <w14:ligatures w14:val="none"/>
        </w:rPr>
        <w:t>The convenience of the court.”</w:t>
      </w:r>
    </w:p>
    <w:p w14:paraId="1D2066E0" w14:textId="77777777" w:rsidR="00F64123" w:rsidRDefault="00F64123" w:rsidP="0096252A">
      <w:pPr>
        <w:pStyle w:val="NoSpacing"/>
        <w:spacing w:line="360" w:lineRule="auto"/>
        <w:jc w:val="both"/>
        <w:rPr>
          <w:rFonts w:ascii="Times New Roman" w:eastAsia="Calibri" w:hAnsi="Times New Roman" w:cs="Times New Roman"/>
          <w:kern w:val="0"/>
          <w:sz w:val="24"/>
          <w:szCs w:val="24"/>
          <w:lang w:val="en-US"/>
          <w14:ligatures w14:val="none"/>
        </w:rPr>
      </w:pPr>
    </w:p>
    <w:p w14:paraId="2B26F14D" w14:textId="56A773CB" w:rsidR="00C179D4" w:rsidRDefault="00032D41" w:rsidP="00032D41">
      <w:pPr>
        <w:pStyle w:val="NoSpacing"/>
        <w:spacing w:line="360" w:lineRule="auto"/>
        <w:jc w:val="both"/>
        <w:rPr>
          <w:rFonts w:ascii="Times New Roman" w:hAnsi="Times New Roman" w:cs="Times New Roman"/>
          <w:kern w:val="0"/>
          <w:sz w:val="24"/>
          <w:szCs w:val="24"/>
          <w14:ligatures w14:val="none"/>
        </w:rPr>
      </w:pPr>
      <w:r>
        <w:rPr>
          <w:rFonts w:ascii="Times New Roman" w:eastAsia="Calibri" w:hAnsi="Times New Roman" w:cs="Times New Roman"/>
          <w:kern w:val="0"/>
          <w:sz w:val="24"/>
          <w:szCs w:val="24"/>
          <w:lang w:val="en-US"/>
          <w14:ligatures w14:val="none"/>
        </w:rPr>
        <w:t>[</w:t>
      </w:r>
      <w:r w:rsidR="000D7EC3">
        <w:rPr>
          <w:rFonts w:ascii="Times New Roman" w:eastAsia="Calibri" w:hAnsi="Times New Roman" w:cs="Times New Roman"/>
          <w:kern w:val="0"/>
          <w:sz w:val="24"/>
          <w:szCs w:val="24"/>
          <w:lang w:val="en-US"/>
          <w14:ligatures w14:val="none"/>
        </w:rPr>
        <w:t>3</w:t>
      </w:r>
      <w:r w:rsidR="00A64313">
        <w:rPr>
          <w:rFonts w:ascii="Times New Roman" w:eastAsia="Calibri" w:hAnsi="Times New Roman" w:cs="Times New Roman"/>
          <w:kern w:val="0"/>
          <w:sz w:val="24"/>
          <w:szCs w:val="24"/>
          <w:lang w:val="en-US"/>
          <w14:ligatures w14:val="none"/>
        </w:rPr>
        <w:t>6</w:t>
      </w:r>
      <w:r>
        <w:rPr>
          <w:rFonts w:ascii="Times New Roman" w:eastAsia="Calibri" w:hAnsi="Times New Roman" w:cs="Times New Roman"/>
          <w:kern w:val="0"/>
          <w:sz w:val="24"/>
          <w:szCs w:val="24"/>
          <w:lang w:val="en-US"/>
          <w14:ligatures w14:val="none"/>
        </w:rPr>
        <w:t xml:space="preserve">] These </w:t>
      </w:r>
      <w:r w:rsidRPr="00032D41">
        <w:rPr>
          <w:rFonts w:ascii="Times New Roman" w:eastAsia="Calibri" w:hAnsi="Times New Roman" w:cs="Times New Roman"/>
          <w:kern w:val="0"/>
          <w:sz w:val="24"/>
          <w:szCs w:val="24"/>
          <w:lang w:val="en-US"/>
          <w14:ligatures w14:val="none"/>
        </w:rPr>
        <w:t xml:space="preserve">considerations must be taken cumulatively. In </w:t>
      </w:r>
      <w:r w:rsidR="00C179D4" w:rsidRPr="00C179D4">
        <w:rPr>
          <w:rFonts w:ascii="Times New Roman" w:hAnsi="Times New Roman" w:cs="Times New Roman"/>
          <w:i/>
          <w:iCs/>
          <w:kern w:val="0"/>
          <w:sz w:val="24"/>
          <w:szCs w:val="24"/>
          <w:lang w:val="en-US"/>
          <w14:ligatures w14:val="none"/>
        </w:rPr>
        <w:t>David Chiweza &amp; Anor v Munyaradzi Paul Mangwana &amp; 4 Ors HH 186-</w:t>
      </w:r>
      <w:r w:rsidRPr="00C179D4">
        <w:rPr>
          <w:rFonts w:ascii="Times New Roman" w:hAnsi="Times New Roman" w:cs="Times New Roman"/>
          <w:i/>
          <w:iCs/>
          <w:kern w:val="0"/>
          <w:sz w:val="24"/>
          <w:szCs w:val="24"/>
          <w:lang w:val="en-US"/>
          <w14:ligatures w14:val="none"/>
        </w:rPr>
        <w:t>17</w:t>
      </w:r>
      <w:r w:rsidRPr="00032D41">
        <w:rPr>
          <w:rFonts w:ascii="Times New Roman" w:hAnsi="Times New Roman" w:cs="Times New Roman"/>
          <w:i/>
          <w:iCs/>
          <w:kern w:val="0"/>
          <w:sz w:val="24"/>
          <w:szCs w:val="24"/>
          <w:lang w:val="en-US"/>
          <w14:ligatures w14:val="none"/>
        </w:rPr>
        <w:t xml:space="preserve"> </w:t>
      </w:r>
      <w:r w:rsidRPr="00C179D4">
        <w:rPr>
          <w:rFonts w:ascii="Times New Roman" w:hAnsi="Times New Roman" w:cs="Times New Roman"/>
          <w:kern w:val="0"/>
          <w:sz w:val="24"/>
          <w:szCs w:val="24"/>
          <w14:ligatures w14:val="none"/>
        </w:rPr>
        <w:t>DUBE</w:t>
      </w:r>
      <w:r w:rsidR="00C179D4" w:rsidRPr="00C179D4">
        <w:rPr>
          <w:rFonts w:ascii="Times New Roman" w:hAnsi="Times New Roman" w:cs="Times New Roman"/>
          <w:kern w:val="0"/>
          <w:sz w:val="24"/>
          <w:szCs w:val="24"/>
          <w14:ligatures w14:val="none"/>
        </w:rPr>
        <w:t xml:space="preserve"> J </w:t>
      </w:r>
      <w:r w:rsidRPr="00032D41">
        <w:rPr>
          <w:rFonts w:ascii="Times New Roman" w:hAnsi="Times New Roman" w:cs="Times New Roman"/>
          <w:kern w:val="0"/>
          <w:sz w:val="24"/>
          <w:szCs w:val="24"/>
          <w14:ligatures w14:val="none"/>
        </w:rPr>
        <w:t>(as she then was)</w:t>
      </w:r>
      <w:r>
        <w:rPr>
          <w:rFonts w:ascii="Times New Roman" w:hAnsi="Times New Roman" w:cs="Times New Roman"/>
          <w:kern w:val="0"/>
          <w:sz w:val="24"/>
          <w:szCs w:val="24"/>
          <w14:ligatures w14:val="none"/>
        </w:rPr>
        <w:t>,</w:t>
      </w:r>
      <w:r w:rsidRPr="00032D41">
        <w:rPr>
          <w:rFonts w:ascii="Times New Roman" w:hAnsi="Times New Roman" w:cs="Times New Roman"/>
          <w:kern w:val="0"/>
          <w:sz w:val="24"/>
          <w:szCs w:val="24"/>
          <w14:ligatures w14:val="none"/>
        </w:rPr>
        <w:t xml:space="preserve"> sounded the </w:t>
      </w:r>
      <w:r w:rsidR="00C179D4" w:rsidRPr="00C179D4">
        <w:rPr>
          <w:rFonts w:ascii="Times New Roman" w:hAnsi="Times New Roman" w:cs="Times New Roman"/>
          <w:kern w:val="0"/>
          <w:sz w:val="24"/>
          <w:szCs w:val="24"/>
          <w14:ligatures w14:val="none"/>
        </w:rPr>
        <w:t xml:space="preserve">following </w:t>
      </w:r>
      <w:r w:rsidRPr="00C179D4">
        <w:rPr>
          <w:rFonts w:ascii="Times New Roman" w:hAnsi="Times New Roman" w:cs="Times New Roman"/>
          <w:kern w:val="0"/>
          <w:sz w:val="24"/>
          <w:szCs w:val="24"/>
          <w14:ligatures w14:val="none"/>
        </w:rPr>
        <w:t>reminder [</w:t>
      </w:r>
      <w:r w:rsidR="00C179D4" w:rsidRPr="00C179D4">
        <w:rPr>
          <w:rFonts w:ascii="Times New Roman" w:hAnsi="Times New Roman" w:cs="Times New Roman"/>
          <w:kern w:val="0"/>
          <w:sz w:val="24"/>
          <w:szCs w:val="24"/>
          <w14:ligatures w14:val="none"/>
        </w:rPr>
        <w:t xml:space="preserve"> see page 4]; -</w:t>
      </w:r>
    </w:p>
    <w:p w14:paraId="7CC6CA4A" w14:textId="77777777" w:rsidR="00C6616E" w:rsidRPr="00C179D4" w:rsidRDefault="00C6616E" w:rsidP="00032D41">
      <w:pPr>
        <w:pStyle w:val="NoSpacing"/>
        <w:spacing w:line="360" w:lineRule="auto"/>
        <w:jc w:val="both"/>
        <w:rPr>
          <w:rFonts w:ascii="Times New Roman" w:hAnsi="Times New Roman" w:cs="Times New Roman"/>
          <w:kern w:val="0"/>
          <w:lang w:val="en-US"/>
          <w14:ligatures w14:val="none"/>
        </w:rPr>
      </w:pPr>
    </w:p>
    <w:p w14:paraId="1003E31A" w14:textId="77777777" w:rsidR="00C179D4" w:rsidRPr="00C179D4" w:rsidRDefault="00C179D4" w:rsidP="00C179D4">
      <w:pPr>
        <w:spacing w:after="0" w:line="360" w:lineRule="auto"/>
        <w:ind w:left="1134"/>
        <w:jc w:val="both"/>
        <w:rPr>
          <w:rFonts w:ascii="Times New Roman" w:hAnsi="Times New Roman" w:cs="Times New Roman"/>
          <w:kern w:val="0"/>
          <w:sz w:val="24"/>
          <w:szCs w:val="24"/>
          <w14:ligatures w14:val="none"/>
        </w:rPr>
      </w:pPr>
      <w:r w:rsidRPr="00C179D4">
        <w:rPr>
          <w:rFonts w:ascii="Times New Roman" w:hAnsi="Times New Roman" w:cs="Times New Roman"/>
          <w:kern w:val="0"/>
          <w:sz w:val="24"/>
          <w:szCs w:val="24"/>
          <w:lang w:val="en-US"/>
          <w14:ligatures w14:val="none"/>
        </w:rPr>
        <w:t>“The court is required to consider the requirements for an application for condonation cumulatively and weigh them against each other. The application for condonation is not decided on one exclusive factor.”</w:t>
      </w:r>
    </w:p>
    <w:p w14:paraId="2D5F9D50" w14:textId="5F428817" w:rsidR="004266C8" w:rsidRDefault="00557476"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D7EC3">
        <w:rPr>
          <w:rFonts w:ascii="Times New Roman" w:hAnsi="Times New Roman" w:cs="Times New Roman"/>
          <w:sz w:val="24"/>
          <w:szCs w:val="24"/>
        </w:rPr>
        <w:t>3</w:t>
      </w:r>
      <w:r w:rsidR="00A64313">
        <w:rPr>
          <w:rFonts w:ascii="Times New Roman" w:hAnsi="Times New Roman" w:cs="Times New Roman"/>
          <w:sz w:val="24"/>
          <w:szCs w:val="24"/>
        </w:rPr>
        <w:t>7</w:t>
      </w:r>
      <w:r>
        <w:rPr>
          <w:rFonts w:ascii="Times New Roman" w:hAnsi="Times New Roman" w:cs="Times New Roman"/>
          <w:sz w:val="24"/>
          <w:szCs w:val="24"/>
        </w:rPr>
        <w:t xml:space="preserve">] Based on the </w:t>
      </w:r>
      <w:r w:rsidR="004266C8">
        <w:rPr>
          <w:rFonts w:ascii="Times New Roman" w:hAnsi="Times New Roman" w:cs="Times New Roman"/>
          <w:sz w:val="24"/>
          <w:szCs w:val="24"/>
        </w:rPr>
        <w:t>cumulative or global approach recommended i</w:t>
      </w:r>
      <w:r>
        <w:rPr>
          <w:rFonts w:ascii="Times New Roman" w:hAnsi="Times New Roman" w:cs="Times New Roman"/>
          <w:sz w:val="24"/>
          <w:szCs w:val="24"/>
        </w:rPr>
        <w:t xml:space="preserve">n </w:t>
      </w:r>
      <w:r w:rsidRPr="00C6616E">
        <w:rPr>
          <w:rFonts w:ascii="Times New Roman" w:hAnsi="Times New Roman" w:cs="Times New Roman"/>
          <w:i/>
          <w:iCs/>
          <w:sz w:val="24"/>
          <w:szCs w:val="24"/>
        </w:rPr>
        <w:t>Chiweza v Mangwana</w:t>
      </w:r>
      <w:r>
        <w:rPr>
          <w:rFonts w:ascii="Times New Roman" w:hAnsi="Times New Roman" w:cs="Times New Roman"/>
          <w:sz w:val="24"/>
          <w:szCs w:val="24"/>
        </w:rPr>
        <w:t xml:space="preserve"> (supra) I will proceed to make the following observations. The court is faced with the instance of a legal practitioner whose main failing is making proper arrangements to have a matter stood down or postponed. </w:t>
      </w:r>
      <w:r w:rsidR="004266C8">
        <w:rPr>
          <w:rFonts w:ascii="Times New Roman" w:hAnsi="Times New Roman" w:cs="Times New Roman"/>
          <w:sz w:val="24"/>
          <w:szCs w:val="24"/>
        </w:rPr>
        <w:t xml:space="preserve">The legal practitioner in question was late for court by twenty-two minutes to be precise. Despite the rough patches observed in his explanation, it is not in dispute that </w:t>
      </w:r>
      <w:r w:rsidR="00CC1CAE">
        <w:rPr>
          <w:rFonts w:ascii="Times New Roman" w:hAnsi="Times New Roman" w:cs="Times New Roman"/>
          <w:sz w:val="24"/>
          <w:szCs w:val="24"/>
        </w:rPr>
        <w:t>counsel w</w:t>
      </w:r>
      <w:r w:rsidR="004266C8">
        <w:rPr>
          <w:rFonts w:ascii="Times New Roman" w:hAnsi="Times New Roman" w:cs="Times New Roman"/>
          <w:sz w:val="24"/>
          <w:szCs w:val="24"/>
        </w:rPr>
        <w:t>as engaged in another court in a different Division of the High Court.</w:t>
      </w:r>
    </w:p>
    <w:p w14:paraId="7CE8F31B" w14:textId="77777777" w:rsidR="004266C8" w:rsidRDefault="004266C8" w:rsidP="0096252A">
      <w:pPr>
        <w:pStyle w:val="NoSpacing"/>
        <w:spacing w:line="360" w:lineRule="auto"/>
        <w:jc w:val="both"/>
        <w:rPr>
          <w:rFonts w:ascii="Times New Roman" w:hAnsi="Times New Roman" w:cs="Times New Roman"/>
          <w:sz w:val="24"/>
          <w:szCs w:val="24"/>
        </w:rPr>
      </w:pPr>
    </w:p>
    <w:p w14:paraId="37CC2BA3" w14:textId="3EF21C8F" w:rsidR="003C7DDC" w:rsidRDefault="004266C8"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A64313">
        <w:rPr>
          <w:rFonts w:ascii="Times New Roman" w:hAnsi="Times New Roman" w:cs="Times New Roman"/>
          <w:sz w:val="24"/>
          <w:szCs w:val="24"/>
        </w:rPr>
        <w:t>8</w:t>
      </w:r>
      <w:r>
        <w:rPr>
          <w:rFonts w:ascii="Times New Roman" w:hAnsi="Times New Roman" w:cs="Times New Roman"/>
          <w:sz w:val="24"/>
          <w:szCs w:val="24"/>
        </w:rPr>
        <w:t xml:space="preserve">] </w:t>
      </w:r>
      <w:r w:rsidR="00557476">
        <w:rPr>
          <w:rFonts w:ascii="Times New Roman" w:hAnsi="Times New Roman" w:cs="Times New Roman"/>
          <w:sz w:val="24"/>
          <w:szCs w:val="24"/>
        </w:rPr>
        <w:t xml:space="preserve">The facts of this matter point to no suggestion that such application, made timeously, would have been refused. The infraction in my view, amounts more to discourtesy rather than </w:t>
      </w:r>
      <w:r w:rsidR="005432FF">
        <w:rPr>
          <w:rFonts w:ascii="Times New Roman" w:hAnsi="Times New Roman" w:cs="Times New Roman"/>
          <w:sz w:val="24"/>
          <w:szCs w:val="24"/>
        </w:rPr>
        <w:t>gross dereliction</w:t>
      </w:r>
      <w:r w:rsidR="00557476">
        <w:rPr>
          <w:rFonts w:ascii="Times New Roman" w:hAnsi="Times New Roman" w:cs="Times New Roman"/>
          <w:sz w:val="24"/>
          <w:szCs w:val="24"/>
        </w:rPr>
        <w:t xml:space="preserve">. Clearly, counsel for </w:t>
      </w:r>
      <w:r w:rsidR="005432FF">
        <w:rPr>
          <w:rFonts w:ascii="Times New Roman" w:hAnsi="Times New Roman" w:cs="Times New Roman"/>
          <w:sz w:val="24"/>
          <w:szCs w:val="24"/>
        </w:rPr>
        <w:t>applicants</w:t>
      </w:r>
      <w:r w:rsidR="00557476">
        <w:rPr>
          <w:rFonts w:ascii="Times New Roman" w:hAnsi="Times New Roman" w:cs="Times New Roman"/>
          <w:sz w:val="24"/>
          <w:szCs w:val="24"/>
        </w:rPr>
        <w:t xml:space="preserve"> could have organised his diary more efficiently. I have already expressed the court`s displeasure o</w:t>
      </w:r>
      <w:r w:rsidR="005432FF">
        <w:rPr>
          <w:rFonts w:ascii="Times New Roman" w:hAnsi="Times New Roman" w:cs="Times New Roman"/>
          <w:sz w:val="24"/>
          <w:szCs w:val="24"/>
        </w:rPr>
        <w:t>ver that</w:t>
      </w:r>
      <w:r w:rsidR="00557476">
        <w:rPr>
          <w:rFonts w:ascii="Times New Roman" w:hAnsi="Times New Roman" w:cs="Times New Roman"/>
          <w:sz w:val="24"/>
          <w:szCs w:val="24"/>
        </w:rPr>
        <w:t xml:space="preserve"> conduct. Such chastisement must </w:t>
      </w:r>
      <w:r w:rsidR="007A0099">
        <w:rPr>
          <w:rFonts w:ascii="Times New Roman" w:hAnsi="Times New Roman" w:cs="Times New Roman"/>
          <w:sz w:val="24"/>
          <w:szCs w:val="24"/>
        </w:rPr>
        <w:t xml:space="preserve">trigger chagrin within counsel and that in my view should suffice as punishment for his </w:t>
      </w:r>
      <w:r w:rsidR="000E077C">
        <w:rPr>
          <w:rFonts w:ascii="Times New Roman" w:hAnsi="Times New Roman" w:cs="Times New Roman"/>
          <w:sz w:val="24"/>
          <w:szCs w:val="24"/>
        </w:rPr>
        <w:t>error. I</w:t>
      </w:r>
      <w:r w:rsidR="007A0099">
        <w:rPr>
          <w:rFonts w:ascii="Times New Roman" w:hAnsi="Times New Roman" w:cs="Times New Roman"/>
          <w:sz w:val="24"/>
          <w:szCs w:val="24"/>
        </w:rPr>
        <w:t xml:space="preserve"> find nothing else before me to warrant disentitling applicant</w:t>
      </w:r>
      <w:r w:rsidR="005432FF">
        <w:rPr>
          <w:rFonts w:ascii="Times New Roman" w:hAnsi="Times New Roman" w:cs="Times New Roman"/>
          <w:sz w:val="24"/>
          <w:szCs w:val="24"/>
        </w:rPr>
        <w:t>s</w:t>
      </w:r>
      <w:r w:rsidR="007A0099">
        <w:rPr>
          <w:rFonts w:ascii="Times New Roman" w:hAnsi="Times New Roman" w:cs="Times New Roman"/>
          <w:sz w:val="24"/>
          <w:szCs w:val="24"/>
        </w:rPr>
        <w:t xml:space="preserve"> from pursuing </w:t>
      </w:r>
      <w:r w:rsidR="005432FF">
        <w:rPr>
          <w:rFonts w:ascii="Times New Roman" w:hAnsi="Times New Roman" w:cs="Times New Roman"/>
          <w:sz w:val="24"/>
          <w:szCs w:val="24"/>
        </w:rPr>
        <w:t xml:space="preserve">their </w:t>
      </w:r>
      <w:r w:rsidR="007A0099">
        <w:rPr>
          <w:rFonts w:ascii="Times New Roman" w:hAnsi="Times New Roman" w:cs="Times New Roman"/>
          <w:sz w:val="24"/>
          <w:szCs w:val="24"/>
        </w:rPr>
        <w:t xml:space="preserve">matter on the merits to settle the controversy to </w:t>
      </w:r>
      <w:r w:rsidR="003C7DDC">
        <w:rPr>
          <w:rFonts w:ascii="Times New Roman" w:hAnsi="Times New Roman" w:cs="Times New Roman"/>
          <w:sz w:val="24"/>
          <w:szCs w:val="24"/>
        </w:rPr>
        <w:t>finality.</w:t>
      </w:r>
    </w:p>
    <w:p w14:paraId="1F3F03A0" w14:textId="77777777" w:rsidR="003C7DDC" w:rsidRDefault="003C7DDC" w:rsidP="0096252A">
      <w:pPr>
        <w:pStyle w:val="NoSpacing"/>
        <w:spacing w:line="360" w:lineRule="auto"/>
        <w:jc w:val="both"/>
        <w:rPr>
          <w:rFonts w:ascii="Times New Roman" w:hAnsi="Times New Roman" w:cs="Times New Roman"/>
          <w:sz w:val="24"/>
          <w:szCs w:val="24"/>
        </w:rPr>
      </w:pPr>
    </w:p>
    <w:p w14:paraId="5F5FBB0A" w14:textId="19ED3514" w:rsidR="007A0099" w:rsidRDefault="003C7DDC" w:rsidP="009625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A64313">
        <w:rPr>
          <w:rFonts w:ascii="Times New Roman" w:hAnsi="Times New Roman" w:cs="Times New Roman"/>
          <w:sz w:val="24"/>
          <w:szCs w:val="24"/>
        </w:rPr>
        <w:t>9</w:t>
      </w:r>
      <w:r>
        <w:rPr>
          <w:rFonts w:ascii="Times New Roman" w:hAnsi="Times New Roman" w:cs="Times New Roman"/>
          <w:sz w:val="24"/>
          <w:szCs w:val="24"/>
        </w:rPr>
        <w:t>] Such would be consistent with the need for finality to litigation and addressing a matter on the merits.</w:t>
      </w:r>
      <w:r w:rsidR="007A0099">
        <w:rPr>
          <w:rFonts w:ascii="Times New Roman" w:hAnsi="Times New Roman" w:cs="Times New Roman"/>
          <w:sz w:val="24"/>
          <w:szCs w:val="24"/>
        </w:rPr>
        <w:t xml:space="preserve"> </w:t>
      </w:r>
      <w:r>
        <w:rPr>
          <w:rFonts w:ascii="Times New Roman" w:hAnsi="Times New Roman" w:cs="Times New Roman"/>
          <w:sz w:val="24"/>
          <w:szCs w:val="24"/>
        </w:rPr>
        <w:t>Especially given the fact that the matter is quite important to both parties. Applicant</w:t>
      </w:r>
      <w:r w:rsidR="005432FF">
        <w:rPr>
          <w:rFonts w:ascii="Times New Roman" w:hAnsi="Times New Roman" w:cs="Times New Roman"/>
          <w:sz w:val="24"/>
          <w:szCs w:val="24"/>
        </w:rPr>
        <w:t>s</w:t>
      </w:r>
      <w:r>
        <w:rPr>
          <w:rFonts w:ascii="Times New Roman" w:hAnsi="Times New Roman" w:cs="Times New Roman"/>
          <w:sz w:val="24"/>
          <w:szCs w:val="24"/>
        </w:rPr>
        <w:t xml:space="preserve"> pursue what appears to be significant financial recompense</w:t>
      </w:r>
      <w:r w:rsidR="005432FF">
        <w:rPr>
          <w:rFonts w:ascii="Times New Roman" w:hAnsi="Times New Roman" w:cs="Times New Roman"/>
          <w:sz w:val="24"/>
          <w:szCs w:val="24"/>
        </w:rPr>
        <w:t>,</w:t>
      </w:r>
      <w:r>
        <w:rPr>
          <w:rFonts w:ascii="Times New Roman" w:hAnsi="Times New Roman" w:cs="Times New Roman"/>
          <w:sz w:val="24"/>
          <w:szCs w:val="24"/>
        </w:rPr>
        <w:t xml:space="preserve"> whilst respondent resists a drastic intervention in</w:t>
      </w:r>
      <w:r w:rsidR="00CC1CAE">
        <w:rPr>
          <w:rFonts w:ascii="Times New Roman" w:hAnsi="Times New Roman" w:cs="Times New Roman"/>
          <w:sz w:val="24"/>
          <w:szCs w:val="24"/>
        </w:rPr>
        <w:t>to</w:t>
      </w:r>
      <w:r>
        <w:rPr>
          <w:rFonts w:ascii="Times New Roman" w:hAnsi="Times New Roman" w:cs="Times New Roman"/>
          <w:sz w:val="24"/>
          <w:szCs w:val="24"/>
        </w:rPr>
        <w:t xml:space="preserve"> its corporate status.  On that basis I see no prejudice befalling a respondent who knew well enough that the matter could be revived because it was merely struck off rather than dismissed.</w:t>
      </w:r>
    </w:p>
    <w:p w14:paraId="72085C4E" w14:textId="77777777" w:rsidR="003C7DDC" w:rsidRDefault="003C7DDC" w:rsidP="0096252A">
      <w:pPr>
        <w:pStyle w:val="NoSpacing"/>
        <w:spacing w:line="360" w:lineRule="auto"/>
        <w:jc w:val="both"/>
        <w:rPr>
          <w:rFonts w:ascii="Times New Roman" w:hAnsi="Times New Roman" w:cs="Times New Roman"/>
          <w:sz w:val="24"/>
          <w:szCs w:val="24"/>
        </w:rPr>
      </w:pPr>
    </w:p>
    <w:p w14:paraId="2819D539" w14:textId="4F66F9AA" w:rsidR="007A0099" w:rsidRDefault="007A0099" w:rsidP="0096252A">
      <w:pPr>
        <w:pStyle w:val="NoSpacing"/>
        <w:spacing w:line="360" w:lineRule="auto"/>
        <w:jc w:val="both"/>
        <w:rPr>
          <w:rFonts w:ascii="Times New Roman" w:eastAsia="Calibri" w:hAnsi="Times New Roman" w:cs="Times New Roman"/>
          <w:kern w:val="0"/>
          <w:sz w:val="24"/>
          <w:szCs w:val="24"/>
          <w:lang w:val="en-US"/>
          <w14:ligatures w14:val="none"/>
        </w:rPr>
      </w:pPr>
      <w:r>
        <w:rPr>
          <w:rFonts w:ascii="Times New Roman" w:hAnsi="Times New Roman" w:cs="Times New Roman"/>
          <w:sz w:val="24"/>
          <w:szCs w:val="24"/>
        </w:rPr>
        <w:t xml:space="preserve">[ </w:t>
      </w:r>
      <w:r w:rsidR="00A64313">
        <w:rPr>
          <w:rFonts w:ascii="Times New Roman" w:hAnsi="Times New Roman" w:cs="Times New Roman"/>
          <w:sz w:val="24"/>
          <w:szCs w:val="24"/>
        </w:rPr>
        <w:t>40</w:t>
      </w:r>
      <w:r>
        <w:rPr>
          <w:rFonts w:ascii="Times New Roman" w:hAnsi="Times New Roman" w:cs="Times New Roman"/>
          <w:sz w:val="24"/>
          <w:szCs w:val="24"/>
        </w:rPr>
        <w:t>] I was fortified in reaching th</w:t>
      </w:r>
      <w:r w:rsidR="003C7DDC">
        <w:rPr>
          <w:rFonts w:ascii="Times New Roman" w:hAnsi="Times New Roman" w:cs="Times New Roman"/>
          <w:sz w:val="24"/>
          <w:szCs w:val="24"/>
        </w:rPr>
        <w:t>ese c</w:t>
      </w:r>
      <w:r>
        <w:rPr>
          <w:rFonts w:ascii="Times New Roman" w:hAnsi="Times New Roman" w:cs="Times New Roman"/>
          <w:sz w:val="24"/>
          <w:szCs w:val="24"/>
        </w:rPr>
        <w:t>onclusion</w:t>
      </w:r>
      <w:r w:rsidR="003C7DDC">
        <w:rPr>
          <w:rFonts w:ascii="Times New Roman" w:hAnsi="Times New Roman" w:cs="Times New Roman"/>
          <w:sz w:val="24"/>
          <w:szCs w:val="24"/>
        </w:rPr>
        <w:t>s</w:t>
      </w:r>
      <w:r>
        <w:rPr>
          <w:rFonts w:ascii="Times New Roman" w:hAnsi="Times New Roman" w:cs="Times New Roman"/>
          <w:sz w:val="24"/>
          <w:szCs w:val="24"/>
        </w:rPr>
        <w:t xml:space="preserve"> by the following further factors. The aberration before us was committed by the legal practitioner rather than the litigant. Whilst the errors of a legal practitioner will normally be laid upon the client`s door, the court must always consider the justice of the case. </w:t>
      </w:r>
      <w:r w:rsidR="000E077C">
        <w:rPr>
          <w:rFonts w:ascii="Times New Roman" w:hAnsi="Times New Roman" w:cs="Times New Roman"/>
          <w:sz w:val="24"/>
          <w:szCs w:val="24"/>
        </w:rPr>
        <w:t xml:space="preserve">The legal practitioner in question deposed to an affidavit being the appropriate route suggested in decisions such as </w:t>
      </w:r>
      <w:r w:rsidR="000E077C" w:rsidRPr="000E077C">
        <w:rPr>
          <w:rFonts w:ascii="Times New Roman" w:eastAsia="Calibri" w:hAnsi="Times New Roman" w:cs="Times New Roman"/>
          <w:i/>
          <w:kern w:val="0"/>
          <w:sz w:val="24"/>
          <w:szCs w:val="24"/>
          <w:lang w:val="en-US"/>
          <w14:ligatures w14:val="none"/>
        </w:rPr>
        <w:t>TFS Management Co (Pvt) Ltd</w:t>
      </w:r>
      <w:r w:rsidR="000E077C" w:rsidRPr="000E077C">
        <w:rPr>
          <w:rFonts w:ascii="Times New Roman" w:eastAsia="Calibri" w:hAnsi="Times New Roman" w:cs="Times New Roman"/>
          <w:kern w:val="0"/>
          <w:sz w:val="24"/>
          <w:szCs w:val="24"/>
          <w:lang w:val="en-US"/>
          <w14:ligatures w14:val="none"/>
        </w:rPr>
        <w:t xml:space="preserve"> v </w:t>
      </w:r>
      <w:r w:rsidR="000E077C" w:rsidRPr="000E077C">
        <w:rPr>
          <w:rFonts w:ascii="Times New Roman" w:eastAsia="Calibri" w:hAnsi="Times New Roman" w:cs="Times New Roman"/>
          <w:i/>
          <w:kern w:val="0"/>
          <w:sz w:val="24"/>
          <w:szCs w:val="24"/>
          <w:lang w:val="en-US"/>
          <w14:ligatures w14:val="none"/>
        </w:rPr>
        <w:t>Graspeak (Pvt) Ltd &amp; Anor</w:t>
      </w:r>
      <w:r w:rsidR="000E077C" w:rsidRPr="000E077C">
        <w:rPr>
          <w:rFonts w:ascii="Times New Roman" w:eastAsia="Calibri" w:hAnsi="Times New Roman" w:cs="Times New Roman"/>
          <w:kern w:val="0"/>
          <w:sz w:val="24"/>
          <w:szCs w:val="24"/>
          <w:lang w:val="en-US"/>
          <w14:ligatures w14:val="none"/>
        </w:rPr>
        <w:t>, 2005 91) ZLR 333</w:t>
      </w:r>
      <w:r w:rsidR="000E077C">
        <w:rPr>
          <w:rFonts w:ascii="Times New Roman" w:eastAsia="Calibri" w:hAnsi="Times New Roman" w:cs="Times New Roman"/>
          <w:kern w:val="0"/>
          <w:sz w:val="24"/>
          <w:szCs w:val="24"/>
          <w:lang w:val="en-US"/>
          <w14:ligatures w14:val="none"/>
        </w:rPr>
        <w:t xml:space="preserve"> and </w:t>
      </w:r>
      <w:r w:rsidR="000E077C" w:rsidRPr="000E077C">
        <w:rPr>
          <w:rFonts w:ascii="Times New Roman" w:eastAsia="Calibri" w:hAnsi="Times New Roman" w:cs="Times New Roman"/>
          <w:i/>
          <w:kern w:val="0"/>
          <w:sz w:val="24"/>
          <w:szCs w:val="24"/>
          <w:lang w:val="en-US"/>
          <w14:ligatures w14:val="none"/>
        </w:rPr>
        <w:t>Mandaza</w:t>
      </w:r>
      <w:r w:rsidR="000E077C" w:rsidRPr="000E077C">
        <w:rPr>
          <w:rFonts w:ascii="Times New Roman" w:eastAsia="Calibri" w:hAnsi="Times New Roman" w:cs="Times New Roman"/>
          <w:kern w:val="0"/>
          <w:sz w:val="24"/>
          <w:szCs w:val="24"/>
          <w:lang w:val="en-US"/>
          <w14:ligatures w14:val="none"/>
        </w:rPr>
        <w:t xml:space="preserve"> v </w:t>
      </w:r>
      <w:r w:rsidR="000E077C" w:rsidRPr="000E077C">
        <w:rPr>
          <w:rFonts w:ascii="Times New Roman" w:eastAsia="Calibri" w:hAnsi="Times New Roman" w:cs="Times New Roman"/>
          <w:i/>
          <w:kern w:val="0"/>
          <w:sz w:val="24"/>
          <w:szCs w:val="24"/>
          <w:lang w:val="en-US"/>
          <w14:ligatures w14:val="none"/>
        </w:rPr>
        <w:t xml:space="preserve">Mzilikazi Investments (Pvt) Ltd </w:t>
      </w:r>
      <w:r w:rsidR="000E077C" w:rsidRPr="000E077C">
        <w:rPr>
          <w:rFonts w:ascii="Times New Roman" w:eastAsia="Calibri" w:hAnsi="Times New Roman" w:cs="Times New Roman"/>
          <w:kern w:val="0"/>
          <w:sz w:val="24"/>
          <w:szCs w:val="24"/>
          <w:lang w:val="en-US"/>
          <w14:ligatures w14:val="none"/>
        </w:rPr>
        <w:t>2007 (10 ZLR 77</w:t>
      </w:r>
      <w:r w:rsidR="000E077C">
        <w:rPr>
          <w:rFonts w:ascii="Times New Roman" w:eastAsia="Calibri" w:hAnsi="Times New Roman" w:cs="Times New Roman"/>
          <w:kern w:val="0"/>
          <w:sz w:val="24"/>
          <w:szCs w:val="24"/>
          <w:lang w:val="en-US"/>
          <w14:ligatures w14:val="none"/>
        </w:rPr>
        <w:t>.</w:t>
      </w:r>
    </w:p>
    <w:p w14:paraId="261E000C" w14:textId="77777777" w:rsidR="000E077C" w:rsidRDefault="000E077C" w:rsidP="0096252A">
      <w:pPr>
        <w:pStyle w:val="NoSpacing"/>
        <w:spacing w:line="360" w:lineRule="auto"/>
        <w:jc w:val="both"/>
        <w:rPr>
          <w:rFonts w:ascii="Times New Roman" w:eastAsia="Calibri" w:hAnsi="Times New Roman" w:cs="Times New Roman"/>
          <w:kern w:val="0"/>
          <w:sz w:val="24"/>
          <w:szCs w:val="24"/>
          <w:lang w:val="en-US"/>
          <w14:ligatures w14:val="none"/>
        </w:rPr>
      </w:pPr>
    </w:p>
    <w:p w14:paraId="2CF262B9" w14:textId="02B6A1B1" w:rsidR="000E077C" w:rsidRDefault="000E077C" w:rsidP="0096252A">
      <w:pPr>
        <w:pStyle w:val="NoSpacing"/>
        <w:spacing w:line="36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w:t>
      </w:r>
      <w:r w:rsidR="00A64313">
        <w:rPr>
          <w:rFonts w:ascii="Times New Roman" w:eastAsia="Calibri" w:hAnsi="Times New Roman" w:cs="Times New Roman"/>
          <w:kern w:val="0"/>
          <w:sz w:val="24"/>
          <w:szCs w:val="24"/>
          <w:lang w:val="en-US"/>
          <w14:ligatures w14:val="none"/>
        </w:rPr>
        <w:t>41</w:t>
      </w:r>
      <w:r>
        <w:rPr>
          <w:rFonts w:ascii="Times New Roman" w:eastAsia="Calibri" w:hAnsi="Times New Roman" w:cs="Times New Roman"/>
          <w:kern w:val="0"/>
          <w:sz w:val="24"/>
          <w:szCs w:val="24"/>
          <w:lang w:val="en-US"/>
          <w14:ligatures w14:val="none"/>
        </w:rPr>
        <w:t>] His was a matter of being late by half an hour, a default which applicant</w:t>
      </w:r>
      <w:r w:rsidR="00110C94">
        <w:rPr>
          <w:rFonts w:ascii="Times New Roman" w:eastAsia="Calibri" w:hAnsi="Times New Roman" w:cs="Times New Roman"/>
          <w:kern w:val="0"/>
          <w:sz w:val="24"/>
          <w:szCs w:val="24"/>
          <w:lang w:val="en-US"/>
          <w14:ligatures w14:val="none"/>
        </w:rPr>
        <w:t>s</w:t>
      </w:r>
      <w:r>
        <w:rPr>
          <w:rFonts w:ascii="Times New Roman" w:eastAsia="Calibri" w:hAnsi="Times New Roman" w:cs="Times New Roman"/>
          <w:kern w:val="0"/>
          <w:sz w:val="24"/>
          <w:szCs w:val="24"/>
          <w:lang w:val="en-US"/>
          <w14:ligatures w14:val="none"/>
        </w:rPr>
        <w:t xml:space="preserve"> moved to rectify by filing present application within 9 days. </w:t>
      </w:r>
      <w:r w:rsidR="005432FF">
        <w:rPr>
          <w:rFonts w:ascii="Times New Roman" w:eastAsia="Calibri" w:hAnsi="Times New Roman" w:cs="Times New Roman"/>
          <w:kern w:val="0"/>
          <w:sz w:val="24"/>
          <w:szCs w:val="24"/>
          <w:lang w:val="en-US"/>
          <w14:ligatures w14:val="none"/>
        </w:rPr>
        <w:t>As stated, the</w:t>
      </w:r>
      <w:r>
        <w:rPr>
          <w:rFonts w:ascii="Times New Roman" w:eastAsia="Calibri" w:hAnsi="Times New Roman" w:cs="Times New Roman"/>
          <w:kern w:val="0"/>
          <w:sz w:val="24"/>
          <w:szCs w:val="24"/>
          <w:lang w:val="en-US"/>
          <w14:ligatures w14:val="none"/>
        </w:rPr>
        <w:t xml:space="preserve"> legal practitioner`s conduct, though frowned upon cannot be described as a gross breach of the rules. The underlying dispute is important to both parties. It also lies in an area of the law which is still developing under a relatively new statute-the Insolvency </w:t>
      </w:r>
      <w:r w:rsidR="009F16AD">
        <w:rPr>
          <w:rFonts w:ascii="Times New Roman" w:eastAsia="Calibri" w:hAnsi="Times New Roman" w:cs="Times New Roman"/>
          <w:kern w:val="0"/>
          <w:sz w:val="24"/>
          <w:szCs w:val="24"/>
          <w:lang w:val="en-US"/>
          <w14:ligatures w14:val="none"/>
        </w:rPr>
        <w:t>Act. In the matter before, the fuller definition of who or what is a creditor as defined by the Act will come to fore.</w:t>
      </w:r>
    </w:p>
    <w:p w14:paraId="02D38F29" w14:textId="77777777" w:rsidR="009F16AD" w:rsidRDefault="009F16AD" w:rsidP="0096252A">
      <w:pPr>
        <w:pStyle w:val="NoSpacing"/>
        <w:spacing w:line="360" w:lineRule="auto"/>
        <w:jc w:val="both"/>
        <w:rPr>
          <w:rFonts w:ascii="Times New Roman" w:eastAsia="Calibri" w:hAnsi="Times New Roman" w:cs="Times New Roman"/>
          <w:kern w:val="0"/>
          <w:sz w:val="24"/>
          <w:szCs w:val="24"/>
          <w:lang w:val="en-US"/>
          <w14:ligatures w14:val="none"/>
        </w:rPr>
      </w:pPr>
    </w:p>
    <w:p w14:paraId="6CED2263" w14:textId="7F1C89DF" w:rsidR="009F16AD" w:rsidRDefault="009F16AD" w:rsidP="0096252A">
      <w:pPr>
        <w:pStyle w:val="NoSpacing"/>
        <w:spacing w:line="36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w:t>
      </w:r>
      <w:r w:rsidR="00A64313">
        <w:rPr>
          <w:rFonts w:ascii="Times New Roman" w:eastAsia="Calibri" w:hAnsi="Times New Roman" w:cs="Times New Roman"/>
          <w:kern w:val="0"/>
          <w:sz w:val="24"/>
          <w:szCs w:val="24"/>
          <w:lang w:val="en-US"/>
          <w14:ligatures w14:val="none"/>
        </w:rPr>
        <w:t>42</w:t>
      </w:r>
      <w:r>
        <w:rPr>
          <w:rFonts w:ascii="Times New Roman" w:eastAsia="Calibri" w:hAnsi="Times New Roman" w:cs="Times New Roman"/>
          <w:kern w:val="0"/>
          <w:sz w:val="24"/>
          <w:szCs w:val="24"/>
          <w:lang w:val="en-US"/>
          <w14:ligatures w14:val="none"/>
        </w:rPr>
        <w:t xml:space="preserve">] I </w:t>
      </w:r>
      <w:r w:rsidR="003C7DDC">
        <w:rPr>
          <w:rFonts w:ascii="Times New Roman" w:eastAsia="Calibri" w:hAnsi="Times New Roman" w:cs="Times New Roman"/>
          <w:kern w:val="0"/>
          <w:sz w:val="24"/>
          <w:szCs w:val="24"/>
          <w:lang w:val="en-US"/>
          <w14:ligatures w14:val="none"/>
        </w:rPr>
        <w:t xml:space="preserve">will also </w:t>
      </w:r>
      <w:r>
        <w:rPr>
          <w:rFonts w:ascii="Times New Roman" w:eastAsia="Calibri" w:hAnsi="Times New Roman" w:cs="Times New Roman"/>
          <w:kern w:val="0"/>
          <w:sz w:val="24"/>
          <w:szCs w:val="24"/>
          <w:lang w:val="en-US"/>
          <w14:ligatures w14:val="none"/>
        </w:rPr>
        <w:t xml:space="preserve">borrow from the Supreme Court`s jurisprudential guidance in </w:t>
      </w:r>
      <w:r w:rsidRPr="009F16AD">
        <w:rPr>
          <w:rFonts w:ascii="Times New Roman" w:eastAsia="Calibri" w:hAnsi="Times New Roman" w:cs="Times New Roman"/>
          <w:i/>
          <w:iCs/>
          <w:kern w:val="0"/>
          <w:sz w:val="24"/>
          <w:szCs w:val="24"/>
          <w:lang w:val="en-US"/>
          <w14:ligatures w14:val="none"/>
        </w:rPr>
        <w:t>Rainbow Tourism Group v Kabasa &amp; Anor</w:t>
      </w:r>
      <w:r>
        <w:rPr>
          <w:rFonts w:ascii="Times New Roman" w:eastAsia="Calibri" w:hAnsi="Times New Roman" w:cs="Times New Roman"/>
          <w:kern w:val="0"/>
          <w:sz w:val="24"/>
          <w:szCs w:val="24"/>
          <w:lang w:val="en-US"/>
          <w14:ligatures w14:val="none"/>
        </w:rPr>
        <w:t xml:space="preserve"> SC 52-14 on dealing with matters novel or uncertain. Whilst that matter and the principle are obviously not precisely on all fours with the facts before me, the </w:t>
      </w:r>
      <w:r>
        <w:rPr>
          <w:rFonts w:ascii="Times New Roman" w:eastAsia="Calibri" w:hAnsi="Times New Roman" w:cs="Times New Roman"/>
          <w:kern w:val="0"/>
          <w:sz w:val="24"/>
          <w:szCs w:val="24"/>
          <w:lang w:val="en-US"/>
          <w14:ligatures w14:val="none"/>
        </w:rPr>
        <w:lastRenderedPageBreak/>
        <w:t xml:space="preserve">underlying </w:t>
      </w:r>
      <w:r w:rsidR="005432FF">
        <w:rPr>
          <w:rFonts w:ascii="Times New Roman" w:eastAsia="Calibri" w:hAnsi="Times New Roman" w:cs="Times New Roman"/>
          <w:kern w:val="0"/>
          <w:sz w:val="24"/>
          <w:szCs w:val="24"/>
          <w:lang w:val="en-US"/>
          <w14:ligatures w14:val="none"/>
        </w:rPr>
        <w:t>persuasion</w:t>
      </w:r>
      <w:r>
        <w:rPr>
          <w:rFonts w:ascii="Times New Roman" w:eastAsia="Calibri" w:hAnsi="Times New Roman" w:cs="Times New Roman"/>
          <w:kern w:val="0"/>
          <w:sz w:val="24"/>
          <w:szCs w:val="24"/>
          <w:lang w:val="en-US"/>
          <w14:ligatures w14:val="none"/>
        </w:rPr>
        <w:t xml:space="preserve"> is relevant to the herein discretionary considerations. The court held as follows at page 4; -</w:t>
      </w:r>
    </w:p>
    <w:p w14:paraId="55D2C330" w14:textId="77777777" w:rsidR="009F16AD" w:rsidRDefault="009F16AD" w:rsidP="0096252A">
      <w:pPr>
        <w:pStyle w:val="NoSpacing"/>
        <w:spacing w:line="360" w:lineRule="auto"/>
        <w:jc w:val="both"/>
        <w:rPr>
          <w:rFonts w:ascii="Times New Roman" w:eastAsia="Calibri" w:hAnsi="Times New Roman" w:cs="Times New Roman"/>
          <w:kern w:val="0"/>
          <w:sz w:val="24"/>
          <w:szCs w:val="24"/>
          <w:lang w:val="en-US"/>
          <w14:ligatures w14:val="none"/>
        </w:rPr>
      </w:pPr>
    </w:p>
    <w:p w14:paraId="08891E0D" w14:textId="6D3AE66E" w:rsidR="009F16AD" w:rsidRPr="009F16AD" w:rsidRDefault="009F16AD" w:rsidP="009F16AD">
      <w:pPr>
        <w:pStyle w:val="NoSpacing"/>
        <w:spacing w:line="360" w:lineRule="auto"/>
        <w:ind w:left="851"/>
        <w:jc w:val="both"/>
        <w:rPr>
          <w:rFonts w:ascii="Times New Roman" w:eastAsia="Calibri" w:hAnsi="Times New Roman" w:cs="Times New Roman"/>
          <w:kern w:val="0"/>
          <w:sz w:val="24"/>
          <w:szCs w:val="24"/>
          <w:lang w:val="en-US"/>
          <w14:ligatures w14:val="none"/>
        </w:rPr>
      </w:pPr>
      <w:r w:rsidRPr="009F16AD">
        <w:rPr>
          <w:rFonts w:ascii="Times New Roman" w:hAnsi="Times New Roman" w:cs="Times New Roman"/>
          <w:sz w:val="24"/>
          <w:szCs w:val="24"/>
        </w:rPr>
        <w:t>“It would appear to me that this is an issue which is awaiting final determination by the Supreme Court in due course. Given the uncertainty of the law pending the determination by the Supreme Court, I am satisfied that the learned Judge of the Labour Court misdirected herself in refusing the applicant leave to appeal to the Supreme Court. Where the law is uncertain and a decision is pending in the Supreme Court, a Judge of the lower court cannot hold that such an appeal has no prospects of success on appeal. The leave to appeal has to be granted on the basis that the Supreme Court is yet to speak and until that happens it cannot be said that the applicant’s case has no prospects of success.”</w:t>
      </w:r>
    </w:p>
    <w:p w14:paraId="234D1B1B" w14:textId="56B1B89F" w:rsidR="006D2397" w:rsidRDefault="009F16AD" w:rsidP="0096252A">
      <w:pPr>
        <w:pStyle w:val="NoSpacing"/>
        <w:spacing w:line="36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r w:rsidR="003C7DDC">
        <w:rPr>
          <w:rFonts w:ascii="Times New Roman" w:eastAsia="Calibri" w:hAnsi="Times New Roman" w:cs="Times New Roman"/>
          <w:kern w:val="0"/>
          <w:sz w:val="24"/>
          <w:szCs w:val="24"/>
          <w:lang w:val="en-US"/>
          <w14:ligatures w14:val="none"/>
        </w:rPr>
        <w:t>[</w:t>
      </w:r>
      <w:r w:rsidR="00A64313">
        <w:rPr>
          <w:rFonts w:ascii="Times New Roman" w:eastAsia="Calibri" w:hAnsi="Times New Roman" w:cs="Times New Roman"/>
          <w:kern w:val="0"/>
          <w:sz w:val="24"/>
          <w:szCs w:val="24"/>
          <w:lang w:val="en-US"/>
          <w14:ligatures w14:val="none"/>
        </w:rPr>
        <w:t>43</w:t>
      </w:r>
      <w:r w:rsidR="003C7DDC">
        <w:rPr>
          <w:rFonts w:ascii="Times New Roman" w:eastAsia="Calibri" w:hAnsi="Times New Roman" w:cs="Times New Roman"/>
          <w:kern w:val="0"/>
          <w:sz w:val="24"/>
          <w:szCs w:val="24"/>
          <w:lang w:val="en-US"/>
          <w14:ligatures w14:val="none"/>
        </w:rPr>
        <w:t xml:space="preserve">] I finally deal with the prospects of </w:t>
      </w:r>
      <w:r w:rsidR="006D2397">
        <w:rPr>
          <w:rFonts w:ascii="Times New Roman" w:eastAsia="Calibri" w:hAnsi="Times New Roman" w:cs="Times New Roman"/>
          <w:kern w:val="0"/>
          <w:sz w:val="24"/>
          <w:szCs w:val="24"/>
          <w:lang w:val="en-US"/>
          <w14:ligatures w14:val="none"/>
        </w:rPr>
        <w:t>success. The approach to take is obviously not to proceed and assume the role of the trial court but merely to preempt it. I was referred</w:t>
      </w:r>
      <w:r w:rsidR="00E53393">
        <w:rPr>
          <w:rFonts w:ascii="Times New Roman" w:eastAsia="Calibri" w:hAnsi="Times New Roman" w:cs="Times New Roman"/>
          <w:kern w:val="0"/>
          <w:sz w:val="24"/>
          <w:szCs w:val="24"/>
          <w:lang w:val="en-US"/>
          <w14:ligatures w14:val="none"/>
        </w:rPr>
        <w:t xml:space="preserve"> on this point</w:t>
      </w:r>
      <w:r w:rsidR="006D2397">
        <w:rPr>
          <w:rFonts w:ascii="Times New Roman" w:eastAsia="Calibri" w:hAnsi="Times New Roman" w:cs="Times New Roman"/>
          <w:kern w:val="0"/>
          <w:sz w:val="24"/>
          <w:szCs w:val="24"/>
          <w:lang w:val="en-US"/>
          <w14:ligatures w14:val="none"/>
        </w:rPr>
        <w:t xml:space="preserve"> </w:t>
      </w:r>
      <w:r w:rsidR="00E53393">
        <w:rPr>
          <w:rFonts w:ascii="Times New Roman" w:eastAsia="Calibri" w:hAnsi="Times New Roman" w:cs="Times New Roman"/>
          <w:kern w:val="0"/>
          <w:sz w:val="24"/>
          <w:szCs w:val="24"/>
          <w:lang w:val="en-US"/>
          <w14:ligatures w14:val="none"/>
        </w:rPr>
        <w:t xml:space="preserve">by both counsel to </w:t>
      </w:r>
      <w:r w:rsidR="00E53393" w:rsidRPr="00E53393">
        <w:rPr>
          <w:rFonts w:ascii="Times New Roman" w:eastAsia="Calibri" w:hAnsi="Times New Roman" w:cs="Times New Roman"/>
          <w:i/>
          <w:iCs/>
          <w:kern w:val="0"/>
          <w:sz w:val="24"/>
          <w:szCs w:val="24"/>
          <w14:ligatures w14:val="none"/>
        </w:rPr>
        <w:t>Essop</w:t>
      </w:r>
      <w:r w:rsidR="00E53393" w:rsidRPr="00E53393">
        <w:rPr>
          <w:rFonts w:ascii="Times New Roman" w:eastAsia="Calibri" w:hAnsi="Times New Roman" w:cs="Times New Roman"/>
          <w:kern w:val="0"/>
          <w:sz w:val="24"/>
          <w:szCs w:val="24"/>
          <w14:ligatures w14:val="none"/>
        </w:rPr>
        <w:t xml:space="preserve"> v </w:t>
      </w:r>
      <w:r w:rsidR="00E53393" w:rsidRPr="00E53393">
        <w:rPr>
          <w:rFonts w:ascii="Times New Roman" w:eastAsia="Calibri" w:hAnsi="Times New Roman" w:cs="Times New Roman"/>
          <w:i/>
          <w:iCs/>
          <w:kern w:val="0"/>
          <w:sz w:val="24"/>
          <w:szCs w:val="24"/>
          <w14:ligatures w14:val="none"/>
        </w:rPr>
        <w:t>S</w:t>
      </w:r>
      <w:r w:rsidR="00E53393" w:rsidRPr="00E53393">
        <w:rPr>
          <w:rFonts w:ascii="Times New Roman" w:eastAsia="Calibri" w:hAnsi="Times New Roman" w:cs="Times New Roman"/>
          <w:kern w:val="0"/>
          <w:sz w:val="24"/>
          <w:szCs w:val="24"/>
          <w14:ligatures w14:val="none"/>
        </w:rPr>
        <w:t xml:space="preserve"> 2016 </w:t>
      </w:r>
      <w:r w:rsidR="00E53393" w:rsidRPr="00E53393">
        <w:rPr>
          <w:rFonts w:ascii="Times New Roman" w:eastAsia="Calibri" w:hAnsi="Times New Roman" w:cs="Times New Roman"/>
          <w:kern w:val="0"/>
          <w14:ligatures w14:val="none"/>
        </w:rPr>
        <w:t>[ZASCA] 114</w:t>
      </w:r>
      <w:r w:rsidR="00E53393">
        <w:rPr>
          <w:rFonts w:ascii="Times New Roman" w:eastAsia="Calibri" w:hAnsi="Times New Roman" w:cs="Times New Roman"/>
          <w:kern w:val="0"/>
          <w14:ligatures w14:val="none"/>
        </w:rPr>
        <w:t xml:space="preserve">; </w:t>
      </w:r>
      <w:r w:rsidR="00E53393">
        <w:rPr>
          <w:rFonts w:ascii="Times New Roman" w:eastAsia="Calibri" w:hAnsi="Times New Roman" w:cs="Times New Roman"/>
          <w:kern w:val="0"/>
          <w:sz w:val="24"/>
          <w:szCs w:val="24"/>
          <w:lang w:val="en-US"/>
          <w14:ligatures w14:val="none"/>
        </w:rPr>
        <w:t xml:space="preserve">and </w:t>
      </w:r>
      <w:r w:rsidR="006D2397" w:rsidRPr="00E53393">
        <w:rPr>
          <w:rFonts w:ascii="Times New Roman" w:eastAsia="Calibri" w:hAnsi="Times New Roman" w:cs="Times New Roman"/>
          <w:i/>
          <w:iCs/>
          <w:kern w:val="0"/>
          <w:sz w:val="24"/>
          <w:szCs w:val="24"/>
          <w:lang w:val="en-US"/>
          <w14:ligatures w14:val="none"/>
        </w:rPr>
        <w:t>Zimbabwe Consolidated Diamond Company (Pvt) Ltd v Adelcraft Investments (Pvt) Ltd</w:t>
      </w:r>
      <w:r w:rsidR="006D2397">
        <w:rPr>
          <w:rFonts w:ascii="Times New Roman" w:eastAsia="Calibri" w:hAnsi="Times New Roman" w:cs="Times New Roman"/>
          <w:kern w:val="0"/>
          <w:sz w:val="24"/>
          <w:szCs w:val="24"/>
          <w:lang w:val="en-US"/>
          <w14:ligatures w14:val="none"/>
        </w:rPr>
        <w:t xml:space="preserve"> CCZ 2-24. </w:t>
      </w:r>
      <w:r w:rsidR="00E53393">
        <w:rPr>
          <w:rFonts w:ascii="Times New Roman" w:eastAsia="Calibri" w:hAnsi="Times New Roman" w:cs="Times New Roman"/>
          <w:kern w:val="0"/>
          <w:sz w:val="24"/>
          <w:szCs w:val="24"/>
          <w:lang w:val="en-US"/>
          <w14:ligatures w14:val="none"/>
        </w:rPr>
        <w:t xml:space="preserve">The court in the latter decision </w:t>
      </w:r>
      <w:r w:rsidR="006D2397">
        <w:rPr>
          <w:rFonts w:ascii="Times New Roman" w:eastAsia="Calibri" w:hAnsi="Times New Roman" w:cs="Times New Roman"/>
          <w:kern w:val="0"/>
          <w:sz w:val="24"/>
          <w:szCs w:val="24"/>
          <w:lang w:val="en-US"/>
          <w14:ligatures w14:val="none"/>
        </w:rPr>
        <w:t xml:space="preserve">laid out the following </w:t>
      </w:r>
      <w:r w:rsidR="00E53393">
        <w:rPr>
          <w:rFonts w:ascii="Times New Roman" w:eastAsia="Calibri" w:hAnsi="Times New Roman" w:cs="Times New Roman"/>
          <w:kern w:val="0"/>
          <w:sz w:val="24"/>
          <w:szCs w:val="24"/>
          <w:lang w:val="en-US"/>
          <w14:ligatures w14:val="none"/>
        </w:rPr>
        <w:t>principles</w:t>
      </w:r>
      <w:r w:rsidR="006D2397">
        <w:rPr>
          <w:rFonts w:ascii="Times New Roman" w:eastAsia="Calibri" w:hAnsi="Times New Roman" w:cs="Times New Roman"/>
          <w:kern w:val="0"/>
          <w:sz w:val="24"/>
          <w:szCs w:val="24"/>
          <w:lang w:val="en-US"/>
          <w14:ligatures w14:val="none"/>
        </w:rPr>
        <w:t xml:space="preserve"> </w:t>
      </w:r>
      <w:r w:rsidR="00E53393">
        <w:rPr>
          <w:rFonts w:ascii="Times New Roman" w:eastAsia="Calibri" w:hAnsi="Times New Roman" w:cs="Times New Roman"/>
          <w:kern w:val="0"/>
          <w:sz w:val="24"/>
          <w:szCs w:val="24"/>
          <w:lang w:val="en-US"/>
          <w14:ligatures w14:val="none"/>
        </w:rPr>
        <w:t xml:space="preserve">to address </w:t>
      </w:r>
      <w:r w:rsidR="006D2397">
        <w:rPr>
          <w:rFonts w:ascii="Times New Roman" w:eastAsia="Calibri" w:hAnsi="Times New Roman" w:cs="Times New Roman"/>
          <w:kern w:val="0"/>
          <w:sz w:val="24"/>
          <w:szCs w:val="24"/>
          <w:lang w:val="en-US"/>
          <w14:ligatures w14:val="none"/>
        </w:rPr>
        <w:t xml:space="preserve">the question of prospects of </w:t>
      </w:r>
      <w:r w:rsidR="00E53393">
        <w:rPr>
          <w:rFonts w:ascii="Times New Roman" w:eastAsia="Calibri" w:hAnsi="Times New Roman" w:cs="Times New Roman"/>
          <w:kern w:val="0"/>
          <w:sz w:val="24"/>
          <w:szCs w:val="24"/>
          <w:lang w:val="en-US"/>
          <w14:ligatures w14:val="none"/>
        </w:rPr>
        <w:t>success; -</w:t>
      </w:r>
      <w:r w:rsidR="006D2397">
        <w:rPr>
          <w:rFonts w:ascii="Times New Roman" w:eastAsia="Calibri" w:hAnsi="Times New Roman" w:cs="Times New Roman"/>
          <w:kern w:val="0"/>
          <w:sz w:val="24"/>
          <w:szCs w:val="24"/>
          <w:lang w:val="en-US"/>
          <w14:ligatures w14:val="none"/>
        </w:rPr>
        <w:t xml:space="preserve"> </w:t>
      </w:r>
    </w:p>
    <w:p w14:paraId="156E7D44" w14:textId="77777777" w:rsidR="00E53393" w:rsidRDefault="00E53393" w:rsidP="0096252A">
      <w:pPr>
        <w:pStyle w:val="NoSpacing"/>
        <w:spacing w:line="360" w:lineRule="auto"/>
        <w:jc w:val="both"/>
        <w:rPr>
          <w:rFonts w:ascii="Times New Roman" w:eastAsia="Calibri" w:hAnsi="Times New Roman" w:cs="Times New Roman"/>
          <w:kern w:val="0"/>
          <w:sz w:val="24"/>
          <w:szCs w:val="24"/>
          <w:lang w:val="en-US"/>
          <w14:ligatures w14:val="none"/>
        </w:rPr>
      </w:pPr>
    </w:p>
    <w:p w14:paraId="06A82798" w14:textId="2BC7043C" w:rsidR="00E53393" w:rsidRPr="00E53393" w:rsidRDefault="00E53393" w:rsidP="00E53393">
      <w:pPr>
        <w:spacing w:after="0" w:line="360" w:lineRule="auto"/>
        <w:ind w:left="851"/>
        <w:jc w:val="both"/>
        <w:rPr>
          <w:rFonts w:ascii="Times New Roman" w:eastAsia="Calibri" w:hAnsi="Times New Roman" w:cs="Times New Roman"/>
          <w:kern w:val="0"/>
          <w14:ligatures w14:val="none"/>
        </w:rPr>
      </w:pPr>
      <w:r>
        <w:rPr>
          <w:rFonts w:ascii="Times New Roman" w:eastAsia="Calibri" w:hAnsi="Times New Roman" w:cs="Times New Roman"/>
          <w:kern w:val="0"/>
          <w:sz w:val="24"/>
          <w:szCs w:val="24"/>
          <w14:ligatures w14:val="none"/>
        </w:rPr>
        <w:t>“</w:t>
      </w:r>
      <w:r w:rsidRPr="00E53393">
        <w:rPr>
          <w:rFonts w:ascii="Times New Roman" w:eastAsia="Calibri" w:hAnsi="Times New Roman" w:cs="Times New Roman"/>
          <w:kern w:val="0"/>
          <w:sz w:val="24"/>
          <w:szCs w:val="24"/>
          <w14:ligatures w14:val="none"/>
        </w:rPr>
        <w:t xml:space="preserve">The test for reasonable prospects of success postulates an objective and dispassionate decision, based on the facts and the applicable law, as to whether or not the applicant has an arguable case in the intended application should direct access be granted. The prospects of success must not be remote but must have a realistic chance of succeeding. In this respect, a mere possibility of success will not suffice. There must be a sound rational basis for the conclusion that there are prospects of success in the main matter. In short, this Court must be satisfied that the applicant has an arguable </w:t>
      </w:r>
      <w:r w:rsidRPr="00E53393">
        <w:rPr>
          <w:rFonts w:ascii="Times New Roman" w:eastAsia="Calibri" w:hAnsi="Times New Roman" w:cs="Times New Roman"/>
          <w:i/>
          <w:iCs/>
          <w:kern w:val="0"/>
          <w:sz w:val="24"/>
          <w:szCs w:val="24"/>
          <w14:ligatures w14:val="none"/>
        </w:rPr>
        <w:t>prima facie</w:t>
      </w:r>
      <w:r w:rsidRPr="00E53393">
        <w:rPr>
          <w:rFonts w:ascii="Times New Roman" w:eastAsia="Calibri" w:hAnsi="Times New Roman" w:cs="Times New Roman"/>
          <w:kern w:val="0"/>
          <w:sz w:val="24"/>
          <w:szCs w:val="24"/>
          <w14:ligatures w14:val="none"/>
        </w:rPr>
        <w:t xml:space="preserve"> case and not a mere possibility of success. See </w:t>
      </w:r>
      <w:r w:rsidRPr="00E53393">
        <w:rPr>
          <w:rFonts w:ascii="Times New Roman" w:eastAsia="Calibri" w:hAnsi="Times New Roman" w:cs="Times New Roman"/>
          <w:i/>
          <w:iCs/>
          <w:kern w:val="0"/>
          <w:sz w:val="24"/>
          <w:szCs w:val="24"/>
          <w14:ligatures w14:val="none"/>
        </w:rPr>
        <w:t>Essop</w:t>
      </w:r>
      <w:r w:rsidRPr="00E53393">
        <w:rPr>
          <w:rFonts w:ascii="Times New Roman" w:eastAsia="Calibri" w:hAnsi="Times New Roman" w:cs="Times New Roman"/>
          <w:kern w:val="0"/>
          <w:sz w:val="24"/>
          <w:szCs w:val="24"/>
          <w14:ligatures w14:val="none"/>
        </w:rPr>
        <w:t xml:space="preserve"> v </w:t>
      </w:r>
      <w:r w:rsidRPr="00E53393">
        <w:rPr>
          <w:rFonts w:ascii="Times New Roman" w:eastAsia="Calibri" w:hAnsi="Times New Roman" w:cs="Times New Roman"/>
          <w:i/>
          <w:iCs/>
          <w:kern w:val="0"/>
          <w:sz w:val="24"/>
          <w:szCs w:val="24"/>
          <w14:ligatures w14:val="none"/>
        </w:rPr>
        <w:t>S</w:t>
      </w:r>
      <w:r w:rsidRPr="00E53393">
        <w:rPr>
          <w:rFonts w:ascii="Times New Roman" w:eastAsia="Calibri" w:hAnsi="Times New Roman" w:cs="Times New Roman"/>
          <w:kern w:val="0"/>
          <w:sz w:val="24"/>
          <w:szCs w:val="24"/>
          <w14:ligatures w14:val="none"/>
        </w:rPr>
        <w:t xml:space="preserve"> 2016 </w:t>
      </w:r>
      <w:r w:rsidRPr="00E53393">
        <w:rPr>
          <w:rFonts w:ascii="Times New Roman" w:eastAsia="Calibri" w:hAnsi="Times New Roman" w:cs="Times New Roman"/>
          <w:kern w:val="0"/>
          <w14:ligatures w14:val="none"/>
        </w:rPr>
        <w:t xml:space="preserve">[ZASCA] 114; </w:t>
      </w:r>
      <w:r w:rsidRPr="00E53393">
        <w:rPr>
          <w:rFonts w:ascii="Times New Roman" w:eastAsia="Calibri" w:hAnsi="Times New Roman" w:cs="Times New Roman"/>
          <w:i/>
          <w:iCs/>
          <w:kern w:val="0"/>
          <w14:ligatures w14:val="none"/>
        </w:rPr>
        <w:t>S</w:t>
      </w:r>
      <w:r w:rsidRPr="00E53393">
        <w:rPr>
          <w:rFonts w:ascii="Times New Roman" w:eastAsia="Calibri" w:hAnsi="Times New Roman" w:cs="Times New Roman"/>
          <w:kern w:val="0"/>
          <w14:ligatures w14:val="none"/>
        </w:rPr>
        <w:t xml:space="preserve"> v </w:t>
      </w:r>
      <w:r w:rsidRPr="00E53393">
        <w:rPr>
          <w:rFonts w:ascii="Times New Roman" w:eastAsia="Calibri" w:hAnsi="Times New Roman" w:cs="Times New Roman"/>
          <w:i/>
          <w:iCs/>
          <w:kern w:val="0"/>
          <w14:ligatures w14:val="none"/>
        </w:rPr>
        <w:t>Dinha</w:t>
      </w:r>
      <w:r w:rsidRPr="00E53393">
        <w:rPr>
          <w:rFonts w:ascii="Times New Roman" w:eastAsia="Calibri" w:hAnsi="Times New Roman" w:cs="Times New Roman"/>
          <w:kern w:val="0"/>
          <w14:ligatures w14:val="none"/>
        </w:rPr>
        <w:t xml:space="preserve"> CCZ 11-20, at p 6.</w:t>
      </w:r>
      <w:r>
        <w:rPr>
          <w:rFonts w:ascii="Times New Roman" w:eastAsia="Calibri" w:hAnsi="Times New Roman" w:cs="Times New Roman"/>
          <w:kern w:val="0"/>
          <w14:ligatures w14:val="none"/>
        </w:rPr>
        <w:t>”</w:t>
      </w:r>
    </w:p>
    <w:p w14:paraId="78C13538" w14:textId="252386D6" w:rsidR="00D652E4" w:rsidRDefault="00E53393" w:rsidP="0096252A">
      <w:pPr>
        <w:pStyle w:val="NoSpacing"/>
        <w:spacing w:line="36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w:t>
      </w:r>
      <w:r w:rsidR="00A64313">
        <w:rPr>
          <w:rFonts w:ascii="Times New Roman" w:eastAsia="Calibri" w:hAnsi="Times New Roman" w:cs="Times New Roman"/>
          <w:kern w:val="0"/>
          <w:sz w:val="24"/>
          <w:szCs w:val="24"/>
          <w:lang w:val="en-US"/>
          <w14:ligatures w14:val="none"/>
        </w:rPr>
        <w:t>44</w:t>
      </w:r>
      <w:r>
        <w:rPr>
          <w:rFonts w:ascii="Times New Roman" w:eastAsia="Calibri" w:hAnsi="Times New Roman" w:cs="Times New Roman"/>
          <w:kern w:val="0"/>
          <w:sz w:val="24"/>
          <w:szCs w:val="24"/>
          <w:lang w:val="en-US"/>
          <w14:ligatures w14:val="none"/>
        </w:rPr>
        <w:t xml:space="preserve">] Mr </w:t>
      </w:r>
      <w:r w:rsidRPr="00CC1CAE">
        <w:rPr>
          <w:rFonts w:ascii="Times New Roman" w:eastAsia="Calibri" w:hAnsi="Times New Roman" w:cs="Times New Roman"/>
          <w:i/>
          <w:iCs/>
          <w:kern w:val="0"/>
          <w:sz w:val="24"/>
          <w:szCs w:val="24"/>
          <w:lang w:val="en-US"/>
          <w14:ligatures w14:val="none"/>
        </w:rPr>
        <w:t>Madzvamuse</w:t>
      </w:r>
      <w:r>
        <w:rPr>
          <w:rFonts w:ascii="Times New Roman" w:eastAsia="Calibri" w:hAnsi="Times New Roman" w:cs="Times New Roman"/>
          <w:kern w:val="0"/>
          <w:sz w:val="24"/>
          <w:szCs w:val="24"/>
          <w:lang w:val="en-US"/>
          <w14:ligatures w14:val="none"/>
        </w:rPr>
        <w:t xml:space="preserve"> asserted in his submissions, the respondent`s spirited contentions that the applicant</w:t>
      </w:r>
      <w:r w:rsidR="00110C94">
        <w:rPr>
          <w:rFonts w:ascii="Times New Roman" w:eastAsia="Calibri" w:hAnsi="Times New Roman" w:cs="Times New Roman"/>
          <w:kern w:val="0"/>
          <w:sz w:val="24"/>
          <w:szCs w:val="24"/>
          <w:lang w:val="en-US"/>
          <w14:ligatures w14:val="none"/>
        </w:rPr>
        <w:t>s`</w:t>
      </w:r>
      <w:r>
        <w:rPr>
          <w:rFonts w:ascii="Times New Roman" w:eastAsia="Calibri" w:hAnsi="Times New Roman" w:cs="Times New Roman"/>
          <w:kern w:val="0"/>
          <w:sz w:val="24"/>
          <w:szCs w:val="24"/>
          <w:lang w:val="en-US"/>
          <w14:ligatures w14:val="none"/>
        </w:rPr>
        <w:t xml:space="preserve"> claim was </w:t>
      </w:r>
      <w:r w:rsidR="007F7590">
        <w:rPr>
          <w:rFonts w:ascii="Times New Roman" w:eastAsia="Calibri" w:hAnsi="Times New Roman" w:cs="Times New Roman"/>
          <w:kern w:val="0"/>
          <w:sz w:val="24"/>
          <w:szCs w:val="24"/>
          <w:lang w:val="en-US"/>
          <w14:ligatures w14:val="none"/>
        </w:rPr>
        <w:t>“all</w:t>
      </w:r>
      <w:r>
        <w:rPr>
          <w:rFonts w:ascii="Times New Roman" w:eastAsia="Calibri" w:hAnsi="Times New Roman" w:cs="Times New Roman"/>
          <w:kern w:val="0"/>
          <w:sz w:val="24"/>
          <w:szCs w:val="24"/>
          <w:lang w:val="en-US"/>
          <w14:ligatures w14:val="none"/>
        </w:rPr>
        <w:t xml:space="preserve"> over the place”. </w:t>
      </w:r>
      <w:r w:rsidR="00D652E4">
        <w:rPr>
          <w:rFonts w:ascii="Times New Roman" w:eastAsia="Calibri" w:hAnsi="Times New Roman" w:cs="Times New Roman"/>
          <w:kern w:val="0"/>
          <w:sz w:val="24"/>
          <w:szCs w:val="24"/>
          <w:lang w:val="en-US"/>
          <w14:ligatures w14:val="none"/>
        </w:rPr>
        <w:t>I note that the applicant</w:t>
      </w:r>
      <w:r w:rsidR="005432FF">
        <w:rPr>
          <w:rFonts w:ascii="Times New Roman" w:eastAsia="Calibri" w:hAnsi="Times New Roman" w:cs="Times New Roman"/>
          <w:kern w:val="0"/>
          <w:sz w:val="24"/>
          <w:szCs w:val="24"/>
          <w:lang w:val="en-US"/>
          <w14:ligatures w14:val="none"/>
        </w:rPr>
        <w:t>s`</w:t>
      </w:r>
      <w:r w:rsidR="00D652E4">
        <w:rPr>
          <w:rFonts w:ascii="Times New Roman" w:eastAsia="Calibri" w:hAnsi="Times New Roman" w:cs="Times New Roman"/>
          <w:kern w:val="0"/>
          <w:sz w:val="24"/>
          <w:szCs w:val="24"/>
          <w:lang w:val="en-US"/>
          <w14:ligatures w14:val="none"/>
        </w:rPr>
        <w:t xml:space="preserve"> claim</w:t>
      </w:r>
      <w:r w:rsidR="00110C94">
        <w:rPr>
          <w:rFonts w:ascii="Times New Roman" w:eastAsia="Calibri" w:hAnsi="Times New Roman" w:cs="Times New Roman"/>
          <w:kern w:val="0"/>
          <w:sz w:val="24"/>
          <w:szCs w:val="24"/>
          <w:lang w:val="en-US"/>
          <w14:ligatures w14:val="none"/>
        </w:rPr>
        <w:t xml:space="preserve"> their </w:t>
      </w:r>
      <w:r w:rsidR="00D652E4">
        <w:rPr>
          <w:rFonts w:ascii="Times New Roman" w:eastAsia="Calibri" w:hAnsi="Times New Roman" w:cs="Times New Roman"/>
          <w:kern w:val="0"/>
          <w:sz w:val="24"/>
          <w:szCs w:val="24"/>
          <w:lang w:val="en-US"/>
          <w14:ligatures w14:val="none"/>
        </w:rPr>
        <w:t xml:space="preserve">status as a creditor on the basis of what may be termed as established or unestablished claims. Part of </w:t>
      </w:r>
      <w:r w:rsidR="00110C94">
        <w:rPr>
          <w:rFonts w:ascii="Times New Roman" w:eastAsia="Calibri" w:hAnsi="Times New Roman" w:cs="Times New Roman"/>
          <w:kern w:val="0"/>
          <w:sz w:val="24"/>
          <w:szCs w:val="24"/>
          <w:lang w:val="en-US"/>
          <w14:ligatures w14:val="none"/>
        </w:rPr>
        <w:t xml:space="preserve">their </w:t>
      </w:r>
      <w:r w:rsidR="00D652E4">
        <w:rPr>
          <w:rFonts w:ascii="Times New Roman" w:eastAsia="Calibri" w:hAnsi="Times New Roman" w:cs="Times New Roman"/>
          <w:kern w:val="0"/>
          <w:sz w:val="24"/>
          <w:szCs w:val="24"/>
          <w:lang w:val="en-US"/>
          <w14:ligatures w14:val="none"/>
        </w:rPr>
        <w:t xml:space="preserve">claims constitute damages for breach of contract. </w:t>
      </w:r>
    </w:p>
    <w:p w14:paraId="1DF75928" w14:textId="77777777" w:rsidR="00D652E4" w:rsidRDefault="00D652E4" w:rsidP="0096252A">
      <w:pPr>
        <w:pStyle w:val="NoSpacing"/>
        <w:spacing w:line="360" w:lineRule="auto"/>
        <w:jc w:val="both"/>
        <w:rPr>
          <w:rFonts w:ascii="Times New Roman" w:eastAsia="Calibri" w:hAnsi="Times New Roman" w:cs="Times New Roman"/>
          <w:kern w:val="0"/>
          <w:sz w:val="24"/>
          <w:szCs w:val="24"/>
          <w:lang w:val="en-US"/>
          <w14:ligatures w14:val="none"/>
        </w:rPr>
      </w:pPr>
    </w:p>
    <w:p w14:paraId="02F4DBFD" w14:textId="4181E040" w:rsidR="00E53393" w:rsidRDefault="00D652E4" w:rsidP="0096252A">
      <w:pPr>
        <w:pStyle w:val="NoSpacing"/>
        <w:spacing w:line="36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lastRenderedPageBreak/>
        <w:t>[</w:t>
      </w:r>
      <w:r w:rsidR="00A64313">
        <w:rPr>
          <w:rFonts w:ascii="Times New Roman" w:eastAsia="Calibri" w:hAnsi="Times New Roman" w:cs="Times New Roman"/>
          <w:kern w:val="0"/>
          <w:sz w:val="24"/>
          <w:szCs w:val="24"/>
          <w:lang w:val="en-US"/>
          <w14:ligatures w14:val="none"/>
        </w:rPr>
        <w:t>45</w:t>
      </w:r>
      <w:r w:rsidR="005432FF">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 xml:space="preserve"> </w:t>
      </w:r>
      <w:r w:rsidR="00E53393">
        <w:rPr>
          <w:rFonts w:ascii="Times New Roman" w:eastAsia="Calibri" w:hAnsi="Times New Roman" w:cs="Times New Roman"/>
          <w:kern w:val="0"/>
          <w:sz w:val="24"/>
          <w:szCs w:val="24"/>
          <w:lang w:val="en-US"/>
          <w14:ligatures w14:val="none"/>
        </w:rPr>
        <w:t>What is critical to note is that the applicant</w:t>
      </w:r>
      <w:r w:rsidR="00110C94">
        <w:rPr>
          <w:rFonts w:ascii="Times New Roman" w:eastAsia="Calibri" w:hAnsi="Times New Roman" w:cs="Times New Roman"/>
          <w:kern w:val="0"/>
          <w:sz w:val="24"/>
          <w:szCs w:val="24"/>
          <w:lang w:val="en-US"/>
          <w14:ligatures w14:val="none"/>
        </w:rPr>
        <w:t>s</w:t>
      </w:r>
      <w:r w:rsidR="00E53393">
        <w:rPr>
          <w:rFonts w:ascii="Times New Roman" w:eastAsia="Calibri" w:hAnsi="Times New Roman" w:cs="Times New Roman"/>
          <w:kern w:val="0"/>
          <w:sz w:val="24"/>
          <w:szCs w:val="24"/>
          <w:lang w:val="en-US"/>
          <w14:ligatures w14:val="none"/>
        </w:rPr>
        <w:t xml:space="preserve"> </w:t>
      </w:r>
      <w:r w:rsidR="007F7590">
        <w:rPr>
          <w:rFonts w:ascii="Times New Roman" w:eastAsia="Calibri" w:hAnsi="Times New Roman" w:cs="Times New Roman"/>
          <w:kern w:val="0"/>
          <w:sz w:val="24"/>
          <w:szCs w:val="24"/>
          <w:lang w:val="en-US"/>
          <w14:ligatures w14:val="none"/>
        </w:rPr>
        <w:t>strive</w:t>
      </w:r>
      <w:r w:rsidR="00E53393">
        <w:rPr>
          <w:rFonts w:ascii="Times New Roman" w:eastAsia="Calibri" w:hAnsi="Times New Roman" w:cs="Times New Roman"/>
          <w:kern w:val="0"/>
          <w:sz w:val="24"/>
          <w:szCs w:val="24"/>
          <w:lang w:val="en-US"/>
          <w14:ligatures w14:val="none"/>
        </w:rPr>
        <w:t xml:space="preserve"> to confirm its status as a creditor. The entire claim is based on a contract between the parties. There are a number of common cause factors </w:t>
      </w:r>
      <w:r w:rsidR="005432FF">
        <w:rPr>
          <w:rFonts w:ascii="Times New Roman" w:eastAsia="Calibri" w:hAnsi="Times New Roman" w:cs="Times New Roman"/>
          <w:kern w:val="0"/>
          <w:sz w:val="24"/>
          <w:szCs w:val="24"/>
          <w:lang w:val="en-US"/>
          <w14:ligatures w14:val="none"/>
        </w:rPr>
        <w:t>-</w:t>
      </w:r>
      <w:r w:rsidR="00E53393">
        <w:rPr>
          <w:rFonts w:ascii="Times New Roman" w:eastAsia="Calibri" w:hAnsi="Times New Roman" w:cs="Times New Roman"/>
          <w:kern w:val="0"/>
          <w:sz w:val="24"/>
          <w:szCs w:val="24"/>
          <w:lang w:val="en-US"/>
          <w14:ligatures w14:val="none"/>
        </w:rPr>
        <w:t xml:space="preserve">including the </w:t>
      </w:r>
      <w:r w:rsidR="007F7590">
        <w:rPr>
          <w:rFonts w:ascii="Times New Roman" w:eastAsia="Calibri" w:hAnsi="Times New Roman" w:cs="Times New Roman"/>
          <w:kern w:val="0"/>
          <w:sz w:val="24"/>
          <w:szCs w:val="24"/>
          <w:lang w:val="en-US"/>
          <w14:ligatures w14:val="none"/>
        </w:rPr>
        <w:t>financial prejudice that befell both parties. It is not in dispute that under that structure, respondent assumed certain financial obligations in favour of applicant</w:t>
      </w:r>
      <w:r w:rsidR="005432FF">
        <w:rPr>
          <w:rFonts w:ascii="Times New Roman" w:eastAsia="Calibri" w:hAnsi="Times New Roman" w:cs="Times New Roman"/>
          <w:kern w:val="0"/>
          <w:sz w:val="24"/>
          <w:szCs w:val="24"/>
          <w:lang w:val="en-US"/>
          <w14:ligatures w14:val="none"/>
        </w:rPr>
        <w:t>s</w:t>
      </w:r>
      <w:r w:rsidR="007F7590">
        <w:rPr>
          <w:rFonts w:ascii="Times New Roman" w:eastAsia="Calibri" w:hAnsi="Times New Roman" w:cs="Times New Roman"/>
          <w:kern w:val="0"/>
          <w:sz w:val="24"/>
          <w:szCs w:val="24"/>
          <w:lang w:val="en-US"/>
          <w14:ligatures w14:val="none"/>
        </w:rPr>
        <w:t xml:space="preserve">. </w:t>
      </w:r>
    </w:p>
    <w:p w14:paraId="74635833" w14:textId="77777777" w:rsidR="007F7590" w:rsidRDefault="007F7590" w:rsidP="0096252A">
      <w:pPr>
        <w:pStyle w:val="NoSpacing"/>
        <w:spacing w:line="360" w:lineRule="auto"/>
        <w:jc w:val="both"/>
        <w:rPr>
          <w:rFonts w:ascii="Times New Roman" w:eastAsia="Calibri" w:hAnsi="Times New Roman" w:cs="Times New Roman"/>
          <w:kern w:val="0"/>
          <w:sz w:val="24"/>
          <w:szCs w:val="24"/>
          <w:lang w:val="en-US"/>
          <w14:ligatures w14:val="none"/>
        </w:rPr>
      </w:pPr>
    </w:p>
    <w:p w14:paraId="5846610A" w14:textId="3657CA04" w:rsidR="00C6616E" w:rsidRDefault="007F7590" w:rsidP="0096252A">
      <w:pPr>
        <w:pStyle w:val="NoSpacing"/>
        <w:spacing w:line="36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w:t>
      </w:r>
      <w:r w:rsidR="00D652E4">
        <w:rPr>
          <w:rFonts w:ascii="Times New Roman" w:eastAsia="Calibri" w:hAnsi="Times New Roman" w:cs="Times New Roman"/>
          <w:kern w:val="0"/>
          <w:sz w:val="24"/>
          <w:szCs w:val="24"/>
          <w:lang w:val="en-US"/>
          <w14:ligatures w14:val="none"/>
        </w:rPr>
        <w:t>4</w:t>
      </w:r>
      <w:r w:rsidR="00A64313">
        <w:rPr>
          <w:rFonts w:ascii="Times New Roman" w:eastAsia="Calibri" w:hAnsi="Times New Roman" w:cs="Times New Roman"/>
          <w:kern w:val="0"/>
          <w:sz w:val="24"/>
          <w:szCs w:val="24"/>
          <w:lang w:val="en-US"/>
          <w14:ligatures w14:val="none"/>
        </w:rPr>
        <w:t>6</w:t>
      </w:r>
      <w:r>
        <w:rPr>
          <w:rFonts w:ascii="Times New Roman" w:eastAsia="Calibri" w:hAnsi="Times New Roman" w:cs="Times New Roman"/>
          <w:kern w:val="0"/>
          <w:sz w:val="24"/>
          <w:szCs w:val="24"/>
          <w:lang w:val="en-US"/>
          <w14:ligatures w14:val="none"/>
        </w:rPr>
        <w:t xml:space="preserve">] </w:t>
      </w:r>
      <w:r w:rsidR="004429B4">
        <w:rPr>
          <w:rFonts w:ascii="Times New Roman" w:eastAsia="Calibri" w:hAnsi="Times New Roman" w:cs="Times New Roman"/>
          <w:kern w:val="0"/>
          <w:sz w:val="24"/>
          <w:szCs w:val="24"/>
          <w:lang w:val="en-US"/>
          <w14:ligatures w14:val="none"/>
        </w:rPr>
        <w:t>What the applicant</w:t>
      </w:r>
      <w:r w:rsidR="00110C94">
        <w:rPr>
          <w:rFonts w:ascii="Times New Roman" w:eastAsia="Calibri" w:hAnsi="Times New Roman" w:cs="Times New Roman"/>
          <w:kern w:val="0"/>
          <w:sz w:val="24"/>
          <w:szCs w:val="24"/>
          <w:lang w:val="en-US"/>
          <w14:ligatures w14:val="none"/>
        </w:rPr>
        <w:t>s</w:t>
      </w:r>
      <w:r w:rsidR="004429B4">
        <w:rPr>
          <w:rFonts w:ascii="Times New Roman" w:eastAsia="Calibri" w:hAnsi="Times New Roman" w:cs="Times New Roman"/>
          <w:kern w:val="0"/>
          <w:sz w:val="24"/>
          <w:szCs w:val="24"/>
          <w:lang w:val="en-US"/>
          <w14:ligatures w14:val="none"/>
        </w:rPr>
        <w:t xml:space="preserve"> will need to prove is that </w:t>
      </w:r>
      <w:r w:rsidR="00110C94">
        <w:rPr>
          <w:rFonts w:ascii="Times New Roman" w:eastAsia="Calibri" w:hAnsi="Times New Roman" w:cs="Times New Roman"/>
          <w:kern w:val="0"/>
          <w:sz w:val="24"/>
          <w:szCs w:val="24"/>
          <w:lang w:val="en-US"/>
          <w14:ligatures w14:val="none"/>
        </w:rPr>
        <w:t xml:space="preserve">they are </w:t>
      </w:r>
      <w:r w:rsidR="004429B4">
        <w:rPr>
          <w:rFonts w:ascii="Times New Roman" w:eastAsia="Calibri" w:hAnsi="Times New Roman" w:cs="Times New Roman"/>
          <w:kern w:val="0"/>
          <w:sz w:val="24"/>
          <w:szCs w:val="24"/>
          <w:lang w:val="en-US"/>
          <w14:ligatures w14:val="none"/>
        </w:rPr>
        <w:t xml:space="preserve">owed some money. Not necessarily all that </w:t>
      </w:r>
      <w:r w:rsidR="00110C94">
        <w:rPr>
          <w:rFonts w:ascii="Times New Roman" w:eastAsia="Calibri" w:hAnsi="Times New Roman" w:cs="Times New Roman"/>
          <w:kern w:val="0"/>
          <w:sz w:val="24"/>
          <w:szCs w:val="24"/>
          <w:lang w:val="en-US"/>
          <w14:ligatures w14:val="none"/>
        </w:rPr>
        <w:t>has been c</w:t>
      </w:r>
      <w:r w:rsidR="004429B4">
        <w:rPr>
          <w:rFonts w:ascii="Times New Roman" w:eastAsia="Calibri" w:hAnsi="Times New Roman" w:cs="Times New Roman"/>
          <w:kern w:val="0"/>
          <w:sz w:val="24"/>
          <w:szCs w:val="24"/>
          <w:lang w:val="en-US"/>
          <w14:ligatures w14:val="none"/>
        </w:rPr>
        <w:t>laimed. The respondent insists that applicant</w:t>
      </w:r>
      <w:r w:rsidR="00110C94">
        <w:rPr>
          <w:rFonts w:ascii="Times New Roman" w:eastAsia="Calibri" w:hAnsi="Times New Roman" w:cs="Times New Roman"/>
          <w:kern w:val="0"/>
          <w:sz w:val="24"/>
          <w:szCs w:val="24"/>
          <w:lang w:val="en-US"/>
          <w14:ligatures w14:val="none"/>
        </w:rPr>
        <w:t>s</w:t>
      </w:r>
      <w:r w:rsidR="004429B4">
        <w:rPr>
          <w:rFonts w:ascii="Times New Roman" w:eastAsia="Calibri" w:hAnsi="Times New Roman" w:cs="Times New Roman"/>
          <w:kern w:val="0"/>
          <w:sz w:val="24"/>
          <w:szCs w:val="24"/>
          <w:lang w:val="en-US"/>
          <w14:ligatures w14:val="none"/>
        </w:rPr>
        <w:t xml:space="preserve"> w</w:t>
      </w:r>
      <w:r w:rsidR="00110C94">
        <w:rPr>
          <w:rFonts w:ascii="Times New Roman" w:eastAsia="Calibri" w:hAnsi="Times New Roman" w:cs="Times New Roman"/>
          <w:kern w:val="0"/>
          <w:sz w:val="24"/>
          <w:szCs w:val="24"/>
          <w:lang w:val="en-US"/>
          <w14:ligatures w14:val="none"/>
        </w:rPr>
        <w:t>ere a</w:t>
      </w:r>
      <w:r w:rsidR="004429B4">
        <w:rPr>
          <w:rFonts w:ascii="Times New Roman" w:eastAsia="Calibri" w:hAnsi="Times New Roman" w:cs="Times New Roman"/>
          <w:kern w:val="0"/>
          <w:sz w:val="24"/>
          <w:szCs w:val="24"/>
          <w:lang w:val="en-US"/>
          <w14:ligatures w14:val="none"/>
        </w:rPr>
        <w:t xml:space="preserve"> co-principal debtor. But of the two debtors, it is applicant</w:t>
      </w:r>
      <w:r w:rsidR="00110C94">
        <w:rPr>
          <w:rFonts w:ascii="Times New Roman" w:eastAsia="Calibri" w:hAnsi="Times New Roman" w:cs="Times New Roman"/>
          <w:kern w:val="0"/>
          <w:sz w:val="24"/>
          <w:szCs w:val="24"/>
          <w:lang w:val="en-US"/>
          <w14:ligatures w14:val="none"/>
        </w:rPr>
        <w:t>s</w:t>
      </w:r>
      <w:r w:rsidR="004429B4">
        <w:rPr>
          <w:rFonts w:ascii="Times New Roman" w:eastAsia="Calibri" w:hAnsi="Times New Roman" w:cs="Times New Roman"/>
          <w:kern w:val="0"/>
          <w:sz w:val="24"/>
          <w:szCs w:val="24"/>
          <w:lang w:val="en-US"/>
          <w14:ligatures w14:val="none"/>
        </w:rPr>
        <w:t xml:space="preserve"> that placed </w:t>
      </w:r>
      <w:r w:rsidR="00110C94">
        <w:rPr>
          <w:rFonts w:ascii="Times New Roman" w:eastAsia="Calibri" w:hAnsi="Times New Roman" w:cs="Times New Roman"/>
          <w:kern w:val="0"/>
          <w:sz w:val="24"/>
          <w:szCs w:val="24"/>
          <w:lang w:val="en-US"/>
          <w14:ligatures w14:val="none"/>
        </w:rPr>
        <w:t xml:space="preserve">an </w:t>
      </w:r>
      <w:r w:rsidR="004429B4">
        <w:rPr>
          <w:rFonts w:ascii="Times New Roman" w:eastAsia="Calibri" w:hAnsi="Times New Roman" w:cs="Times New Roman"/>
          <w:kern w:val="0"/>
          <w:sz w:val="24"/>
          <w:szCs w:val="24"/>
          <w:lang w:val="en-US"/>
          <w14:ligatures w14:val="none"/>
        </w:rPr>
        <w:t>immovable property as collateral. The underlying prayer by applicant</w:t>
      </w:r>
      <w:r w:rsidR="00110C94">
        <w:rPr>
          <w:rFonts w:ascii="Times New Roman" w:eastAsia="Calibri" w:hAnsi="Times New Roman" w:cs="Times New Roman"/>
          <w:kern w:val="0"/>
          <w:sz w:val="24"/>
          <w:szCs w:val="24"/>
          <w:lang w:val="en-US"/>
          <w14:ligatures w14:val="none"/>
        </w:rPr>
        <w:t>s</w:t>
      </w:r>
      <w:r w:rsidR="004429B4">
        <w:rPr>
          <w:rFonts w:ascii="Times New Roman" w:eastAsia="Calibri" w:hAnsi="Times New Roman" w:cs="Times New Roman"/>
          <w:kern w:val="0"/>
          <w:sz w:val="24"/>
          <w:szCs w:val="24"/>
          <w:lang w:val="en-US"/>
          <w14:ligatures w14:val="none"/>
        </w:rPr>
        <w:t xml:space="preserve"> is to have applicant placed under corporate rescue on the basis that it has failed to meet its liabilities.</w:t>
      </w:r>
    </w:p>
    <w:p w14:paraId="370DF33D" w14:textId="77777777" w:rsidR="00C6616E" w:rsidRDefault="00C6616E" w:rsidP="0096252A">
      <w:pPr>
        <w:pStyle w:val="NoSpacing"/>
        <w:spacing w:line="360" w:lineRule="auto"/>
        <w:jc w:val="both"/>
        <w:rPr>
          <w:rFonts w:ascii="Times New Roman" w:eastAsia="Calibri" w:hAnsi="Times New Roman" w:cs="Times New Roman"/>
          <w:kern w:val="0"/>
          <w:sz w:val="24"/>
          <w:szCs w:val="24"/>
          <w:lang w:val="en-US"/>
          <w14:ligatures w14:val="none"/>
        </w:rPr>
      </w:pPr>
    </w:p>
    <w:p w14:paraId="4488AFE4" w14:textId="1CEBE924" w:rsidR="00C6616E" w:rsidRDefault="00C6616E" w:rsidP="0096252A">
      <w:pPr>
        <w:pStyle w:val="NoSpacing"/>
        <w:spacing w:line="36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w:t>
      </w:r>
      <w:r w:rsidR="00D652E4">
        <w:rPr>
          <w:rFonts w:ascii="Times New Roman" w:eastAsia="Calibri" w:hAnsi="Times New Roman" w:cs="Times New Roman"/>
          <w:kern w:val="0"/>
          <w:sz w:val="24"/>
          <w:szCs w:val="24"/>
          <w:lang w:val="en-US"/>
          <w14:ligatures w14:val="none"/>
        </w:rPr>
        <w:t>4</w:t>
      </w:r>
      <w:r w:rsidR="00A64313">
        <w:rPr>
          <w:rFonts w:ascii="Times New Roman" w:eastAsia="Calibri" w:hAnsi="Times New Roman" w:cs="Times New Roman"/>
          <w:kern w:val="0"/>
          <w:sz w:val="24"/>
          <w:szCs w:val="24"/>
          <w:lang w:val="en-US"/>
          <w14:ligatures w14:val="none"/>
        </w:rPr>
        <w:t>7</w:t>
      </w:r>
      <w:r w:rsidR="00771D84">
        <w:rPr>
          <w:rFonts w:ascii="Times New Roman" w:eastAsia="Calibri" w:hAnsi="Times New Roman" w:cs="Times New Roman"/>
          <w:kern w:val="0"/>
          <w:sz w:val="24"/>
          <w:szCs w:val="24"/>
          <w:lang w:val="en-US"/>
          <w14:ligatures w14:val="none"/>
        </w:rPr>
        <w:t>] Such</w:t>
      </w:r>
      <w:r w:rsidR="004429B4">
        <w:rPr>
          <w:rFonts w:ascii="Times New Roman" w:eastAsia="Calibri" w:hAnsi="Times New Roman" w:cs="Times New Roman"/>
          <w:kern w:val="0"/>
          <w:sz w:val="24"/>
          <w:szCs w:val="24"/>
          <w:lang w:val="en-US"/>
          <w14:ligatures w14:val="none"/>
        </w:rPr>
        <w:t xml:space="preserve"> process will entail inventorying the </w:t>
      </w:r>
      <w:r w:rsidR="00A64313">
        <w:rPr>
          <w:rFonts w:ascii="Times New Roman" w:eastAsia="Calibri" w:hAnsi="Times New Roman" w:cs="Times New Roman"/>
          <w:kern w:val="0"/>
          <w:sz w:val="24"/>
          <w:szCs w:val="24"/>
          <w:lang w:val="en-US"/>
          <w14:ligatures w14:val="none"/>
        </w:rPr>
        <w:t xml:space="preserve">respondent`s </w:t>
      </w:r>
      <w:r w:rsidR="004429B4">
        <w:rPr>
          <w:rFonts w:ascii="Times New Roman" w:eastAsia="Calibri" w:hAnsi="Times New Roman" w:cs="Times New Roman"/>
          <w:kern w:val="0"/>
          <w:sz w:val="24"/>
          <w:szCs w:val="24"/>
          <w:lang w:val="en-US"/>
          <w14:ligatures w14:val="none"/>
        </w:rPr>
        <w:t>assets and liabilities in order to verify the said claims. This being the very reason then that I invited parties to file supplementary submissions on the question of a “creditor”.</w:t>
      </w:r>
      <w:r>
        <w:rPr>
          <w:rFonts w:ascii="Times New Roman" w:eastAsia="Calibri" w:hAnsi="Times New Roman" w:cs="Times New Roman"/>
          <w:kern w:val="0"/>
          <w:sz w:val="24"/>
          <w:szCs w:val="24"/>
          <w:lang w:val="en-US"/>
          <w14:ligatures w14:val="none"/>
        </w:rPr>
        <w:t xml:space="preserve"> The </w:t>
      </w:r>
      <w:r w:rsidR="00A64313">
        <w:rPr>
          <w:rFonts w:ascii="Times New Roman" w:eastAsia="Calibri" w:hAnsi="Times New Roman" w:cs="Times New Roman"/>
          <w:kern w:val="0"/>
          <w:sz w:val="24"/>
          <w:szCs w:val="24"/>
          <w:lang w:val="en-US"/>
          <w14:ligatures w14:val="none"/>
        </w:rPr>
        <w:t xml:space="preserve">respondent has </w:t>
      </w:r>
      <w:r>
        <w:rPr>
          <w:rFonts w:ascii="Times New Roman" w:eastAsia="Calibri" w:hAnsi="Times New Roman" w:cs="Times New Roman"/>
          <w:kern w:val="0"/>
          <w:sz w:val="24"/>
          <w:szCs w:val="24"/>
          <w:lang w:val="en-US"/>
          <w14:ligatures w14:val="none"/>
        </w:rPr>
        <w:t xml:space="preserve">admitted </w:t>
      </w:r>
      <w:r w:rsidR="00A64313">
        <w:rPr>
          <w:rFonts w:ascii="Times New Roman" w:eastAsia="Calibri" w:hAnsi="Times New Roman" w:cs="Times New Roman"/>
          <w:kern w:val="0"/>
          <w:sz w:val="24"/>
          <w:szCs w:val="24"/>
          <w:lang w:val="en-US"/>
          <w14:ligatures w14:val="none"/>
        </w:rPr>
        <w:t>to defaulting on the</w:t>
      </w:r>
      <w:r>
        <w:rPr>
          <w:rFonts w:ascii="Times New Roman" w:eastAsia="Calibri" w:hAnsi="Times New Roman" w:cs="Times New Roman"/>
          <w:kern w:val="0"/>
          <w:sz w:val="24"/>
          <w:szCs w:val="24"/>
          <w:lang w:val="en-US"/>
          <w14:ligatures w14:val="none"/>
        </w:rPr>
        <w:t xml:space="preserve"> loan</w:t>
      </w:r>
      <w:r w:rsidR="00A64313">
        <w:rPr>
          <w:rFonts w:ascii="Times New Roman" w:eastAsia="Calibri" w:hAnsi="Times New Roman" w:cs="Times New Roman"/>
          <w:kern w:val="0"/>
          <w:sz w:val="24"/>
          <w:szCs w:val="24"/>
          <w:lang w:val="en-US"/>
          <w14:ligatures w14:val="none"/>
        </w:rPr>
        <w:t xml:space="preserve"> repayments</w:t>
      </w:r>
      <w:r>
        <w:rPr>
          <w:rFonts w:ascii="Times New Roman" w:eastAsia="Calibri" w:hAnsi="Times New Roman" w:cs="Times New Roman"/>
          <w:kern w:val="0"/>
          <w:sz w:val="24"/>
          <w:szCs w:val="24"/>
          <w:lang w:val="en-US"/>
          <w14:ligatures w14:val="none"/>
        </w:rPr>
        <w:t>. It concluded</w:t>
      </w:r>
      <w:r w:rsidR="00A64313">
        <w:rPr>
          <w:rFonts w:ascii="Times New Roman" w:eastAsia="Calibri" w:hAnsi="Times New Roman" w:cs="Times New Roman"/>
          <w:kern w:val="0"/>
          <w:sz w:val="24"/>
          <w:szCs w:val="24"/>
          <w:lang w:val="en-US"/>
          <w14:ligatures w14:val="none"/>
        </w:rPr>
        <w:t>, together with applicants,</w:t>
      </w:r>
      <w:r>
        <w:rPr>
          <w:rFonts w:ascii="Times New Roman" w:eastAsia="Calibri" w:hAnsi="Times New Roman" w:cs="Times New Roman"/>
          <w:kern w:val="0"/>
          <w:sz w:val="24"/>
          <w:szCs w:val="24"/>
          <w:lang w:val="en-US"/>
          <w14:ligatures w14:val="none"/>
        </w:rPr>
        <w:t xml:space="preserve"> a deed of settlement with the financier Mr. Mutombo. It does appear to me that the applicant</w:t>
      </w:r>
      <w:r w:rsidR="00A64313">
        <w:rPr>
          <w:rFonts w:ascii="Times New Roman" w:eastAsia="Calibri" w:hAnsi="Times New Roman" w:cs="Times New Roman"/>
          <w:kern w:val="0"/>
          <w:sz w:val="24"/>
          <w:szCs w:val="24"/>
          <w:lang w:val="en-US"/>
          <w14:ligatures w14:val="none"/>
        </w:rPr>
        <w:t>s`</w:t>
      </w:r>
      <w:r>
        <w:rPr>
          <w:rFonts w:ascii="Times New Roman" w:eastAsia="Calibri" w:hAnsi="Times New Roman" w:cs="Times New Roman"/>
          <w:kern w:val="0"/>
          <w:sz w:val="24"/>
          <w:szCs w:val="24"/>
          <w:lang w:val="en-US"/>
          <w14:ligatures w14:val="none"/>
        </w:rPr>
        <w:t xml:space="preserve"> prospects cannot be dismissed as fanciful or merely academic.  </w:t>
      </w:r>
    </w:p>
    <w:p w14:paraId="52E8597A" w14:textId="77777777" w:rsidR="00C6616E" w:rsidRDefault="00C6616E" w:rsidP="0096252A">
      <w:pPr>
        <w:pStyle w:val="NoSpacing"/>
        <w:spacing w:line="360" w:lineRule="auto"/>
        <w:jc w:val="both"/>
        <w:rPr>
          <w:rFonts w:ascii="Times New Roman" w:eastAsia="Calibri" w:hAnsi="Times New Roman" w:cs="Times New Roman"/>
          <w:kern w:val="0"/>
          <w:sz w:val="24"/>
          <w:szCs w:val="24"/>
          <w:lang w:val="en-US"/>
          <w14:ligatures w14:val="none"/>
        </w:rPr>
      </w:pPr>
    </w:p>
    <w:p w14:paraId="21964345" w14:textId="54FC1FB8" w:rsidR="00C6616E" w:rsidRDefault="00C6616E" w:rsidP="0096252A">
      <w:pPr>
        <w:pStyle w:val="NoSpacing"/>
        <w:spacing w:line="36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DISPOSITION</w:t>
      </w:r>
    </w:p>
    <w:p w14:paraId="7AD1AEE9" w14:textId="5724E686" w:rsidR="00C6616E" w:rsidRDefault="00C6616E" w:rsidP="0096252A">
      <w:pPr>
        <w:pStyle w:val="NoSpacing"/>
        <w:spacing w:line="36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[4</w:t>
      </w:r>
      <w:r w:rsidR="00A64313">
        <w:rPr>
          <w:rFonts w:ascii="Times New Roman" w:eastAsia="Calibri" w:hAnsi="Times New Roman" w:cs="Times New Roman"/>
          <w:kern w:val="0"/>
          <w:sz w:val="24"/>
          <w:szCs w:val="24"/>
          <w:lang w:val="en-US"/>
          <w14:ligatures w14:val="none"/>
        </w:rPr>
        <w:t>8</w:t>
      </w:r>
      <w:r>
        <w:rPr>
          <w:rFonts w:ascii="Times New Roman" w:eastAsia="Calibri" w:hAnsi="Times New Roman" w:cs="Times New Roman"/>
          <w:kern w:val="0"/>
          <w:sz w:val="24"/>
          <w:szCs w:val="24"/>
          <w:lang w:val="en-US"/>
          <w14:ligatures w14:val="none"/>
        </w:rPr>
        <w:t>] I am satisfied that applicant</w:t>
      </w:r>
      <w:r w:rsidR="00A64313">
        <w:rPr>
          <w:rFonts w:ascii="Times New Roman" w:eastAsia="Calibri" w:hAnsi="Times New Roman" w:cs="Times New Roman"/>
          <w:kern w:val="0"/>
          <w:sz w:val="24"/>
          <w:szCs w:val="24"/>
          <w:lang w:val="en-US"/>
          <w14:ligatures w14:val="none"/>
        </w:rPr>
        <w:t xml:space="preserve">s have </w:t>
      </w:r>
      <w:r>
        <w:rPr>
          <w:rFonts w:ascii="Times New Roman" w:eastAsia="Calibri" w:hAnsi="Times New Roman" w:cs="Times New Roman"/>
          <w:kern w:val="0"/>
          <w:sz w:val="24"/>
          <w:szCs w:val="24"/>
          <w:lang w:val="en-US"/>
          <w14:ligatures w14:val="none"/>
        </w:rPr>
        <w:t>made a plausible case for earning this court`s reprieve. But on the basis of the displeasure already expressed, the applicant</w:t>
      </w:r>
      <w:r w:rsidR="005432FF">
        <w:rPr>
          <w:rFonts w:ascii="Times New Roman" w:eastAsia="Calibri" w:hAnsi="Times New Roman" w:cs="Times New Roman"/>
          <w:kern w:val="0"/>
          <w:sz w:val="24"/>
          <w:szCs w:val="24"/>
          <w:lang w:val="en-US"/>
          <w14:ligatures w14:val="none"/>
        </w:rPr>
        <w:t>s</w:t>
      </w:r>
      <w:r>
        <w:rPr>
          <w:rFonts w:ascii="Times New Roman" w:eastAsia="Calibri" w:hAnsi="Times New Roman" w:cs="Times New Roman"/>
          <w:kern w:val="0"/>
          <w:sz w:val="24"/>
          <w:szCs w:val="24"/>
          <w:lang w:val="en-US"/>
          <w14:ligatures w14:val="none"/>
        </w:rPr>
        <w:t xml:space="preserve">, though successful will be disentitled from </w:t>
      </w:r>
      <w:r w:rsidR="005432FF">
        <w:rPr>
          <w:rFonts w:ascii="Times New Roman" w:eastAsia="Calibri" w:hAnsi="Times New Roman" w:cs="Times New Roman"/>
          <w:kern w:val="0"/>
          <w:sz w:val="24"/>
          <w:szCs w:val="24"/>
          <w:lang w:val="en-US"/>
          <w14:ligatures w14:val="none"/>
        </w:rPr>
        <w:t xml:space="preserve">their </w:t>
      </w:r>
      <w:r>
        <w:rPr>
          <w:rFonts w:ascii="Times New Roman" w:eastAsia="Calibri" w:hAnsi="Times New Roman" w:cs="Times New Roman"/>
          <w:kern w:val="0"/>
          <w:sz w:val="24"/>
          <w:szCs w:val="24"/>
          <w:lang w:val="en-US"/>
          <w14:ligatures w14:val="none"/>
        </w:rPr>
        <w:t xml:space="preserve">costs. </w:t>
      </w:r>
      <w:r w:rsidR="005432FF">
        <w:rPr>
          <w:rFonts w:ascii="Times New Roman" w:eastAsia="Calibri" w:hAnsi="Times New Roman" w:cs="Times New Roman"/>
          <w:kern w:val="0"/>
          <w:sz w:val="24"/>
          <w:szCs w:val="24"/>
          <w:lang w:val="en-US"/>
          <w14:ligatures w14:val="none"/>
        </w:rPr>
        <w:t xml:space="preserve">They </w:t>
      </w:r>
      <w:r>
        <w:rPr>
          <w:rFonts w:ascii="Times New Roman" w:eastAsia="Calibri" w:hAnsi="Times New Roman" w:cs="Times New Roman"/>
          <w:kern w:val="0"/>
          <w:sz w:val="24"/>
          <w:szCs w:val="24"/>
          <w:lang w:val="en-US"/>
          <w14:ligatures w14:val="none"/>
        </w:rPr>
        <w:t>must instead, recompense respondent in that regard. Accordingly, it is hereby ordered that; -</w:t>
      </w:r>
    </w:p>
    <w:p w14:paraId="6C3B089A" w14:textId="77777777" w:rsidR="00C6616E" w:rsidRDefault="00C6616E" w:rsidP="0096252A">
      <w:pPr>
        <w:pStyle w:val="NoSpacing"/>
        <w:spacing w:line="360" w:lineRule="auto"/>
        <w:jc w:val="both"/>
        <w:rPr>
          <w:rFonts w:ascii="Times New Roman" w:eastAsia="Calibri" w:hAnsi="Times New Roman" w:cs="Times New Roman"/>
          <w:kern w:val="0"/>
          <w:sz w:val="24"/>
          <w:szCs w:val="24"/>
          <w:lang w:val="en-US"/>
          <w14:ligatures w14:val="none"/>
        </w:rPr>
      </w:pPr>
    </w:p>
    <w:p w14:paraId="4F3CF40C" w14:textId="324E8711" w:rsidR="00C6616E" w:rsidRPr="00A64313" w:rsidRDefault="00C6616E" w:rsidP="00A64313">
      <w:pPr>
        <w:pStyle w:val="NoSpacing"/>
        <w:numPr>
          <w:ilvl w:val="0"/>
          <w:numId w:val="3"/>
        </w:numPr>
        <w:spacing w:line="360" w:lineRule="auto"/>
        <w:ind w:left="714" w:hanging="357"/>
        <w:jc w:val="both"/>
        <w:rPr>
          <w:rFonts w:ascii="Times New Roman" w:hAnsi="Times New Roman" w:cs="Times New Roman"/>
          <w:sz w:val="24"/>
          <w:szCs w:val="24"/>
        </w:rPr>
      </w:pPr>
      <w:r w:rsidRPr="00A64313">
        <w:rPr>
          <w:rFonts w:ascii="Times New Roman" w:hAnsi="Times New Roman" w:cs="Times New Roman"/>
          <w:sz w:val="24"/>
          <w:szCs w:val="24"/>
        </w:rPr>
        <w:t>The application for condonation for failure by applicant</w:t>
      </w:r>
      <w:r w:rsidR="005432FF" w:rsidRPr="00A64313">
        <w:rPr>
          <w:rFonts w:ascii="Times New Roman" w:hAnsi="Times New Roman" w:cs="Times New Roman"/>
          <w:sz w:val="24"/>
          <w:szCs w:val="24"/>
        </w:rPr>
        <w:t>s</w:t>
      </w:r>
      <w:r w:rsidRPr="00A64313">
        <w:rPr>
          <w:rFonts w:ascii="Times New Roman" w:hAnsi="Times New Roman" w:cs="Times New Roman"/>
          <w:sz w:val="24"/>
          <w:szCs w:val="24"/>
        </w:rPr>
        <w:t xml:space="preserve"> to appear on the appointed set down date be and is hereby granted.</w:t>
      </w:r>
    </w:p>
    <w:p w14:paraId="71196236" w14:textId="09A05931" w:rsidR="00C6616E" w:rsidRPr="00A64313" w:rsidRDefault="00C6616E" w:rsidP="00A64313">
      <w:pPr>
        <w:pStyle w:val="NoSpacing"/>
        <w:numPr>
          <w:ilvl w:val="0"/>
          <w:numId w:val="3"/>
        </w:numPr>
        <w:spacing w:line="360" w:lineRule="auto"/>
        <w:ind w:left="714" w:hanging="357"/>
        <w:jc w:val="both"/>
        <w:rPr>
          <w:rFonts w:ascii="Times New Roman" w:hAnsi="Times New Roman" w:cs="Times New Roman"/>
          <w:sz w:val="24"/>
          <w:szCs w:val="24"/>
        </w:rPr>
      </w:pPr>
      <w:r w:rsidRPr="00A64313">
        <w:rPr>
          <w:rFonts w:ascii="Times New Roman" w:hAnsi="Times New Roman" w:cs="Times New Roman"/>
          <w:sz w:val="24"/>
          <w:szCs w:val="24"/>
        </w:rPr>
        <w:t>The application under case number HCHC 67/24, which was struck off the roll-on 27 June 2024 be and is hereby reinstated with the parties to progress it in terms of the rules.</w:t>
      </w:r>
    </w:p>
    <w:p w14:paraId="64A109DD" w14:textId="5BC5225C" w:rsidR="00C6616E" w:rsidRPr="00A64313" w:rsidRDefault="00C6616E" w:rsidP="0096252A">
      <w:pPr>
        <w:pStyle w:val="NoSpacing"/>
        <w:numPr>
          <w:ilvl w:val="0"/>
          <w:numId w:val="3"/>
        </w:numPr>
        <w:spacing w:line="360" w:lineRule="auto"/>
        <w:ind w:left="714" w:hanging="357"/>
        <w:jc w:val="both"/>
        <w:rPr>
          <w:rFonts w:ascii="Times New Roman" w:eastAsia="Calibri" w:hAnsi="Times New Roman" w:cs="Times New Roman"/>
          <w:kern w:val="0"/>
          <w:sz w:val="24"/>
          <w:szCs w:val="24"/>
          <w:lang w:val="en-US"/>
          <w14:ligatures w14:val="none"/>
        </w:rPr>
      </w:pPr>
      <w:r w:rsidRPr="00A64313">
        <w:rPr>
          <w:rFonts w:ascii="Times New Roman" w:hAnsi="Times New Roman" w:cs="Times New Roman"/>
          <w:sz w:val="24"/>
          <w:szCs w:val="24"/>
        </w:rPr>
        <w:t>Applicant</w:t>
      </w:r>
      <w:r w:rsidR="005432FF" w:rsidRPr="00A64313">
        <w:rPr>
          <w:rFonts w:ascii="Times New Roman" w:hAnsi="Times New Roman" w:cs="Times New Roman"/>
          <w:sz w:val="24"/>
          <w:szCs w:val="24"/>
        </w:rPr>
        <w:t>s</w:t>
      </w:r>
      <w:r w:rsidRPr="00A64313">
        <w:rPr>
          <w:rFonts w:ascii="Times New Roman" w:hAnsi="Times New Roman" w:cs="Times New Roman"/>
          <w:sz w:val="24"/>
          <w:szCs w:val="24"/>
        </w:rPr>
        <w:t xml:space="preserve"> to pay respondent`s costs</w:t>
      </w:r>
      <w:r w:rsidR="005432FF" w:rsidRPr="00A64313">
        <w:rPr>
          <w:rFonts w:ascii="Times New Roman" w:hAnsi="Times New Roman" w:cs="Times New Roman"/>
          <w:sz w:val="24"/>
          <w:szCs w:val="24"/>
        </w:rPr>
        <w:t xml:space="preserve"> of suit</w:t>
      </w:r>
      <w:r w:rsidRPr="00A64313">
        <w:rPr>
          <w:rFonts w:ascii="Times New Roman" w:hAnsi="Times New Roman" w:cs="Times New Roman"/>
          <w:sz w:val="24"/>
          <w:szCs w:val="24"/>
        </w:rPr>
        <w:t>.</w:t>
      </w:r>
    </w:p>
    <w:p w14:paraId="6FBD0BD7" w14:textId="77777777" w:rsidR="00C6616E" w:rsidRDefault="00C6616E" w:rsidP="0096252A">
      <w:pPr>
        <w:pStyle w:val="NoSpacing"/>
        <w:spacing w:line="360" w:lineRule="auto"/>
        <w:jc w:val="both"/>
        <w:rPr>
          <w:rFonts w:ascii="Times New Roman" w:eastAsia="Calibri" w:hAnsi="Times New Roman" w:cs="Times New Roman"/>
          <w:kern w:val="0"/>
          <w:sz w:val="24"/>
          <w:szCs w:val="24"/>
          <w:lang w:val="en-US"/>
          <w14:ligatures w14:val="none"/>
        </w:rPr>
      </w:pPr>
    </w:p>
    <w:p w14:paraId="1EAFE965" w14:textId="23845CCE" w:rsidR="00C6616E" w:rsidRPr="0055172F" w:rsidRDefault="00C6616E" w:rsidP="0055172F">
      <w:pPr>
        <w:pStyle w:val="NoSpacing"/>
        <w:rPr>
          <w:rFonts w:ascii="Times New Roman" w:hAnsi="Times New Roman" w:cs="Times New Roman"/>
          <w:sz w:val="24"/>
          <w:szCs w:val="24"/>
        </w:rPr>
      </w:pPr>
      <w:r w:rsidRPr="0055172F">
        <w:rPr>
          <w:rFonts w:ascii="Times New Roman" w:hAnsi="Times New Roman" w:cs="Times New Roman"/>
          <w:i/>
          <w:iCs/>
          <w:sz w:val="24"/>
          <w:szCs w:val="24"/>
        </w:rPr>
        <w:t>Chasi Maguwudze Legal Practice</w:t>
      </w:r>
      <w:r w:rsidRPr="0055172F">
        <w:rPr>
          <w:rFonts w:ascii="Times New Roman" w:hAnsi="Times New Roman" w:cs="Times New Roman"/>
          <w:sz w:val="24"/>
          <w:szCs w:val="24"/>
        </w:rPr>
        <w:t xml:space="preserve"> -applicant</w:t>
      </w:r>
      <w:r w:rsidR="00110C94">
        <w:rPr>
          <w:rFonts w:ascii="Times New Roman" w:hAnsi="Times New Roman" w:cs="Times New Roman"/>
          <w:sz w:val="24"/>
          <w:szCs w:val="24"/>
        </w:rPr>
        <w:t>s`</w:t>
      </w:r>
      <w:r w:rsidRPr="0055172F">
        <w:rPr>
          <w:rFonts w:ascii="Times New Roman" w:hAnsi="Times New Roman" w:cs="Times New Roman"/>
          <w:sz w:val="24"/>
          <w:szCs w:val="24"/>
        </w:rPr>
        <w:t xml:space="preserve"> legal practitioners</w:t>
      </w:r>
    </w:p>
    <w:p w14:paraId="620795A8" w14:textId="3EDF289B" w:rsidR="00C6616E" w:rsidRPr="0055172F" w:rsidRDefault="00C6616E" w:rsidP="0055172F">
      <w:pPr>
        <w:pStyle w:val="NoSpacing"/>
        <w:rPr>
          <w:rFonts w:ascii="Times New Roman" w:hAnsi="Times New Roman" w:cs="Times New Roman"/>
          <w:sz w:val="24"/>
          <w:szCs w:val="24"/>
        </w:rPr>
      </w:pPr>
      <w:r w:rsidRPr="0055172F">
        <w:rPr>
          <w:rFonts w:ascii="Times New Roman" w:hAnsi="Times New Roman" w:cs="Times New Roman"/>
          <w:i/>
          <w:iCs/>
          <w:sz w:val="24"/>
          <w:szCs w:val="24"/>
        </w:rPr>
        <w:t>Chinawa Law Chambers</w:t>
      </w:r>
      <w:r w:rsidRPr="0055172F">
        <w:rPr>
          <w:rFonts w:ascii="Times New Roman" w:hAnsi="Times New Roman" w:cs="Times New Roman"/>
          <w:sz w:val="24"/>
          <w:szCs w:val="24"/>
        </w:rPr>
        <w:t xml:space="preserve"> -respondent`s legal practitioners.</w:t>
      </w:r>
    </w:p>
    <w:p w14:paraId="450FD011" w14:textId="77777777" w:rsidR="00C6616E" w:rsidRDefault="00C6616E" w:rsidP="0096252A">
      <w:pPr>
        <w:pStyle w:val="NoSpacing"/>
        <w:spacing w:line="360" w:lineRule="auto"/>
        <w:jc w:val="both"/>
        <w:rPr>
          <w:rFonts w:ascii="Times New Roman" w:eastAsia="Calibri" w:hAnsi="Times New Roman" w:cs="Times New Roman"/>
          <w:kern w:val="0"/>
          <w:sz w:val="24"/>
          <w:szCs w:val="24"/>
          <w:lang w:val="en-US"/>
          <w14:ligatures w14:val="none"/>
        </w:rPr>
      </w:pPr>
    </w:p>
    <w:p w14:paraId="4F1A053F" w14:textId="07015FCB" w:rsidR="00C6616E" w:rsidRPr="00C6616E" w:rsidRDefault="00C6616E" w:rsidP="0096252A">
      <w:pPr>
        <w:pStyle w:val="NoSpacing"/>
        <w:spacing w:line="360" w:lineRule="auto"/>
        <w:jc w:val="both"/>
        <w:rPr>
          <w:rFonts w:ascii="Times New Roman" w:eastAsia="Calibri" w:hAnsi="Times New Roman" w:cs="Times New Roman"/>
          <w:b/>
          <w:bCs/>
          <w:kern w:val="0"/>
          <w:sz w:val="16"/>
          <w:szCs w:val="16"/>
          <w:lang w:val="en-US"/>
          <w14:ligatures w14:val="none"/>
        </w:rPr>
      </w:pPr>
      <w:r>
        <w:rPr>
          <w:rFonts w:ascii="Times New Roman" w:eastAsia="Calibri" w:hAnsi="Times New Roman" w:cs="Times New Roman"/>
          <w:kern w:val="0"/>
          <w:sz w:val="24"/>
          <w:szCs w:val="24"/>
          <w:lang w:val="en-US"/>
          <w14:ligatures w14:val="none"/>
        </w:rPr>
        <w:t xml:space="preserve">                                                                                                           </w:t>
      </w:r>
      <w:r w:rsidRPr="00C6616E">
        <w:rPr>
          <w:rFonts w:ascii="Times New Roman" w:eastAsia="Calibri" w:hAnsi="Times New Roman" w:cs="Times New Roman"/>
          <w:b/>
          <w:bCs/>
          <w:kern w:val="0"/>
          <w:sz w:val="16"/>
          <w:szCs w:val="16"/>
          <w:lang w:val="en-US"/>
          <w14:ligatures w14:val="none"/>
        </w:rPr>
        <w:t>[CHILIMBE J___9/10/24]</w:t>
      </w:r>
    </w:p>
    <w:p w14:paraId="5A2D784B" w14:textId="77777777" w:rsidR="00C6616E" w:rsidRDefault="00C6616E" w:rsidP="0096252A">
      <w:pPr>
        <w:pStyle w:val="NoSpacing"/>
        <w:spacing w:line="360" w:lineRule="auto"/>
        <w:jc w:val="both"/>
        <w:rPr>
          <w:rFonts w:ascii="Times New Roman" w:eastAsia="Calibri" w:hAnsi="Times New Roman" w:cs="Times New Roman"/>
          <w:kern w:val="0"/>
          <w:sz w:val="24"/>
          <w:szCs w:val="24"/>
          <w:lang w:val="en-US"/>
          <w14:ligatures w14:val="none"/>
        </w:rPr>
      </w:pPr>
    </w:p>
    <w:p w14:paraId="2E396D69" w14:textId="77777777" w:rsidR="00C6616E" w:rsidRDefault="00C6616E" w:rsidP="0096252A">
      <w:pPr>
        <w:pStyle w:val="NoSpacing"/>
        <w:spacing w:line="360" w:lineRule="auto"/>
        <w:jc w:val="both"/>
        <w:rPr>
          <w:rFonts w:ascii="Times New Roman" w:eastAsia="Calibri" w:hAnsi="Times New Roman" w:cs="Times New Roman"/>
          <w:kern w:val="0"/>
          <w:sz w:val="24"/>
          <w:szCs w:val="24"/>
          <w:lang w:val="en-US"/>
          <w14:ligatures w14:val="none"/>
        </w:rPr>
      </w:pPr>
    </w:p>
    <w:p w14:paraId="35C0F10A" w14:textId="77777777" w:rsidR="00C6616E" w:rsidRDefault="00C6616E" w:rsidP="0096252A">
      <w:pPr>
        <w:pStyle w:val="NoSpacing"/>
        <w:spacing w:line="360" w:lineRule="auto"/>
        <w:jc w:val="both"/>
        <w:rPr>
          <w:rFonts w:ascii="Times New Roman" w:eastAsia="Calibri" w:hAnsi="Times New Roman" w:cs="Times New Roman"/>
          <w:kern w:val="0"/>
          <w:sz w:val="24"/>
          <w:szCs w:val="24"/>
          <w:lang w:val="en-US"/>
          <w14:ligatures w14:val="none"/>
        </w:rPr>
      </w:pPr>
    </w:p>
    <w:p w14:paraId="375C288B" w14:textId="77777777" w:rsidR="006D2397" w:rsidRDefault="006D2397" w:rsidP="0096252A">
      <w:pPr>
        <w:pStyle w:val="NoSpacing"/>
        <w:spacing w:line="360" w:lineRule="auto"/>
        <w:jc w:val="both"/>
        <w:rPr>
          <w:rFonts w:ascii="Times New Roman" w:eastAsia="Calibri" w:hAnsi="Times New Roman" w:cs="Times New Roman"/>
          <w:kern w:val="0"/>
          <w:sz w:val="24"/>
          <w:szCs w:val="24"/>
          <w:lang w:val="en-US"/>
          <w14:ligatures w14:val="none"/>
        </w:rPr>
      </w:pPr>
    </w:p>
    <w:p w14:paraId="14086028" w14:textId="7E22CC2F" w:rsidR="006D2397" w:rsidRDefault="006D2397" w:rsidP="0096252A">
      <w:pPr>
        <w:pStyle w:val="NoSpacing"/>
        <w:spacing w:line="360" w:lineRule="auto"/>
        <w:jc w:val="both"/>
      </w:pPr>
      <w:r>
        <w:rPr>
          <w:rFonts w:ascii="Times New Roman" w:eastAsia="Calibri" w:hAnsi="Times New Roman" w:cs="Times New Roman"/>
          <w:kern w:val="0"/>
          <w:sz w:val="24"/>
          <w:szCs w:val="24"/>
          <w:lang w:val="en-US"/>
          <w14:ligatures w14:val="none"/>
        </w:rPr>
        <w:t xml:space="preserve"> </w:t>
      </w:r>
    </w:p>
    <w:p w14:paraId="440CE1FD" w14:textId="77777777" w:rsidR="006D2397" w:rsidRDefault="006D2397" w:rsidP="0096252A">
      <w:pPr>
        <w:pStyle w:val="NoSpacing"/>
        <w:spacing w:line="360" w:lineRule="auto"/>
        <w:jc w:val="both"/>
      </w:pPr>
    </w:p>
    <w:p w14:paraId="1D6AD761" w14:textId="77777777" w:rsidR="009F16AD" w:rsidRDefault="009F16AD" w:rsidP="0096252A">
      <w:pPr>
        <w:pStyle w:val="NoSpacing"/>
        <w:spacing w:line="360" w:lineRule="auto"/>
        <w:jc w:val="both"/>
        <w:rPr>
          <w:rFonts w:ascii="Times New Roman" w:eastAsia="Calibri" w:hAnsi="Times New Roman" w:cs="Times New Roman"/>
          <w:kern w:val="0"/>
          <w:sz w:val="24"/>
          <w:szCs w:val="24"/>
          <w:lang w:val="en-US"/>
          <w14:ligatures w14:val="none"/>
        </w:rPr>
      </w:pPr>
    </w:p>
    <w:p w14:paraId="641C7BEC" w14:textId="77777777" w:rsidR="009F16AD" w:rsidRPr="00E30B80" w:rsidRDefault="009F16AD" w:rsidP="0096252A">
      <w:pPr>
        <w:pStyle w:val="NoSpacing"/>
        <w:spacing w:line="360" w:lineRule="auto"/>
        <w:jc w:val="both"/>
        <w:rPr>
          <w:rFonts w:ascii="Times New Roman" w:hAnsi="Times New Roman" w:cs="Times New Roman"/>
          <w:sz w:val="24"/>
          <w:szCs w:val="24"/>
        </w:rPr>
      </w:pPr>
    </w:p>
    <w:sectPr w:rsidR="009F16AD" w:rsidRPr="00E30B8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71D11" w14:textId="77777777" w:rsidR="00DA4930" w:rsidRDefault="00DA4930" w:rsidP="00DB7BE1">
      <w:pPr>
        <w:spacing w:after="0" w:line="240" w:lineRule="auto"/>
      </w:pPr>
      <w:r>
        <w:separator/>
      </w:r>
    </w:p>
  </w:endnote>
  <w:endnote w:type="continuationSeparator" w:id="0">
    <w:p w14:paraId="39FF17BB" w14:textId="77777777" w:rsidR="00DA4930" w:rsidRDefault="00DA4930" w:rsidP="00DB7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B2A08" w14:textId="77777777" w:rsidR="00DA4930" w:rsidRDefault="00DA4930" w:rsidP="00DB7BE1">
      <w:pPr>
        <w:spacing w:after="0" w:line="240" w:lineRule="auto"/>
      </w:pPr>
      <w:r>
        <w:separator/>
      </w:r>
    </w:p>
  </w:footnote>
  <w:footnote w:type="continuationSeparator" w:id="0">
    <w:p w14:paraId="3184904D" w14:textId="77777777" w:rsidR="00DA4930" w:rsidRDefault="00DA4930" w:rsidP="00DB7BE1">
      <w:pPr>
        <w:spacing w:after="0" w:line="240" w:lineRule="auto"/>
      </w:pPr>
      <w:r>
        <w:continuationSeparator/>
      </w:r>
    </w:p>
  </w:footnote>
  <w:footnote w:id="1">
    <w:p w14:paraId="7EF39AD3" w14:textId="3E238633" w:rsidR="006B5664" w:rsidRPr="002053E7" w:rsidRDefault="006B5664" w:rsidP="006C5F67">
      <w:pPr>
        <w:pStyle w:val="NoSpacing"/>
        <w:jc w:val="both"/>
        <w:rPr>
          <w:sz w:val="18"/>
          <w:szCs w:val="18"/>
        </w:rPr>
      </w:pPr>
      <w:r>
        <w:rPr>
          <w:rStyle w:val="FootnoteReference"/>
        </w:rPr>
        <w:footnoteRef/>
      </w:r>
      <w:r>
        <w:t xml:space="preserve"> </w:t>
      </w:r>
      <w:r w:rsidR="00506D51" w:rsidRPr="002053E7">
        <w:rPr>
          <w:sz w:val="18"/>
          <w:szCs w:val="18"/>
        </w:rPr>
        <w:t xml:space="preserve">See </w:t>
      </w:r>
      <w:r w:rsidR="00506D51" w:rsidRPr="002053E7">
        <w:rPr>
          <w:i/>
          <w:iCs/>
          <w:sz w:val="18"/>
          <w:szCs w:val="18"/>
        </w:rPr>
        <w:t>also Galante v Galante</w:t>
      </w:r>
      <w:r w:rsidR="00506D51" w:rsidRPr="002053E7">
        <w:rPr>
          <w:iCs/>
          <w:sz w:val="18"/>
          <w:szCs w:val="18"/>
        </w:rPr>
        <w:t xml:space="preserve"> (2) 2002 (2) ZLR 522 (H)</w:t>
      </w:r>
      <w:r w:rsidR="00506D51" w:rsidRPr="002053E7">
        <w:rPr>
          <w:sz w:val="18"/>
          <w:szCs w:val="18"/>
        </w:rPr>
        <w:t xml:space="preserve">; </w:t>
      </w:r>
      <w:r w:rsidR="00506D51" w:rsidRPr="002053E7">
        <w:rPr>
          <w:i/>
          <w:iCs/>
          <w:sz w:val="18"/>
          <w:szCs w:val="18"/>
        </w:rPr>
        <w:t>National Police Service Union &amp; Others v Minister of Safety &amp; Security &amp; Others</w:t>
      </w:r>
      <w:r w:rsidR="00506D51" w:rsidRPr="002053E7">
        <w:rPr>
          <w:sz w:val="18"/>
          <w:szCs w:val="18"/>
        </w:rPr>
        <w:t xml:space="preserve"> (2000) ZACC 15; 2000(4) SA 1110 (CC), </w:t>
      </w:r>
      <w:bookmarkStart w:id="1" w:name="_Hlk134777180"/>
      <w:r w:rsidR="00506D51" w:rsidRPr="002053E7">
        <w:rPr>
          <w:i/>
          <w:iCs/>
          <w:sz w:val="18"/>
          <w:szCs w:val="18"/>
        </w:rPr>
        <w:t>Myburgh Transport v Botha</w:t>
      </w:r>
      <w:r w:rsidR="00506D51" w:rsidRPr="002053E7">
        <w:rPr>
          <w:sz w:val="18"/>
          <w:szCs w:val="18"/>
        </w:rPr>
        <w:t xml:space="preserve"> 1991 (3) SA 310; </w:t>
      </w:r>
      <w:r w:rsidR="00506D51" w:rsidRPr="002053E7">
        <w:rPr>
          <w:i/>
          <w:iCs/>
          <w:sz w:val="18"/>
          <w:szCs w:val="18"/>
        </w:rPr>
        <w:t>R v Zackey</w:t>
      </w:r>
      <w:r w:rsidR="00506D51" w:rsidRPr="002053E7">
        <w:rPr>
          <w:sz w:val="18"/>
          <w:szCs w:val="18"/>
        </w:rPr>
        <w:t xml:space="preserve"> 1945 </w:t>
      </w:r>
      <w:bookmarkEnd w:id="1"/>
      <w:r w:rsidR="00506D51" w:rsidRPr="002053E7">
        <w:rPr>
          <w:sz w:val="18"/>
          <w:szCs w:val="18"/>
        </w:rPr>
        <w:t xml:space="preserve">(AD) 505; </w:t>
      </w:r>
      <w:r w:rsidR="00506D51" w:rsidRPr="002053E7">
        <w:rPr>
          <w:i/>
          <w:iCs/>
          <w:sz w:val="18"/>
          <w:szCs w:val="18"/>
        </w:rPr>
        <w:t>Joshua v Joshua</w:t>
      </w:r>
      <w:r w:rsidR="00506D51" w:rsidRPr="002053E7">
        <w:rPr>
          <w:sz w:val="18"/>
          <w:szCs w:val="18"/>
        </w:rPr>
        <w:t xml:space="preserve"> 1961 (1) SA 455,</w:t>
      </w:r>
      <w:r w:rsidR="00506D51" w:rsidRPr="002053E7">
        <w:rPr>
          <w:sz w:val="18"/>
          <w:szCs w:val="18"/>
          <w:lang w:val="en-US"/>
        </w:rPr>
        <w:t xml:space="preserve"> </w:t>
      </w:r>
      <w:r w:rsidR="00506D51" w:rsidRPr="002053E7">
        <w:rPr>
          <w:i/>
          <w:iCs/>
          <w:sz w:val="18"/>
          <w:szCs w:val="18"/>
          <w:lang w:val="en-US"/>
        </w:rPr>
        <w:t>Apex Holdings (Pvt) Ltd v Venetian Blinds Specialists Ltd</w:t>
      </w:r>
      <w:r w:rsidR="00506D51" w:rsidRPr="002053E7">
        <w:rPr>
          <w:sz w:val="18"/>
          <w:szCs w:val="18"/>
          <w:lang w:val="en-US"/>
        </w:rPr>
        <w:t xml:space="preserve"> SC 33</w:t>
      </w:r>
      <w:r w:rsidR="002053E7">
        <w:rPr>
          <w:sz w:val="18"/>
          <w:szCs w:val="18"/>
          <w:lang w:val="en-US"/>
        </w:rPr>
        <w:t>-</w:t>
      </w:r>
      <w:r w:rsidR="00506D51" w:rsidRPr="002053E7">
        <w:rPr>
          <w:sz w:val="18"/>
          <w:szCs w:val="18"/>
          <w:lang w:val="en-US"/>
        </w:rPr>
        <w:t xml:space="preserve">2015 and </w:t>
      </w:r>
      <w:r w:rsidR="00506D51" w:rsidRPr="002053E7">
        <w:rPr>
          <w:bCs/>
          <w:i/>
          <w:sz w:val="18"/>
          <w:szCs w:val="18"/>
        </w:rPr>
        <w:t>Stonewell   Searches (Private) Limited v Stone     Holdings (Private) Limited</w:t>
      </w:r>
      <w:r w:rsidR="00506D51" w:rsidRPr="002053E7">
        <w:rPr>
          <w:bCs/>
          <w:iCs/>
          <w:sz w:val="18"/>
          <w:szCs w:val="18"/>
        </w:rPr>
        <w:t xml:space="preserve">    &amp; 2 Others</w:t>
      </w:r>
      <w:r w:rsidR="00506D51" w:rsidRPr="002053E7">
        <w:rPr>
          <w:bCs/>
          <w:sz w:val="18"/>
          <w:szCs w:val="18"/>
        </w:rPr>
        <w:t xml:space="preserve"> SC 22-21.</w:t>
      </w:r>
    </w:p>
  </w:footnote>
  <w:footnote w:id="2">
    <w:p w14:paraId="788E29C6" w14:textId="5D7471CA" w:rsidR="00572BEE" w:rsidRPr="002053E7" w:rsidRDefault="00572BEE" w:rsidP="006C5F67">
      <w:pPr>
        <w:pStyle w:val="FootnoteText"/>
        <w:jc w:val="both"/>
        <w:rPr>
          <w:sz w:val="18"/>
          <w:szCs w:val="18"/>
        </w:rPr>
      </w:pPr>
      <w:r w:rsidRPr="002053E7">
        <w:rPr>
          <w:rStyle w:val="FootnoteReference"/>
          <w:sz w:val="18"/>
          <w:szCs w:val="18"/>
        </w:rPr>
        <w:footnoteRef/>
      </w:r>
      <w:r w:rsidRPr="002053E7">
        <w:rPr>
          <w:sz w:val="18"/>
          <w:szCs w:val="18"/>
        </w:rPr>
        <w:t xml:space="preserve"> See also rule 2 as read with the Second Schedule among others. </w:t>
      </w:r>
    </w:p>
  </w:footnote>
  <w:footnote w:id="3">
    <w:p w14:paraId="450DD75B" w14:textId="6CB23A77" w:rsidR="009A27F4" w:rsidRPr="009A27F4" w:rsidRDefault="009A27F4">
      <w:pPr>
        <w:pStyle w:val="FootnoteText"/>
        <w:rPr>
          <w:sz w:val="18"/>
          <w:szCs w:val="18"/>
        </w:rPr>
      </w:pPr>
      <w:r w:rsidRPr="009A27F4">
        <w:rPr>
          <w:rStyle w:val="FootnoteReference"/>
          <w:sz w:val="18"/>
          <w:szCs w:val="18"/>
        </w:rPr>
        <w:footnoteRef/>
      </w:r>
      <w:r w:rsidRPr="009A27F4">
        <w:rPr>
          <w:sz w:val="18"/>
          <w:szCs w:val="18"/>
        </w:rPr>
        <w:t xml:space="preserve">  </w:t>
      </w:r>
      <w:r w:rsidRPr="009A27F4">
        <w:rPr>
          <w:i/>
          <w:iCs/>
          <w:sz w:val="18"/>
          <w:szCs w:val="18"/>
        </w:rPr>
        <w:t>Kombayi v Berkout</w:t>
      </w:r>
      <w:r w:rsidRPr="009A27F4">
        <w:rPr>
          <w:sz w:val="18"/>
          <w:szCs w:val="18"/>
        </w:rPr>
        <w:t xml:space="preserve"> 1988 (1) ZLR 53 (S); </w:t>
      </w:r>
      <w:r w:rsidRPr="009A27F4">
        <w:rPr>
          <w:i/>
          <w:iCs/>
          <w:sz w:val="18"/>
          <w:szCs w:val="18"/>
        </w:rPr>
        <w:t>Zimslate Quartize (Pvt) Ltd &amp; Others v Central African Building Society</w:t>
      </w:r>
      <w:r w:rsidRPr="009A27F4">
        <w:rPr>
          <w:sz w:val="18"/>
          <w:szCs w:val="18"/>
        </w:rPr>
        <w:t xml:space="preserve"> SC 34-17; </w:t>
      </w:r>
      <w:r w:rsidRPr="009A27F4">
        <w:rPr>
          <w:i/>
          <w:iCs/>
          <w:sz w:val="18"/>
          <w:szCs w:val="18"/>
        </w:rPr>
        <w:t>Mzite v Damafalls Investment (Pvt) Ltd &amp; Anor</w:t>
      </w:r>
      <w:r w:rsidRPr="009A27F4">
        <w:rPr>
          <w:sz w:val="18"/>
          <w:szCs w:val="18"/>
        </w:rPr>
        <w:t xml:space="preserve"> SC21-18 and </w:t>
      </w:r>
      <w:r w:rsidRPr="009A27F4">
        <w:rPr>
          <w:i/>
          <w:iCs/>
          <w:sz w:val="18"/>
          <w:szCs w:val="18"/>
        </w:rPr>
        <w:t>Bonnyview Estates (Pvt) Ltd vs Zimbabwe Platinum Mines (Pvt) Ltd &amp; Anor</w:t>
      </w:r>
      <w:r w:rsidRPr="009A27F4">
        <w:rPr>
          <w:sz w:val="18"/>
          <w:szCs w:val="18"/>
        </w:rPr>
        <w:t xml:space="preserve"> SC 58-18.</w:t>
      </w:r>
    </w:p>
  </w:footnote>
  <w:footnote w:id="4">
    <w:p w14:paraId="48BB3057" w14:textId="2B5A21E1" w:rsidR="000D7EC3" w:rsidRPr="000D7EC3" w:rsidRDefault="000D7EC3">
      <w:pPr>
        <w:pStyle w:val="FootnoteText"/>
        <w:rPr>
          <w:rFonts w:cstheme="minorHAnsi"/>
          <w:sz w:val="18"/>
          <w:szCs w:val="18"/>
        </w:rPr>
      </w:pPr>
      <w:r>
        <w:rPr>
          <w:rStyle w:val="FootnoteReference"/>
        </w:rPr>
        <w:footnoteRef/>
      </w:r>
      <w:r>
        <w:t xml:space="preserve"> </w:t>
      </w:r>
      <w:r w:rsidRPr="000D7EC3">
        <w:rPr>
          <w:rFonts w:cstheme="minorHAnsi"/>
          <w:sz w:val="18"/>
          <w:szCs w:val="18"/>
        </w:rPr>
        <w:t xml:space="preserve">(See also </w:t>
      </w:r>
      <w:r w:rsidRPr="000D7EC3">
        <w:rPr>
          <w:rFonts w:cstheme="minorHAnsi"/>
          <w:i/>
          <w:iCs/>
          <w:sz w:val="18"/>
          <w:szCs w:val="18"/>
        </w:rPr>
        <w:t>Grandwell Holdings (Pvt) Ltd v Minister of Mines and Mining Development &amp; 4 Ors</w:t>
      </w:r>
      <w:r w:rsidRPr="000D7EC3">
        <w:rPr>
          <w:rFonts w:cstheme="minorHAnsi"/>
          <w:sz w:val="18"/>
          <w:szCs w:val="18"/>
        </w:rPr>
        <w:t xml:space="preserve"> and the authorities discussed therein).</w:t>
      </w:r>
    </w:p>
  </w:footnote>
  <w:footnote w:id="5">
    <w:p w14:paraId="58C7E46E" w14:textId="39400DF9" w:rsidR="007A7E00" w:rsidRDefault="007A7E00">
      <w:pPr>
        <w:pStyle w:val="FootnoteText"/>
      </w:pPr>
      <w:r>
        <w:rPr>
          <w:rStyle w:val="FootnoteReference"/>
        </w:rPr>
        <w:footnoteRef/>
      </w:r>
      <w:r>
        <w:t xml:space="preserve"> </w:t>
      </w:r>
      <w:r w:rsidRPr="007A7E00">
        <w:rPr>
          <w:rFonts w:cstheme="minorHAnsi"/>
          <w:sz w:val="18"/>
          <w:szCs w:val="18"/>
        </w:rPr>
        <w:t xml:space="preserve">The Supreme Court cited with approval the remarks of </w:t>
      </w:r>
      <w:r>
        <w:rPr>
          <w:rFonts w:cstheme="minorHAnsi"/>
          <w:sz w:val="18"/>
          <w:szCs w:val="18"/>
        </w:rPr>
        <w:t xml:space="preserve">this court per </w:t>
      </w:r>
      <w:r w:rsidRPr="007A7E00">
        <w:rPr>
          <w:rFonts w:cstheme="minorHAnsi"/>
          <w:sz w:val="18"/>
          <w:szCs w:val="18"/>
        </w:rPr>
        <w:t xml:space="preserve">CHITAPI J in </w:t>
      </w:r>
      <w:r w:rsidRPr="007A7E00">
        <w:rPr>
          <w:rFonts w:eastAsia="Times New Roman" w:cstheme="minorHAnsi"/>
          <w:i/>
          <w:iCs/>
          <w:color w:val="000000"/>
          <w:kern w:val="0"/>
          <w:sz w:val="18"/>
          <w:szCs w:val="18"/>
          <w:lang w:val="en-US"/>
          <w14:ligatures w14:val="none"/>
        </w:rPr>
        <w:t>Chikwinya and Ors v Mudenda N. O &amp;</w:t>
      </w:r>
      <w:r w:rsidRPr="007A7E00">
        <w:rPr>
          <w:rFonts w:eastAsia="Times New Roman" w:cstheme="minorHAnsi"/>
          <w:color w:val="000000"/>
          <w:kern w:val="0"/>
          <w:sz w:val="18"/>
          <w:szCs w:val="18"/>
          <w:lang w:val="en-US"/>
          <w14:ligatures w14:val="none"/>
        </w:rPr>
        <w:t xml:space="preserve"> </w:t>
      </w:r>
      <w:r w:rsidRPr="007A7E00">
        <w:rPr>
          <w:rFonts w:eastAsia="Times New Roman" w:cstheme="minorHAnsi"/>
          <w:i/>
          <w:iCs/>
          <w:color w:val="000000"/>
          <w:kern w:val="0"/>
          <w:sz w:val="18"/>
          <w:szCs w:val="18"/>
          <w:lang w:val="en-US"/>
          <w14:ligatures w14:val="none"/>
        </w:rPr>
        <w:t>Ors</w:t>
      </w:r>
      <w:r w:rsidRPr="007A7E00">
        <w:rPr>
          <w:rFonts w:eastAsia="Times New Roman" w:cstheme="minorHAnsi"/>
          <w:color w:val="000000"/>
          <w:kern w:val="0"/>
          <w:sz w:val="18"/>
          <w:szCs w:val="18"/>
          <w:lang w:val="en-US"/>
          <w14:ligatures w14:val="none"/>
        </w:rPr>
        <w:t xml:space="preserve"> HH 48/22</w:t>
      </w:r>
      <w:r>
        <w:rPr>
          <w:rFonts w:eastAsia="Times New Roman" w:cstheme="minorHAnsi"/>
          <w:color w:val="000000"/>
          <w:kern w:val="0"/>
          <w:sz w:val="18"/>
          <w:szCs w:val="18"/>
          <w:lang w:val="en-US"/>
          <w14:ligatures w14:val="none"/>
        </w:rPr>
        <w:t xml:space="preserve">. See also the survey of relevant authorities on the matter by MUNGWARI J in </w:t>
      </w:r>
      <w:r w:rsidRPr="007A7E00">
        <w:rPr>
          <w:rFonts w:eastAsia="Times New Roman" w:cstheme="minorHAnsi"/>
          <w:i/>
          <w:iCs/>
          <w:color w:val="000000"/>
          <w:kern w:val="0"/>
          <w:sz w:val="18"/>
          <w:szCs w:val="18"/>
          <w:lang w:val="en-US"/>
          <w14:ligatures w14:val="none"/>
        </w:rPr>
        <w:t>Pulserate Investments (Pvt) Ltd v Zuze &amp; 5 Ors</w:t>
      </w:r>
      <w:r>
        <w:rPr>
          <w:rFonts w:eastAsia="Times New Roman" w:cstheme="minorHAnsi"/>
          <w:color w:val="000000"/>
          <w:kern w:val="0"/>
          <w:sz w:val="18"/>
          <w:szCs w:val="18"/>
          <w:lang w:val="en-US"/>
          <w14:ligatures w14:val="none"/>
        </w:rPr>
        <w:t xml:space="preserve"> HH 656-23.</w:t>
      </w:r>
    </w:p>
  </w:footnote>
  <w:footnote w:id="6">
    <w:p w14:paraId="7504150F" w14:textId="41006994" w:rsidR="00556687" w:rsidRPr="00556687" w:rsidRDefault="00556687">
      <w:pPr>
        <w:pStyle w:val="FootnoteText"/>
        <w:rPr>
          <w:rFonts w:cstheme="minorHAnsi"/>
          <w:sz w:val="18"/>
          <w:szCs w:val="18"/>
        </w:rPr>
      </w:pPr>
      <w:r>
        <w:rPr>
          <w:rStyle w:val="FootnoteReference"/>
        </w:rPr>
        <w:footnoteRef/>
      </w:r>
      <w:r>
        <w:t xml:space="preserve"> </w:t>
      </w:r>
      <w:r w:rsidRPr="00556687">
        <w:rPr>
          <w:rFonts w:cstheme="minorHAnsi"/>
          <w:sz w:val="18"/>
          <w:szCs w:val="18"/>
        </w:rPr>
        <w:t xml:space="preserve">See </w:t>
      </w:r>
      <w:r w:rsidRPr="00556687">
        <w:rPr>
          <w:rFonts w:cstheme="minorHAnsi"/>
          <w:i/>
          <w:iCs/>
          <w:sz w:val="18"/>
          <w:szCs w:val="18"/>
        </w:rPr>
        <w:t>Kombayi v Berkout</w:t>
      </w:r>
      <w:r w:rsidRPr="00556687">
        <w:rPr>
          <w:rFonts w:cstheme="minorHAnsi"/>
          <w:sz w:val="18"/>
          <w:szCs w:val="18"/>
        </w:rPr>
        <w:t xml:space="preserve"> (supra) ;</w:t>
      </w:r>
      <w:r w:rsidRPr="00556687">
        <w:rPr>
          <w:rFonts w:eastAsia="Calibri" w:cstheme="minorHAnsi"/>
          <w:i/>
          <w:kern w:val="0"/>
          <w:sz w:val="18"/>
          <w:szCs w:val="18"/>
          <w:lang w:val="en-US"/>
          <w14:ligatures w14:val="none"/>
        </w:rPr>
        <w:t xml:space="preserve"> Jensen </w:t>
      </w:r>
      <w:r w:rsidRPr="00556687">
        <w:rPr>
          <w:rFonts w:eastAsia="Calibri" w:cstheme="minorHAnsi"/>
          <w:iCs/>
          <w:kern w:val="0"/>
          <w:sz w:val="18"/>
          <w:szCs w:val="18"/>
          <w:lang w:val="en-US"/>
          <w14:ligatures w14:val="none"/>
        </w:rPr>
        <w:t xml:space="preserve">v </w:t>
      </w:r>
      <w:r w:rsidRPr="00556687">
        <w:rPr>
          <w:rFonts w:eastAsia="Calibri" w:cstheme="minorHAnsi"/>
          <w:i/>
          <w:kern w:val="0"/>
          <w:sz w:val="18"/>
          <w:szCs w:val="18"/>
          <w:lang w:val="en-US"/>
          <w14:ligatures w14:val="none"/>
        </w:rPr>
        <w:t>Acavalos</w:t>
      </w:r>
      <w:r w:rsidRPr="00556687">
        <w:rPr>
          <w:rFonts w:eastAsia="Calibri" w:cstheme="minorHAnsi"/>
          <w:kern w:val="0"/>
          <w:sz w:val="18"/>
          <w:szCs w:val="18"/>
          <w:lang w:val="en-US"/>
          <w14:ligatures w14:val="none"/>
        </w:rPr>
        <w:t xml:space="preserve"> 1993 (1) ZLR 216 (SC);</w:t>
      </w:r>
      <w:r w:rsidRPr="00556687">
        <w:rPr>
          <w:rFonts w:eastAsia="Calibri" w:cstheme="minorHAnsi"/>
          <w:i/>
          <w:kern w:val="0"/>
          <w:sz w:val="18"/>
          <w:szCs w:val="18"/>
          <w:lang w:val="en-US"/>
          <w14:ligatures w14:val="none"/>
        </w:rPr>
        <w:t xml:space="preserve"> Kodzwa </w:t>
      </w:r>
      <w:r w:rsidRPr="00556687">
        <w:rPr>
          <w:rFonts w:eastAsia="Calibri" w:cstheme="minorHAnsi"/>
          <w:iCs/>
          <w:kern w:val="0"/>
          <w:sz w:val="18"/>
          <w:szCs w:val="18"/>
          <w:lang w:val="en-US"/>
          <w14:ligatures w14:val="none"/>
        </w:rPr>
        <w:t>v</w:t>
      </w:r>
      <w:r w:rsidRPr="00556687">
        <w:rPr>
          <w:rFonts w:eastAsia="Calibri" w:cstheme="minorHAnsi"/>
          <w:i/>
          <w:kern w:val="0"/>
          <w:sz w:val="18"/>
          <w:szCs w:val="18"/>
          <w:lang w:val="en-US"/>
          <w14:ligatures w14:val="none"/>
        </w:rPr>
        <w:t xml:space="preserve"> Secretary for Health &amp; Anor </w:t>
      </w:r>
      <w:r w:rsidRPr="00556687">
        <w:rPr>
          <w:rFonts w:eastAsia="Calibri" w:cstheme="minorHAnsi"/>
          <w:kern w:val="0"/>
          <w:sz w:val="18"/>
          <w:szCs w:val="18"/>
          <w:lang w:val="en-US"/>
          <w14:ligatures w14:val="none"/>
        </w:rPr>
        <w:t xml:space="preserve">1999 (1) ZLR 313;and </w:t>
      </w:r>
      <w:r w:rsidRPr="00556687">
        <w:rPr>
          <w:rFonts w:eastAsia="Calibri" w:cstheme="minorHAnsi"/>
          <w:i/>
          <w:kern w:val="0"/>
          <w:sz w:val="18"/>
          <w:szCs w:val="18"/>
          <w14:ligatures w14:val="none"/>
        </w:rPr>
        <w:t xml:space="preserve">Rinos Terera </w:t>
      </w:r>
      <w:r w:rsidRPr="00556687">
        <w:rPr>
          <w:rFonts w:eastAsia="Calibri" w:cstheme="minorHAnsi"/>
          <w:iCs/>
          <w:kern w:val="0"/>
          <w:sz w:val="18"/>
          <w:szCs w:val="18"/>
          <w14:ligatures w14:val="none"/>
        </w:rPr>
        <w:t>v</w:t>
      </w:r>
      <w:r w:rsidRPr="00556687">
        <w:rPr>
          <w:rFonts w:eastAsia="Calibri" w:cstheme="minorHAnsi"/>
          <w:i/>
          <w:kern w:val="0"/>
          <w:sz w:val="18"/>
          <w:szCs w:val="18"/>
          <w14:ligatures w14:val="none"/>
        </w:rPr>
        <w:t xml:space="preserve"> Lock &amp; 3 ORS</w:t>
      </w:r>
      <w:r w:rsidRPr="00556687">
        <w:rPr>
          <w:rFonts w:eastAsia="Calibri" w:cstheme="minorHAnsi"/>
          <w:kern w:val="0"/>
          <w:sz w:val="18"/>
          <w:szCs w:val="18"/>
          <w14:ligatures w14:val="none"/>
        </w:rPr>
        <w:t xml:space="preserve"> SC 93/21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0"/>
        <w:szCs w:val="20"/>
      </w:rPr>
      <w:id w:val="2060209492"/>
      <w:docPartObj>
        <w:docPartGallery w:val="Page Numbers (Top of Page)"/>
        <w:docPartUnique/>
      </w:docPartObj>
    </w:sdtPr>
    <w:sdtEndPr>
      <w:rPr>
        <w:noProof/>
      </w:rPr>
    </w:sdtEndPr>
    <w:sdtContent>
      <w:p w14:paraId="1F766402" w14:textId="47A191D9" w:rsidR="00DB7BE1" w:rsidRPr="00C47AA5" w:rsidRDefault="00DB7BE1" w:rsidP="00F62B9C">
        <w:pPr>
          <w:pStyle w:val="Header"/>
          <w:jc w:val="right"/>
          <w:rPr>
            <w:b/>
            <w:bCs/>
            <w:noProof/>
            <w:sz w:val="20"/>
            <w:szCs w:val="20"/>
          </w:rPr>
        </w:pPr>
        <w:r w:rsidRPr="00C47AA5">
          <w:rPr>
            <w:b/>
            <w:bCs/>
            <w:sz w:val="20"/>
            <w:szCs w:val="20"/>
          </w:rPr>
          <w:fldChar w:fldCharType="begin"/>
        </w:r>
        <w:r w:rsidRPr="00C47AA5">
          <w:rPr>
            <w:b/>
            <w:bCs/>
            <w:sz w:val="20"/>
            <w:szCs w:val="20"/>
          </w:rPr>
          <w:instrText xml:space="preserve"> PAGE   \* MERGEFORMAT </w:instrText>
        </w:r>
        <w:r w:rsidRPr="00C47AA5">
          <w:rPr>
            <w:b/>
            <w:bCs/>
            <w:sz w:val="20"/>
            <w:szCs w:val="20"/>
          </w:rPr>
          <w:fldChar w:fldCharType="separate"/>
        </w:r>
        <w:r w:rsidR="00F62B9C">
          <w:rPr>
            <w:b/>
            <w:bCs/>
            <w:noProof/>
            <w:sz w:val="20"/>
            <w:szCs w:val="20"/>
          </w:rPr>
          <w:t>2</w:t>
        </w:r>
        <w:r w:rsidRPr="00C47AA5">
          <w:rPr>
            <w:b/>
            <w:bCs/>
            <w:noProof/>
            <w:sz w:val="20"/>
            <w:szCs w:val="20"/>
          </w:rPr>
          <w:fldChar w:fldCharType="end"/>
        </w:r>
      </w:p>
      <w:p w14:paraId="32AA7F79" w14:textId="78976D4A" w:rsidR="00DB7BE1" w:rsidRPr="00C47AA5" w:rsidRDefault="00DB7BE1" w:rsidP="00F62B9C">
        <w:pPr>
          <w:pStyle w:val="Header"/>
          <w:jc w:val="right"/>
          <w:rPr>
            <w:b/>
            <w:bCs/>
            <w:noProof/>
            <w:sz w:val="20"/>
            <w:szCs w:val="20"/>
          </w:rPr>
        </w:pPr>
        <w:r w:rsidRPr="00C47AA5">
          <w:rPr>
            <w:b/>
            <w:bCs/>
            <w:noProof/>
            <w:sz w:val="20"/>
            <w:szCs w:val="20"/>
          </w:rPr>
          <w:t>HH</w:t>
        </w:r>
        <w:r w:rsidR="00C47AA5" w:rsidRPr="00C47AA5">
          <w:rPr>
            <w:b/>
            <w:bCs/>
            <w:noProof/>
            <w:sz w:val="20"/>
            <w:szCs w:val="20"/>
          </w:rPr>
          <w:t xml:space="preserve"> 454-24</w:t>
        </w:r>
      </w:p>
      <w:p w14:paraId="1444DA2E" w14:textId="1430E414" w:rsidR="00DB7BE1" w:rsidRPr="00C47AA5" w:rsidRDefault="00DB7BE1" w:rsidP="00F62B9C">
        <w:pPr>
          <w:pStyle w:val="Header"/>
          <w:jc w:val="right"/>
          <w:rPr>
            <w:b/>
            <w:bCs/>
            <w:sz w:val="20"/>
            <w:szCs w:val="20"/>
          </w:rPr>
        </w:pPr>
        <w:r w:rsidRPr="00C47AA5">
          <w:rPr>
            <w:b/>
            <w:bCs/>
            <w:noProof/>
            <w:sz w:val="20"/>
            <w:szCs w:val="20"/>
          </w:rPr>
          <w:t>HCHC 67/24</w:t>
        </w:r>
      </w:p>
    </w:sdtContent>
  </w:sdt>
  <w:p w14:paraId="381E210C" w14:textId="77777777" w:rsidR="00DB7BE1" w:rsidRDefault="00DB7B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EA5"/>
    <w:multiLevelType w:val="hybridMultilevel"/>
    <w:tmpl w:val="1FBA68E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7220298"/>
    <w:multiLevelType w:val="hybridMultilevel"/>
    <w:tmpl w:val="6622821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82E4FD4"/>
    <w:multiLevelType w:val="hybridMultilevel"/>
    <w:tmpl w:val="561838D0"/>
    <w:lvl w:ilvl="0" w:tplc="30090017">
      <w:start w:val="1"/>
      <w:numFmt w:val="lowerLetter"/>
      <w:lvlText w:val="%1)"/>
      <w:lvlJc w:val="lef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E1"/>
    <w:rsid w:val="00032D41"/>
    <w:rsid w:val="000A4ED6"/>
    <w:rsid w:val="000D7EC3"/>
    <w:rsid w:val="000E077C"/>
    <w:rsid w:val="000F1858"/>
    <w:rsid w:val="00110C94"/>
    <w:rsid w:val="00185933"/>
    <w:rsid w:val="00190121"/>
    <w:rsid w:val="001C3FFD"/>
    <w:rsid w:val="002053E7"/>
    <w:rsid w:val="00222987"/>
    <w:rsid w:val="00280FB5"/>
    <w:rsid w:val="002A2AE4"/>
    <w:rsid w:val="003821FB"/>
    <w:rsid w:val="003C7DDC"/>
    <w:rsid w:val="003F5130"/>
    <w:rsid w:val="004221E9"/>
    <w:rsid w:val="004266C8"/>
    <w:rsid w:val="0043240A"/>
    <w:rsid w:val="004429B4"/>
    <w:rsid w:val="00497A9C"/>
    <w:rsid w:val="004C6659"/>
    <w:rsid w:val="00506D51"/>
    <w:rsid w:val="005219FD"/>
    <w:rsid w:val="005432FF"/>
    <w:rsid w:val="0055172F"/>
    <w:rsid w:val="00556687"/>
    <w:rsid w:val="00557476"/>
    <w:rsid w:val="00572BEE"/>
    <w:rsid w:val="00676733"/>
    <w:rsid w:val="006B5664"/>
    <w:rsid w:val="006B5C2C"/>
    <w:rsid w:val="006B6102"/>
    <w:rsid w:val="006C5F67"/>
    <w:rsid w:val="006D2397"/>
    <w:rsid w:val="006E184C"/>
    <w:rsid w:val="006F62AB"/>
    <w:rsid w:val="00743640"/>
    <w:rsid w:val="00752165"/>
    <w:rsid w:val="00771D84"/>
    <w:rsid w:val="007A0099"/>
    <w:rsid w:val="007A775B"/>
    <w:rsid w:val="007A7E00"/>
    <w:rsid w:val="007F7590"/>
    <w:rsid w:val="00851871"/>
    <w:rsid w:val="008643C7"/>
    <w:rsid w:val="00892AC2"/>
    <w:rsid w:val="008C55B0"/>
    <w:rsid w:val="008C6B10"/>
    <w:rsid w:val="0096252A"/>
    <w:rsid w:val="009747F3"/>
    <w:rsid w:val="009A27F4"/>
    <w:rsid w:val="009B4CF6"/>
    <w:rsid w:val="009F16AD"/>
    <w:rsid w:val="00A37A69"/>
    <w:rsid w:val="00A64313"/>
    <w:rsid w:val="00A979FF"/>
    <w:rsid w:val="00AA1E7E"/>
    <w:rsid w:val="00AB3E09"/>
    <w:rsid w:val="00AE1E2C"/>
    <w:rsid w:val="00B21B55"/>
    <w:rsid w:val="00B31B58"/>
    <w:rsid w:val="00B3424C"/>
    <w:rsid w:val="00B4171E"/>
    <w:rsid w:val="00B86AA2"/>
    <w:rsid w:val="00BF33DE"/>
    <w:rsid w:val="00C179D4"/>
    <w:rsid w:val="00C47AA5"/>
    <w:rsid w:val="00C6616E"/>
    <w:rsid w:val="00CC1CAE"/>
    <w:rsid w:val="00D02344"/>
    <w:rsid w:val="00D652E4"/>
    <w:rsid w:val="00DA4930"/>
    <w:rsid w:val="00DB7BE1"/>
    <w:rsid w:val="00DE37AF"/>
    <w:rsid w:val="00DE3968"/>
    <w:rsid w:val="00E20D39"/>
    <w:rsid w:val="00E30B80"/>
    <w:rsid w:val="00E53393"/>
    <w:rsid w:val="00EB36CD"/>
    <w:rsid w:val="00F62B9C"/>
    <w:rsid w:val="00F64123"/>
    <w:rsid w:val="00F7384D"/>
    <w:rsid w:val="00FD37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D2A2"/>
  <w15:chartTrackingRefBased/>
  <w15:docId w15:val="{BD6C4196-FB6A-4624-9039-7D649424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BE1"/>
  </w:style>
  <w:style w:type="paragraph" w:styleId="Footer">
    <w:name w:val="footer"/>
    <w:basedOn w:val="Normal"/>
    <w:link w:val="FooterChar"/>
    <w:uiPriority w:val="99"/>
    <w:unhideWhenUsed/>
    <w:rsid w:val="00DB7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BE1"/>
  </w:style>
  <w:style w:type="paragraph" w:styleId="NoSpacing">
    <w:name w:val="No Spacing"/>
    <w:uiPriority w:val="1"/>
    <w:qFormat/>
    <w:rsid w:val="00DB7BE1"/>
    <w:pPr>
      <w:spacing w:after="0" w:line="240" w:lineRule="auto"/>
    </w:pPr>
  </w:style>
  <w:style w:type="paragraph" w:styleId="FootnoteText">
    <w:name w:val="footnote text"/>
    <w:basedOn w:val="Normal"/>
    <w:link w:val="FootnoteTextChar"/>
    <w:uiPriority w:val="99"/>
    <w:unhideWhenUsed/>
    <w:rsid w:val="0096252A"/>
    <w:pPr>
      <w:spacing w:after="0" w:line="240" w:lineRule="auto"/>
    </w:pPr>
    <w:rPr>
      <w:sz w:val="20"/>
      <w:szCs w:val="20"/>
    </w:rPr>
  </w:style>
  <w:style w:type="character" w:customStyle="1" w:styleId="FootnoteTextChar">
    <w:name w:val="Footnote Text Char"/>
    <w:basedOn w:val="DefaultParagraphFont"/>
    <w:link w:val="FootnoteText"/>
    <w:uiPriority w:val="99"/>
    <w:rsid w:val="0096252A"/>
    <w:rPr>
      <w:sz w:val="20"/>
      <w:szCs w:val="20"/>
    </w:rPr>
  </w:style>
  <w:style w:type="character" w:styleId="FootnoteReference">
    <w:name w:val="footnote reference"/>
    <w:basedOn w:val="DefaultParagraphFont"/>
    <w:uiPriority w:val="99"/>
    <w:semiHidden/>
    <w:unhideWhenUsed/>
    <w:rsid w:val="0096252A"/>
    <w:rPr>
      <w:vertAlign w:val="superscript"/>
    </w:rPr>
  </w:style>
  <w:style w:type="paragraph" w:styleId="ListParagraph">
    <w:name w:val="List Paragraph"/>
    <w:basedOn w:val="Normal"/>
    <w:uiPriority w:val="34"/>
    <w:qFormat/>
    <w:rsid w:val="00032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4413</Words>
  <Characters>25157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dcterms:created xsi:type="dcterms:W3CDTF">2024-10-10T12:00:00Z</dcterms:created>
  <dcterms:modified xsi:type="dcterms:W3CDTF">2024-10-10T12:00:00Z</dcterms:modified>
</cp:coreProperties>
</file>