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28368" w14:textId="77777777" w:rsidR="00CC20C9" w:rsidRDefault="00CC20C9" w:rsidP="00CC20C9">
      <w:pPr>
        <w:spacing w:after="0" w:line="240" w:lineRule="auto"/>
        <w:jc w:val="both"/>
        <w:rPr>
          <w:rFonts w:ascii="Times New Roman" w:hAnsi="Times New Roman" w:cs="Times New Roman"/>
          <w:sz w:val="24"/>
          <w:szCs w:val="24"/>
        </w:rPr>
      </w:pPr>
      <w:bookmarkStart w:id="0" w:name="_GoBack"/>
      <w:bookmarkEnd w:id="0"/>
    </w:p>
    <w:p w14:paraId="5BB80C9D" w14:textId="77777777" w:rsidR="00CC20C9" w:rsidRDefault="00CC20C9" w:rsidP="00CC20C9">
      <w:pPr>
        <w:spacing w:after="0" w:line="240" w:lineRule="auto"/>
        <w:jc w:val="both"/>
        <w:rPr>
          <w:rFonts w:ascii="Times New Roman" w:hAnsi="Times New Roman" w:cs="Times New Roman"/>
          <w:sz w:val="24"/>
          <w:szCs w:val="24"/>
        </w:rPr>
      </w:pPr>
    </w:p>
    <w:p w14:paraId="3EC8C916" w14:textId="77777777" w:rsidR="00CC20C9" w:rsidRDefault="00D36214"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TRUSTEES FOR THE TIME BEING</w:t>
      </w:r>
    </w:p>
    <w:p w14:paraId="37D739F8" w14:textId="478C43B3" w:rsidR="00CC20C9" w:rsidRDefault="002A34A0"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w:t>
      </w:r>
      <w:r w:rsidR="00080D06">
        <w:rPr>
          <w:rFonts w:ascii="Times New Roman" w:hAnsi="Times New Roman" w:cs="Times New Roman"/>
          <w:sz w:val="24"/>
          <w:szCs w:val="24"/>
        </w:rPr>
        <w:t xml:space="preserve"> THE</w:t>
      </w:r>
      <w:r w:rsidR="00D36214">
        <w:rPr>
          <w:rFonts w:ascii="Times New Roman" w:hAnsi="Times New Roman" w:cs="Times New Roman"/>
          <w:sz w:val="24"/>
          <w:szCs w:val="24"/>
        </w:rPr>
        <w:t xml:space="preserve"> ALFRED DUBE &amp;SHAMISO DUBE TRUST</w:t>
      </w:r>
    </w:p>
    <w:p w14:paraId="56D7A4ED" w14:textId="77777777" w:rsidR="00D36214" w:rsidRDefault="00D36214" w:rsidP="00CC20C9">
      <w:pPr>
        <w:spacing w:after="0" w:line="240" w:lineRule="auto"/>
        <w:jc w:val="both"/>
        <w:rPr>
          <w:rFonts w:ascii="Times New Roman" w:hAnsi="Times New Roman" w:cs="Times New Roman"/>
          <w:sz w:val="24"/>
          <w:szCs w:val="24"/>
        </w:rPr>
      </w:pPr>
    </w:p>
    <w:p w14:paraId="29DEFD07" w14:textId="77777777" w:rsidR="00CC20C9" w:rsidRDefault="00CC20C9"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6A9DC2B8" w14:textId="77777777" w:rsidR="00CC20C9" w:rsidRDefault="00CC20C9" w:rsidP="00CC20C9">
      <w:pPr>
        <w:spacing w:after="0" w:line="240" w:lineRule="auto"/>
        <w:jc w:val="both"/>
        <w:rPr>
          <w:rFonts w:ascii="Times New Roman" w:hAnsi="Times New Roman" w:cs="Times New Roman"/>
          <w:sz w:val="24"/>
          <w:szCs w:val="24"/>
        </w:rPr>
      </w:pPr>
    </w:p>
    <w:p w14:paraId="4143EA21" w14:textId="77777777" w:rsidR="00CC20C9" w:rsidRDefault="00D36214"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LEAH MADZIVADONDO</w:t>
      </w:r>
    </w:p>
    <w:p w14:paraId="6579D34C" w14:textId="77777777" w:rsidR="00D36214" w:rsidRDefault="00D36214"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DABE640" w14:textId="77777777" w:rsidR="00D36214" w:rsidRDefault="00D36214"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COURAGE KUDAKWASHE MUCHENJE</w:t>
      </w:r>
    </w:p>
    <w:p w14:paraId="16ACDE59" w14:textId="77777777" w:rsidR="00D36214" w:rsidRDefault="00D36214"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0DABF8C" w14:textId="77777777" w:rsidR="00D36214" w:rsidRDefault="00D36214"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LOVEMORE TAKAVARASHA</w:t>
      </w:r>
    </w:p>
    <w:p w14:paraId="62F30EB6" w14:textId="77777777" w:rsidR="00D36214" w:rsidRDefault="00D36214"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21884672" w14:textId="77777777" w:rsidR="00D36214" w:rsidRDefault="00D36214"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ZVISHAVANE TOWN COUNCIL</w:t>
      </w:r>
    </w:p>
    <w:p w14:paraId="040338B1" w14:textId="77777777" w:rsidR="00CC20C9" w:rsidRDefault="00CC20C9" w:rsidP="00CC20C9">
      <w:pPr>
        <w:spacing w:after="0" w:line="240" w:lineRule="auto"/>
        <w:jc w:val="both"/>
        <w:rPr>
          <w:rFonts w:ascii="Times New Roman" w:hAnsi="Times New Roman" w:cs="Times New Roman"/>
          <w:sz w:val="24"/>
          <w:szCs w:val="24"/>
        </w:rPr>
      </w:pPr>
    </w:p>
    <w:p w14:paraId="0AA29766" w14:textId="77777777" w:rsidR="00CC20C9" w:rsidRDefault="00CC20C9" w:rsidP="00CC20C9">
      <w:pPr>
        <w:spacing w:after="0" w:line="240" w:lineRule="auto"/>
        <w:jc w:val="both"/>
        <w:rPr>
          <w:rFonts w:ascii="Times New Roman" w:hAnsi="Times New Roman" w:cs="Times New Roman"/>
          <w:sz w:val="24"/>
          <w:szCs w:val="24"/>
        </w:rPr>
      </w:pPr>
    </w:p>
    <w:p w14:paraId="1A96E745" w14:textId="77777777" w:rsidR="00CC20C9" w:rsidRDefault="00CC20C9" w:rsidP="00CC20C9">
      <w:pPr>
        <w:spacing w:after="0" w:line="240" w:lineRule="auto"/>
        <w:jc w:val="both"/>
        <w:rPr>
          <w:rFonts w:ascii="Times New Roman" w:hAnsi="Times New Roman" w:cs="Times New Roman"/>
          <w:sz w:val="24"/>
          <w:szCs w:val="24"/>
        </w:rPr>
      </w:pPr>
    </w:p>
    <w:p w14:paraId="2A32F2EC" w14:textId="77777777" w:rsidR="00CC20C9" w:rsidRDefault="00CC20C9"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7F9E0BB1" w14:textId="77777777" w:rsidR="00CC20C9" w:rsidRDefault="00920816"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r w:rsidR="00CC20C9">
        <w:rPr>
          <w:rFonts w:ascii="Times New Roman" w:hAnsi="Times New Roman" w:cs="Times New Roman"/>
          <w:sz w:val="24"/>
          <w:szCs w:val="24"/>
        </w:rPr>
        <w:t xml:space="preserve"> </w:t>
      </w:r>
    </w:p>
    <w:p w14:paraId="6D337BD6" w14:textId="77777777" w:rsidR="00CC20C9" w:rsidRDefault="00CC20C9"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w:t>
      </w:r>
      <w:r w:rsidR="00D36214">
        <w:rPr>
          <w:rFonts w:ascii="Times New Roman" w:hAnsi="Times New Roman" w:cs="Times New Roman"/>
          <w:sz w:val="24"/>
          <w:szCs w:val="24"/>
        </w:rPr>
        <w:t>GO, 3 November</w:t>
      </w:r>
      <w:r w:rsidR="005505B8">
        <w:rPr>
          <w:rFonts w:ascii="Times New Roman" w:hAnsi="Times New Roman" w:cs="Times New Roman"/>
          <w:sz w:val="24"/>
          <w:szCs w:val="24"/>
        </w:rPr>
        <w:t xml:space="preserve"> 2023</w:t>
      </w:r>
    </w:p>
    <w:p w14:paraId="6B22A85E" w14:textId="77777777" w:rsidR="00D36214" w:rsidRDefault="00D36214"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 of Judgment 24 April 2024</w:t>
      </w:r>
    </w:p>
    <w:p w14:paraId="2BA20015" w14:textId="77777777" w:rsidR="00CC20C9" w:rsidRDefault="00CC20C9" w:rsidP="00CC20C9">
      <w:pPr>
        <w:spacing w:after="0" w:line="240" w:lineRule="auto"/>
        <w:jc w:val="both"/>
        <w:rPr>
          <w:rFonts w:ascii="Times New Roman" w:hAnsi="Times New Roman" w:cs="Times New Roman"/>
          <w:sz w:val="24"/>
          <w:szCs w:val="24"/>
        </w:rPr>
      </w:pPr>
    </w:p>
    <w:p w14:paraId="00E9E8B2" w14:textId="77777777" w:rsidR="00CC20C9" w:rsidRDefault="00CC20C9" w:rsidP="00CC20C9">
      <w:pPr>
        <w:spacing w:after="0" w:line="360" w:lineRule="auto"/>
        <w:jc w:val="both"/>
        <w:rPr>
          <w:rFonts w:ascii="Times New Roman" w:hAnsi="Times New Roman" w:cs="Times New Roman"/>
          <w:b/>
          <w:sz w:val="24"/>
          <w:szCs w:val="24"/>
        </w:rPr>
      </w:pPr>
    </w:p>
    <w:p w14:paraId="28909795" w14:textId="77777777" w:rsidR="00F513A0" w:rsidRDefault="00D36214" w:rsidP="00CC20C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 Mugiya, for the applicant</w:t>
      </w:r>
    </w:p>
    <w:p w14:paraId="4E13FB55" w14:textId="77777777" w:rsidR="00CC20C9" w:rsidRDefault="00D36214" w:rsidP="00CC20C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PC Ganyani, for the first respondent</w:t>
      </w:r>
    </w:p>
    <w:p w14:paraId="6F9DC6CD" w14:textId="77777777" w:rsidR="00D36214" w:rsidRDefault="00D36214" w:rsidP="00CC20C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No appearance for second, third and fourth</w:t>
      </w:r>
    </w:p>
    <w:p w14:paraId="12E0A39B" w14:textId="77777777" w:rsidR="001611DB" w:rsidRDefault="001611DB" w:rsidP="00CC20C9">
      <w:pPr>
        <w:spacing w:after="0" w:line="240" w:lineRule="auto"/>
        <w:jc w:val="both"/>
        <w:rPr>
          <w:rFonts w:ascii="Times New Roman" w:hAnsi="Times New Roman" w:cs="Times New Roman"/>
          <w:i/>
          <w:sz w:val="24"/>
          <w:szCs w:val="24"/>
        </w:rPr>
      </w:pPr>
    </w:p>
    <w:p w14:paraId="4EF131F9" w14:textId="77777777" w:rsidR="001611DB" w:rsidRDefault="001611DB" w:rsidP="00CC20C9">
      <w:pPr>
        <w:spacing w:after="0" w:line="240" w:lineRule="auto"/>
        <w:jc w:val="both"/>
        <w:rPr>
          <w:rFonts w:ascii="Times New Roman" w:hAnsi="Times New Roman" w:cs="Times New Roman"/>
          <w:i/>
          <w:sz w:val="24"/>
          <w:szCs w:val="24"/>
        </w:rPr>
      </w:pPr>
    </w:p>
    <w:p w14:paraId="1616EDEF" w14:textId="77777777" w:rsidR="001611DB" w:rsidRPr="00D36214" w:rsidRDefault="00D36214" w:rsidP="00CC20C9">
      <w:pPr>
        <w:spacing w:after="0" w:line="240" w:lineRule="auto"/>
        <w:jc w:val="both"/>
        <w:rPr>
          <w:rFonts w:ascii="Times New Roman" w:hAnsi="Times New Roman" w:cs="Times New Roman"/>
          <w:sz w:val="24"/>
          <w:szCs w:val="24"/>
        </w:rPr>
      </w:pPr>
      <w:r w:rsidRPr="00D36214">
        <w:rPr>
          <w:rFonts w:ascii="Times New Roman" w:hAnsi="Times New Roman" w:cs="Times New Roman"/>
          <w:sz w:val="24"/>
          <w:szCs w:val="24"/>
        </w:rPr>
        <w:t>Opposed Application</w:t>
      </w:r>
    </w:p>
    <w:p w14:paraId="08B2A073" w14:textId="77777777" w:rsidR="00CC20C9" w:rsidRDefault="00CC20C9" w:rsidP="00CC20C9">
      <w:pPr>
        <w:spacing w:after="0" w:line="240" w:lineRule="auto"/>
        <w:jc w:val="both"/>
        <w:rPr>
          <w:rFonts w:ascii="Times New Roman" w:hAnsi="Times New Roman" w:cs="Times New Roman"/>
          <w:sz w:val="24"/>
          <w:szCs w:val="24"/>
        </w:rPr>
      </w:pPr>
    </w:p>
    <w:p w14:paraId="47C21F36" w14:textId="77777777" w:rsidR="00CC20C9" w:rsidRDefault="00CC20C9" w:rsidP="00CC20C9">
      <w:pPr>
        <w:spacing w:after="0" w:line="240" w:lineRule="auto"/>
        <w:jc w:val="both"/>
        <w:rPr>
          <w:rFonts w:ascii="Times New Roman" w:hAnsi="Times New Roman" w:cs="Times New Roman"/>
          <w:sz w:val="24"/>
          <w:szCs w:val="24"/>
        </w:rPr>
      </w:pPr>
    </w:p>
    <w:p w14:paraId="7D3446BC" w14:textId="77777777" w:rsidR="0096081F" w:rsidRDefault="00FE02F4" w:rsidP="00181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ZISENGWE</w:t>
      </w:r>
      <w:r w:rsidR="00FA262D">
        <w:rPr>
          <w:rFonts w:ascii="Times New Roman" w:hAnsi="Times New Roman" w:cs="Times New Roman"/>
          <w:sz w:val="24"/>
          <w:szCs w:val="24"/>
        </w:rPr>
        <w:t xml:space="preserve"> J:     </w:t>
      </w:r>
      <w:r w:rsidR="007516CC">
        <w:rPr>
          <w:rFonts w:ascii="Times New Roman" w:hAnsi="Times New Roman" w:cs="Times New Roman"/>
          <w:sz w:val="24"/>
          <w:szCs w:val="24"/>
        </w:rPr>
        <w:t>The applicant</w:t>
      </w:r>
      <w:r w:rsidR="00181614">
        <w:rPr>
          <w:rFonts w:ascii="Times New Roman" w:hAnsi="Times New Roman" w:cs="Times New Roman"/>
          <w:sz w:val="24"/>
          <w:szCs w:val="24"/>
        </w:rPr>
        <w:t xml:space="preserve"> seeks an order confirming that the agreement of sale which it entered into with the first respondent in respect of certain immovable property is valid and binding.  Pursuant to such confirmation, it seeks an order evicting the first respondent and all those claiming their right on occupation through her from the said residential property.  The property in question was identified as Stand No. 1191 Mandara Township, Zvishavane (</w:t>
      </w:r>
      <w:r w:rsidR="00181614" w:rsidRPr="00080D06">
        <w:rPr>
          <w:rFonts w:ascii="Times New Roman" w:hAnsi="Times New Roman" w:cs="Times New Roman"/>
          <w:sz w:val="24"/>
          <w:szCs w:val="24"/>
        </w:rPr>
        <w:t>“the property”).</w:t>
      </w:r>
      <w:r w:rsidR="00862743" w:rsidRPr="00080D06">
        <w:rPr>
          <w:rFonts w:ascii="Times New Roman" w:hAnsi="Times New Roman" w:cs="Times New Roman"/>
          <w:sz w:val="24"/>
          <w:szCs w:val="24"/>
        </w:rPr>
        <w:t xml:space="preserve"> </w:t>
      </w:r>
    </w:p>
    <w:p w14:paraId="598A9E9E" w14:textId="77777777" w:rsidR="002518A7" w:rsidRDefault="002518A7" w:rsidP="00181614">
      <w:pPr>
        <w:spacing w:after="0" w:line="360" w:lineRule="auto"/>
        <w:ind w:firstLine="720"/>
        <w:jc w:val="both"/>
        <w:rPr>
          <w:rFonts w:ascii="Times New Roman" w:hAnsi="Times New Roman" w:cs="Times New Roman"/>
          <w:sz w:val="24"/>
          <w:szCs w:val="24"/>
        </w:rPr>
      </w:pPr>
    </w:p>
    <w:p w14:paraId="35F40B36" w14:textId="77777777" w:rsidR="002518A7" w:rsidRPr="00080D06" w:rsidRDefault="002518A7" w:rsidP="00181614">
      <w:pPr>
        <w:spacing w:after="0" w:line="360" w:lineRule="auto"/>
        <w:ind w:firstLine="720"/>
        <w:jc w:val="both"/>
        <w:rPr>
          <w:rFonts w:ascii="Times New Roman" w:hAnsi="Times New Roman" w:cs="Times New Roman"/>
          <w:b/>
          <w:sz w:val="24"/>
          <w:szCs w:val="24"/>
        </w:rPr>
      </w:pPr>
      <w:r w:rsidRPr="00080D06">
        <w:rPr>
          <w:rFonts w:ascii="Times New Roman" w:hAnsi="Times New Roman" w:cs="Times New Roman"/>
          <w:b/>
          <w:sz w:val="24"/>
          <w:szCs w:val="24"/>
        </w:rPr>
        <w:t>The Background</w:t>
      </w:r>
    </w:p>
    <w:p w14:paraId="6E5EDB19" w14:textId="2ACB7AF6" w:rsidR="002518A7" w:rsidRDefault="002518A7" w:rsidP="00181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14 November 2021, the </w:t>
      </w:r>
      <w:r w:rsidR="00080D06">
        <w:rPr>
          <w:rFonts w:ascii="Times New Roman" w:hAnsi="Times New Roman" w:cs="Times New Roman"/>
          <w:sz w:val="24"/>
          <w:szCs w:val="24"/>
        </w:rPr>
        <w:t>applicant,</w:t>
      </w:r>
      <w:r>
        <w:rPr>
          <w:rFonts w:ascii="Times New Roman" w:hAnsi="Times New Roman" w:cs="Times New Roman"/>
          <w:sz w:val="24"/>
          <w:szCs w:val="24"/>
        </w:rPr>
        <w:t xml:space="preserve"> a registered Trust</w:t>
      </w:r>
      <w:r w:rsidR="00080D06">
        <w:rPr>
          <w:rFonts w:ascii="Times New Roman" w:hAnsi="Times New Roman" w:cs="Times New Roman"/>
          <w:sz w:val="24"/>
          <w:szCs w:val="24"/>
        </w:rPr>
        <w:t>,</w:t>
      </w:r>
      <w:r>
        <w:rPr>
          <w:rFonts w:ascii="Times New Roman" w:hAnsi="Times New Roman" w:cs="Times New Roman"/>
          <w:sz w:val="24"/>
          <w:szCs w:val="24"/>
        </w:rPr>
        <w:t xml:space="preserve"> entered into the aforementioned agreement of sale with the second respondent, one Courage Kudakwashe Mushenje </w:t>
      </w:r>
      <w:r w:rsidR="008228D9">
        <w:rPr>
          <w:rFonts w:ascii="Times New Roman" w:hAnsi="Times New Roman" w:cs="Times New Roman"/>
          <w:sz w:val="24"/>
          <w:szCs w:val="24"/>
        </w:rPr>
        <w:t>(hereinafter</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referred to simply </w:t>
      </w:r>
      <w:r w:rsidR="008228D9">
        <w:rPr>
          <w:rFonts w:ascii="Times New Roman" w:hAnsi="Times New Roman" w:cs="Times New Roman"/>
          <w:sz w:val="24"/>
          <w:szCs w:val="24"/>
        </w:rPr>
        <w:t xml:space="preserve">as </w:t>
      </w:r>
      <w:r w:rsidR="008228D9" w:rsidRPr="00B92BED">
        <w:rPr>
          <w:rFonts w:ascii="Times New Roman" w:hAnsi="Times New Roman" w:cs="Times New Roman"/>
          <w:i/>
          <w:sz w:val="24"/>
          <w:szCs w:val="24"/>
        </w:rPr>
        <w:t>“Courage</w:t>
      </w:r>
      <w:r>
        <w:rPr>
          <w:rFonts w:ascii="Times New Roman" w:hAnsi="Times New Roman" w:cs="Times New Roman"/>
          <w:sz w:val="24"/>
          <w:szCs w:val="24"/>
        </w:rPr>
        <w:t>”).  The subject matter being the property.  It is common cause that Courage had in turn purchased the property from the third respondent one Lovemore Takavarasha (</w:t>
      </w:r>
      <w:r w:rsidR="008228D9">
        <w:rPr>
          <w:rFonts w:ascii="Times New Roman" w:hAnsi="Times New Roman" w:cs="Times New Roman"/>
          <w:sz w:val="24"/>
          <w:szCs w:val="24"/>
        </w:rPr>
        <w:t>hereinafter</w:t>
      </w:r>
      <w:r>
        <w:rPr>
          <w:rFonts w:ascii="Times New Roman" w:hAnsi="Times New Roman" w:cs="Times New Roman"/>
          <w:sz w:val="24"/>
          <w:szCs w:val="24"/>
        </w:rPr>
        <w:t xml:space="preserve"> referred to simply as “</w:t>
      </w:r>
      <w:r w:rsidRPr="00B92BED">
        <w:rPr>
          <w:rFonts w:ascii="Times New Roman" w:hAnsi="Times New Roman" w:cs="Times New Roman"/>
          <w:i/>
          <w:sz w:val="24"/>
          <w:szCs w:val="24"/>
        </w:rPr>
        <w:t>Lovemore</w:t>
      </w:r>
      <w:r>
        <w:rPr>
          <w:rFonts w:ascii="Times New Roman" w:hAnsi="Times New Roman" w:cs="Times New Roman"/>
          <w:sz w:val="24"/>
          <w:szCs w:val="24"/>
        </w:rPr>
        <w:t>”)</w:t>
      </w:r>
      <w:r w:rsidR="00B92BED">
        <w:rPr>
          <w:rFonts w:ascii="Times New Roman" w:hAnsi="Times New Roman" w:cs="Times New Roman"/>
          <w:sz w:val="24"/>
          <w:szCs w:val="24"/>
        </w:rPr>
        <w:t>.</w:t>
      </w:r>
    </w:p>
    <w:p w14:paraId="48084F09" w14:textId="1CC46C07" w:rsidR="004F7720" w:rsidRDefault="00B92BED" w:rsidP="00181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turn Lovemore had purportedly inherited it from his late mother Diana Jani who in turn had inherited it from one Oliviate Madzivadondo with whom she was “</w:t>
      </w:r>
      <w:r w:rsidR="008228D9" w:rsidRPr="00080D06">
        <w:rPr>
          <w:rFonts w:ascii="Times New Roman" w:hAnsi="Times New Roman" w:cs="Times New Roman"/>
          <w:iCs/>
          <w:sz w:val="24"/>
          <w:szCs w:val="24"/>
        </w:rPr>
        <w:t>married</w:t>
      </w:r>
      <w:r w:rsidR="008228D9">
        <w:rPr>
          <w:rFonts w:ascii="Times New Roman" w:hAnsi="Times New Roman" w:cs="Times New Roman"/>
          <w:sz w:val="24"/>
          <w:szCs w:val="24"/>
        </w:rPr>
        <w:t>” in</w:t>
      </w:r>
      <w:r>
        <w:rPr>
          <w:rFonts w:ascii="Times New Roman" w:hAnsi="Times New Roman" w:cs="Times New Roman"/>
          <w:sz w:val="24"/>
          <w:szCs w:val="24"/>
        </w:rPr>
        <w:t xml:space="preserve"> terms of an unregistered customary law union.  From the summons attached to the first respondent</w:t>
      </w:r>
      <w:r w:rsidR="00080D06">
        <w:rPr>
          <w:rFonts w:ascii="Times New Roman" w:hAnsi="Times New Roman" w:cs="Times New Roman"/>
          <w:sz w:val="24"/>
          <w:szCs w:val="24"/>
        </w:rPr>
        <w:t>’</w:t>
      </w:r>
      <w:r>
        <w:rPr>
          <w:rFonts w:ascii="Times New Roman" w:hAnsi="Times New Roman" w:cs="Times New Roman"/>
          <w:sz w:val="24"/>
          <w:szCs w:val="24"/>
        </w:rPr>
        <w:t>s opposing affidavit, she (</w:t>
      </w:r>
      <w:r w:rsidR="008228D9">
        <w:rPr>
          <w:rFonts w:ascii="Times New Roman" w:hAnsi="Times New Roman" w:cs="Times New Roman"/>
          <w:sz w:val="24"/>
          <w:szCs w:val="24"/>
        </w:rPr>
        <w:t>i.e.</w:t>
      </w:r>
      <w:r>
        <w:rPr>
          <w:rFonts w:ascii="Times New Roman" w:hAnsi="Times New Roman" w:cs="Times New Roman"/>
          <w:sz w:val="24"/>
          <w:szCs w:val="24"/>
        </w:rPr>
        <w:t>, the first respondent) is a sister of the late Oliviate Madzivadondo.  Lovemore on the other hand was sired from Diana Jani’s previous relationship</w:t>
      </w:r>
      <w:r w:rsidR="004F7720">
        <w:rPr>
          <w:rFonts w:ascii="Times New Roman" w:hAnsi="Times New Roman" w:cs="Times New Roman"/>
          <w:sz w:val="24"/>
          <w:szCs w:val="24"/>
        </w:rPr>
        <w:t>.  He is not Oliviate Madzivadondo’s child.</w:t>
      </w:r>
    </w:p>
    <w:p w14:paraId="01CCD6FA" w14:textId="367119B1" w:rsidR="004F7720" w:rsidRDefault="004F7720" w:rsidP="00181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avers that its title to the property is unassailable because it purchased the same from Courage.  It claims, through</w:t>
      </w:r>
      <w:r w:rsidR="00AE5BF4">
        <w:rPr>
          <w:rFonts w:ascii="Times New Roman" w:hAnsi="Times New Roman" w:cs="Times New Roman"/>
          <w:sz w:val="24"/>
          <w:szCs w:val="24"/>
        </w:rPr>
        <w:t xml:space="preserve"> the</w:t>
      </w:r>
      <w:r>
        <w:rPr>
          <w:rFonts w:ascii="Times New Roman" w:hAnsi="Times New Roman" w:cs="Times New Roman"/>
          <w:sz w:val="24"/>
          <w:szCs w:val="24"/>
        </w:rPr>
        <w:t xml:space="preserve"> founding affidavit deposed to by one of its trustees Alfred Dube, that it purchased the property from Courage after </w:t>
      </w:r>
      <w:r w:rsidR="008228D9">
        <w:rPr>
          <w:rFonts w:ascii="Times New Roman" w:hAnsi="Times New Roman" w:cs="Times New Roman"/>
          <w:sz w:val="24"/>
          <w:szCs w:val="24"/>
        </w:rPr>
        <w:t>performing</w:t>
      </w:r>
      <w:r>
        <w:rPr>
          <w:rFonts w:ascii="Times New Roman" w:hAnsi="Times New Roman" w:cs="Times New Roman"/>
          <w:sz w:val="24"/>
          <w:szCs w:val="24"/>
        </w:rPr>
        <w:t xml:space="preserve"> due </w:t>
      </w:r>
      <w:r w:rsidR="008228D9">
        <w:rPr>
          <w:rFonts w:ascii="Times New Roman" w:hAnsi="Times New Roman" w:cs="Times New Roman"/>
          <w:sz w:val="24"/>
          <w:szCs w:val="24"/>
        </w:rPr>
        <w:t>diligence</w:t>
      </w:r>
      <w:r>
        <w:rPr>
          <w:rFonts w:ascii="Times New Roman" w:hAnsi="Times New Roman" w:cs="Times New Roman"/>
          <w:sz w:val="24"/>
          <w:szCs w:val="24"/>
        </w:rPr>
        <w:t xml:space="preserve"> and realising that it was free from </w:t>
      </w:r>
      <w:r w:rsidR="008228D9">
        <w:rPr>
          <w:rFonts w:ascii="Times New Roman" w:hAnsi="Times New Roman" w:cs="Times New Roman"/>
          <w:sz w:val="24"/>
          <w:szCs w:val="24"/>
        </w:rPr>
        <w:t>encumbrances</w:t>
      </w:r>
      <w:r>
        <w:rPr>
          <w:rFonts w:ascii="Times New Roman" w:hAnsi="Times New Roman" w:cs="Times New Roman"/>
          <w:sz w:val="24"/>
          <w:szCs w:val="24"/>
        </w:rPr>
        <w:t>.  According to it, efforts to evict the first respondent have proved fruitless.</w:t>
      </w:r>
    </w:p>
    <w:p w14:paraId="2A5FEBF8" w14:textId="77777777" w:rsidR="00B92BED" w:rsidRDefault="004F7720" w:rsidP="00181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Courage and Lovemore did not file any opposing papers.  Neither did the fourth respondent, Zvishavane Town Council under whose jurisdiction the property is situated.  The first respondent however did.  In opposing the application, the first respondent avers that the applicant’s tittle to the property is defective.  She claims in this regard that the registration of the estate of Lovemore’s late mother was fraudulently done.  She assets that the edict meeting convened for that process fraudulently excluded members of the Madzivadondo family and </w:t>
      </w:r>
      <w:r w:rsidR="008228D9">
        <w:rPr>
          <w:rFonts w:ascii="Times New Roman" w:hAnsi="Times New Roman" w:cs="Times New Roman"/>
          <w:sz w:val="24"/>
          <w:szCs w:val="24"/>
        </w:rPr>
        <w:t>comprised entirely of Lovemore, who was Oliviate Madzivadondo’s step son, and the Jani family (i.e. members of Lovemore’s mother</w:t>
      </w:r>
      <w:r w:rsidR="00AE5BF4">
        <w:rPr>
          <w:rFonts w:ascii="Times New Roman" w:hAnsi="Times New Roman" w:cs="Times New Roman"/>
          <w:sz w:val="24"/>
          <w:szCs w:val="24"/>
        </w:rPr>
        <w:t>’</w:t>
      </w:r>
      <w:r w:rsidR="008228D9">
        <w:rPr>
          <w:rFonts w:ascii="Times New Roman" w:hAnsi="Times New Roman" w:cs="Times New Roman"/>
          <w:sz w:val="24"/>
          <w:szCs w:val="24"/>
        </w:rPr>
        <w:t>s relatives).</w:t>
      </w:r>
      <w:r w:rsidR="00B92BED">
        <w:rPr>
          <w:rFonts w:ascii="Times New Roman" w:hAnsi="Times New Roman" w:cs="Times New Roman"/>
          <w:sz w:val="24"/>
          <w:szCs w:val="24"/>
        </w:rPr>
        <w:t xml:space="preserve"> </w:t>
      </w:r>
    </w:p>
    <w:p w14:paraId="3CEC56F2" w14:textId="77777777" w:rsidR="00963537" w:rsidRDefault="00963537" w:rsidP="00181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according to her, when the Madzivadondo family got wind of the registration of Diana Jani’s estate and the developments that had since ensued, the</w:t>
      </w:r>
      <w:r w:rsidR="00AE5BF4">
        <w:rPr>
          <w:rFonts w:ascii="Times New Roman" w:hAnsi="Times New Roman" w:cs="Times New Roman"/>
          <w:sz w:val="24"/>
          <w:szCs w:val="24"/>
        </w:rPr>
        <w:t>y</w:t>
      </w:r>
      <w:r>
        <w:rPr>
          <w:rFonts w:ascii="Times New Roman" w:hAnsi="Times New Roman" w:cs="Times New Roman"/>
          <w:sz w:val="24"/>
          <w:szCs w:val="24"/>
        </w:rPr>
        <w:t xml:space="preserve"> sprang into action and mounted a series of court actions to rectify the situation and set aside the processes on the administration of Lovemore’s mother’s (Diana Jani’s) estate.</w:t>
      </w:r>
    </w:p>
    <w:p w14:paraId="51D06831" w14:textId="066A3C8F" w:rsidR="008C5927" w:rsidRDefault="008C5927" w:rsidP="00181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was </w:t>
      </w:r>
      <w:r w:rsidR="00AE5BF4">
        <w:rPr>
          <w:rFonts w:ascii="Times New Roman" w:hAnsi="Times New Roman" w:cs="Times New Roman"/>
          <w:sz w:val="24"/>
          <w:szCs w:val="24"/>
        </w:rPr>
        <w:t>under</w:t>
      </w:r>
      <w:r>
        <w:rPr>
          <w:rFonts w:ascii="Times New Roman" w:hAnsi="Times New Roman" w:cs="Times New Roman"/>
          <w:sz w:val="24"/>
          <w:szCs w:val="24"/>
        </w:rPr>
        <w:t xml:space="preserve"> ZVGL 77/2007 which according</w:t>
      </w:r>
      <w:r w:rsidR="00AE5BF4">
        <w:rPr>
          <w:rFonts w:ascii="Times New Roman" w:hAnsi="Times New Roman" w:cs="Times New Roman"/>
          <w:sz w:val="24"/>
          <w:szCs w:val="24"/>
        </w:rPr>
        <w:t xml:space="preserve"> to</w:t>
      </w:r>
      <w:r>
        <w:rPr>
          <w:rFonts w:ascii="Times New Roman" w:hAnsi="Times New Roman" w:cs="Times New Roman"/>
          <w:sz w:val="24"/>
          <w:szCs w:val="24"/>
        </w:rPr>
        <w:t xml:space="preserve"> the seco</w:t>
      </w:r>
      <w:r w:rsidR="00AE5BF4">
        <w:rPr>
          <w:rFonts w:ascii="Times New Roman" w:hAnsi="Times New Roman" w:cs="Times New Roman"/>
          <w:sz w:val="24"/>
          <w:szCs w:val="24"/>
        </w:rPr>
        <w:t>nd respondent resulted in the nu</w:t>
      </w:r>
      <w:r>
        <w:rPr>
          <w:rFonts w:ascii="Times New Roman" w:hAnsi="Times New Roman" w:cs="Times New Roman"/>
          <w:sz w:val="24"/>
          <w:szCs w:val="24"/>
        </w:rPr>
        <w:t>llification of the inheritance of the properly by Lovemore.  This was followed by the action un</w:t>
      </w:r>
      <w:r w:rsidR="00AE5BF4">
        <w:rPr>
          <w:rFonts w:ascii="Times New Roman" w:hAnsi="Times New Roman" w:cs="Times New Roman"/>
          <w:sz w:val="24"/>
          <w:szCs w:val="24"/>
        </w:rPr>
        <w:t>der ZVGL 323/2007 which resulted</w:t>
      </w:r>
      <w:r>
        <w:rPr>
          <w:rFonts w:ascii="Times New Roman" w:hAnsi="Times New Roman" w:cs="Times New Roman"/>
          <w:sz w:val="24"/>
          <w:szCs w:val="24"/>
        </w:rPr>
        <w:t xml:space="preserve"> in Lovemore’s eviction from the proper</w:t>
      </w:r>
      <w:r w:rsidR="00AE5BF4">
        <w:rPr>
          <w:rFonts w:ascii="Times New Roman" w:hAnsi="Times New Roman" w:cs="Times New Roman"/>
          <w:sz w:val="24"/>
          <w:szCs w:val="24"/>
        </w:rPr>
        <w:t xml:space="preserve">ty.  The </w:t>
      </w:r>
      <w:r w:rsidR="00080D06">
        <w:rPr>
          <w:rFonts w:ascii="Times New Roman" w:hAnsi="Times New Roman" w:cs="Times New Roman"/>
          <w:sz w:val="24"/>
          <w:szCs w:val="24"/>
        </w:rPr>
        <w:t>first</w:t>
      </w:r>
      <w:r>
        <w:rPr>
          <w:rFonts w:ascii="Times New Roman" w:hAnsi="Times New Roman" w:cs="Times New Roman"/>
          <w:sz w:val="24"/>
          <w:szCs w:val="24"/>
        </w:rPr>
        <w:t xml:space="preserve"> respondent avers that under ZVGL 08/2018 she filed a claim for the removal of the Lovemore</w:t>
      </w:r>
      <w:r w:rsidR="00080D06">
        <w:rPr>
          <w:rFonts w:ascii="Times New Roman" w:hAnsi="Times New Roman" w:cs="Times New Roman"/>
          <w:sz w:val="24"/>
          <w:szCs w:val="24"/>
        </w:rPr>
        <w:t>’</w:t>
      </w:r>
      <w:r>
        <w:rPr>
          <w:rFonts w:ascii="Times New Roman" w:hAnsi="Times New Roman" w:cs="Times New Roman"/>
          <w:sz w:val="24"/>
          <w:szCs w:val="24"/>
        </w:rPr>
        <w:t xml:space="preserve">s </w:t>
      </w:r>
      <w:r>
        <w:rPr>
          <w:rFonts w:ascii="Times New Roman" w:hAnsi="Times New Roman" w:cs="Times New Roman"/>
          <w:sz w:val="24"/>
          <w:szCs w:val="24"/>
        </w:rPr>
        <w:lastRenderedPageBreak/>
        <w:t>name from what she terms “</w:t>
      </w:r>
      <w:r w:rsidRPr="007A0E01">
        <w:rPr>
          <w:rFonts w:ascii="Times New Roman" w:hAnsi="Times New Roman" w:cs="Times New Roman"/>
          <w:i/>
          <w:sz w:val="24"/>
          <w:szCs w:val="24"/>
        </w:rPr>
        <w:t>the files of the property</w:t>
      </w:r>
      <w:r>
        <w:rPr>
          <w:rFonts w:ascii="Times New Roman" w:hAnsi="Times New Roman" w:cs="Times New Roman"/>
          <w:sz w:val="24"/>
          <w:szCs w:val="24"/>
        </w:rPr>
        <w:t xml:space="preserve">”.  According to </w:t>
      </w:r>
      <w:r w:rsidR="00AE5BF4">
        <w:rPr>
          <w:rFonts w:ascii="Times New Roman" w:hAnsi="Times New Roman" w:cs="Times New Roman"/>
          <w:sz w:val="24"/>
          <w:szCs w:val="24"/>
        </w:rPr>
        <w:t>her the matter was set down for</w:t>
      </w:r>
      <w:r>
        <w:rPr>
          <w:rFonts w:ascii="Times New Roman" w:hAnsi="Times New Roman" w:cs="Times New Roman"/>
          <w:sz w:val="24"/>
          <w:szCs w:val="24"/>
        </w:rPr>
        <w:t xml:space="preserve"> 25 January 2019.  However</w:t>
      </w:r>
      <w:r w:rsidR="00080D06">
        <w:rPr>
          <w:rFonts w:ascii="Times New Roman" w:hAnsi="Times New Roman" w:cs="Times New Roman"/>
          <w:sz w:val="24"/>
          <w:szCs w:val="24"/>
        </w:rPr>
        <w:t>,</w:t>
      </w:r>
      <w:r>
        <w:rPr>
          <w:rFonts w:ascii="Times New Roman" w:hAnsi="Times New Roman" w:cs="Times New Roman"/>
          <w:sz w:val="24"/>
          <w:szCs w:val="24"/>
        </w:rPr>
        <w:t xml:space="preserve"> on the date of the trial, the court ordered a stay of the trial pending the location of the files under ZVGL 77/2007 and ZVGL 323/2007.  Subsequently, on 9 January 2020 Lovemore filed an application for the dismissal of the matter under ZVGL, which application</w:t>
      </w:r>
      <w:r w:rsidR="001B73C4">
        <w:rPr>
          <w:rFonts w:ascii="Times New Roman" w:hAnsi="Times New Roman" w:cs="Times New Roman"/>
          <w:sz w:val="24"/>
          <w:szCs w:val="24"/>
        </w:rPr>
        <w:t xml:space="preserve"> according to her was dismissed as being baseless.</w:t>
      </w:r>
    </w:p>
    <w:p w14:paraId="4339F751" w14:textId="44B0AE2A" w:rsidR="001B73C4" w:rsidRDefault="001B73C4" w:rsidP="00181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also point</w:t>
      </w:r>
      <w:r w:rsidR="00080D06">
        <w:rPr>
          <w:rFonts w:ascii="Times New Roman" w:hAnsi="Times New Roman" w:cs="Times New Roman"/>
          <w:sz w:val="24"/>
          <w:szCs w:val="24"/>
        </w:rPr>
        <w:t>s</w:t>
      </w:r>
      <w:r>
        <w:rPr>
          <w:rFonts w:ascii="Times New Roman" w:hAnsi="Times New Roman" w:cs="Times New Roman"/>
          <w:sz w:val="24"/>
          <w:szCs w:val="24"/>
        </w:rPr>
        <w:t xml:space="preserve"> out that the same case is pending before the Magistrates Court under ZVGL 193/22.  The high watermark of the second respondent’s defence to the claim is that tittle to the property never accrued to Lovemore because Lovemore was not a proper beneficiary to the estate of Oliviate Madzivadondo albeit through his late mother.  Consequently</w:t>
      </w:r>
      <w:r w:rsidR="00080D06">
        <w:rPr>
          <w:rFonts w:ascii="Times New Roman" w:hAnsi="Times New Roman" w:cs="Times New Roman"/>
          <w:sz w:val="24"/>
          <w:szCs w:val="24"/>
        </w:rPr>
        <w:t>,</w:t>
      </w:r>
      <w:r>
        <w:rPr>
          <w:rFonts w:ascii="Times New Roman" w:hAnsi="Times New Roman" w:cs="Times New Roman"/>
          <w:sz w:val="24"/>
          <w:szCs w:val="24"/>
        </w:rPr>
        <w:t xml:space="preserve"> Lovemore could not pass title to Courage who in turn could not pass tittle to applicant.</w:t>
      </w:r>
    </w:p>
    <w:p w14:paraId="21D1BE43" w14:textId="3EE5B1CA" w:rsidR="001B73C4" w:rsidRDefault="006168AC" w:rsidP="00181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B73C4">
        <w:rPr>
          <w:rFonts w:ascii="Times New Roman" w:hAnsi="Times New Roman" w:cs="Times New Roman"/>
          <w:sz w:val="24"/>
          <w:szCs w:val="24"/>
        </w:rPr>
        <w:t xml:space="preserve">he second respondent </w:t>
      </w:r>
      <w:r>
        <w:rPr>
          <w:rFonts w:ascii="Times New Roman" w:hAnsi="Times New Roman" w:cs="Times New Roman"/>
          <w:sz w:val="24"/>
          <w:szCs w:val="24"/>
        </w:rPr>
        <w:t xml:space="preserve">further </w:t>
      </w:r>
      <w:r w:rsidR="001B73C4">
        <w:rPr>
          <w:rFonts w:ascii="Times New Roman" w:hAnsi="Times New Roman" w:cs="Times New Roman"/>
          <w:sz w:val="24"/>
          <w:szCs w:val="24"/>
        </w:rPr>
        <w:t xml:space="preserve">avers that she has been in full control of the property since 2007 after Lovemore had been evicted by the messenger of court.  She claims that the applicant is being merely </w:t>
      </w:r>
      <w:r>
        <w:rPr>
          <w:rFonts w:ascii="Times New Roman" w:hAnsi="Times New Roman" w:cs="Times New Roman"/>
          <w:sz w:val="24"/>
          <w:szCs w:val="24"/>
        </w:rPr>
        <w:t>“</w:t>
      </w:r>
      <w:r w:rsidR="001B73C4">
        <w:rPr>
          <w:rFonts w:ascii="Times New Roman" w:hAnsi="Times New Roman" w:cs="Times New Roman"/>
          <w:sz w:val="24"/>
          <w:szCs w:val="24"/>
        </w:rPr>
        <w:t>used</w:t>
      </w:r>
      <w:r>
        <w:rPr>
          <w:rFonts w:ascii="Times New Roman" w:hAnsi="Times New Roman" w:cs="Times New Roman"/>
          <w:sz w:val="24"/>
          <w:szCs w:val="24"/>
        </w:rPr>
        <w:t>”</w:t>
      </w:r>
      <w:r w:rsidR="001B73C4">
        <w:rPr>
          <w:rFonts w:ascii="Times New Roman" w:hAnsi="Times New Roman" w:cs="Times New Roman"/>
          <w:sz w:val="24"/>
          <w:szCs w:val="24"/>
        </w:rPr>
        <w:t xml:space="preserve"> by the Lovemore and Courage.</w:t>
      </w:r>
    </w:p>
    <w:p w14:paraId="65968FDE" w14:textId="77777777" w:rsidR="00944F0D" w:rsidRDefault="001B73C4" w:rsidP="00181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answering affidavit, the applicant pointed out that the second respondent had failed to attach the judgments under ZVGL 77/2007, and ZVGL 323/2007 nor the </w:t>
      </w:r>
      <w:r w:rsidR="007A0E01">
        <w:rPr>
          <w:rFonts w:ascii="Times New Roman" w:hAnsi="Times New Roman" w:cs="Times New Roman"/>
          <w:sz w:val="24"/>
          <w:szCs w:val="24"/>
        </w:rPr>
        <w:t>purported</w:t>
      </w:r>
      <w:r>
        <w:rPr>
          <w:rFonts w:ascii="Times New Roman" w:hAnsi="Times New Roman" w:cs="Times New Roman"/>
          <w:sz w:val="24"/>
          <w:szCs w:val="24"/>
        </w:rPr>
        <w:t xml:space="preserve"> record of proceedings</w:t>
      </w:r>
      <w:r w:rsidR="00D311D2">
        <w:rPr>
          <w:rFonts w:ascii="Times New Roman" w:hAnsi="Times New Roman" w:cs="Times New Roman"/>
          <w:sz w:val="24"/>
          <w:szCs w:val="24"/>
        </w:rPr>
        <w:t xml:space="preserve"> under ZVGL 193/22, the latter which it claims to be unaware of</w:t>
      </w:r>
      <w:r w:rsidR="00944F0D">
        <w:rPr>
          <w:rFonts w:ascii="Times New Roman" w:hAnsi="Times New Roman" w:cs="Times New Roman"/>
          <w:sz w:val="24"/>
          <w:szCs w:val="24"/>
        </w:rPr>
        <w:t>.</w:t>
      </w:r>
      <w:r w:rsidR="00D311D2">
        <w:rPr>
          <w:rFonts w:ascii="Times New Roman" w:hAnsi="Times New Roman" w:cs="Times New Roman"/>
          <w:sz w:val="24"/>
          <w:szCs w:val="24"/>
        </w:rPr>
        <w:t xml:space="preserve"> </w:t>
      </w:r>
    </w:p>
    <w:p w14:paraId="067CD008" w14:textId="46487AA9" w:rsidR="001B73C4" w:rsidRDefault="00944F0D" w:rsidP="00181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7D55E6">
        <w:rPr>
          <w:rFonts w:ascii="Times New Roman" w:hAnsi="Times New Roman" w:cs="Times New Roman"/>
          <w:sz w:val="24"/>
          <w:szCs w:val="24"/>
        </w:rPr>
        <w:t xml:space="preserve">he second respondent initially raised two preliminary points, the first challenging the applicant’s </w:t>
      </w:r>
      <w:r w:rsidR="007D55E6" w:rsidRPr="007D55E6">
        <w:rPr>
          <w:rFonts w:ascii="Times New Roman" w:hAnsi="Times New Roman" w:cs="Times New Roman"/>
          <w:i/>
          <w:sz w:val="24"/>
          <w:szCs w:val="24"/>
        </w:rPr>
        <w:t>locus standi</w:t>
      </w:r>
      <w:r w:rsidR="007D55E6">
        <w:rPr>
          <w:rFonts w:ascii="Times New Roman" w:hAnsi="Times New Roman" w:cs="Times New Roman"/>
          <w:sz w:val="24"/>
          <w:szCs w:val="24"/>
        </w:rPr>
        <w:t xml:space="preserve"> to institute the proceedings and the second co</w:t>
      </w:r>
      <w:r w:rsidR="00AE5BF4">
        <w:rPr>
          <w:rFonts w:ascii="Times New Roman" w:hAnsi="Times New Roman" w:cs="Times New Roman"/>
          <w:sz w:val="24"/>
          <w:szCs w:val="24"/>
        </w:rPr>
        <w:t xml:space="preserve">ntending that the matter was </w:t>
      </w:r>
      <w:r w:rsidR="00AE5BF4" w:rsidRPr="00AE5BF4">
        <w:rPr>
          <w:rFonts w:ascii="Times New Roman" w:hAnsi="Times New Roman" w:cs="Times New Roman"/>
          <w:i/>
          <w:sz w:val="24"/>
          <w:szCs w:val="24"/>
        </w:rPr>
        <w:t>lis pe</w:t>
      </w:r>
      <w:r w:rsidR="007D55E6" w:rsidRPr="00AE5BF4">
        <w:rPr>
          <w:rFonts w:ascii="Times New Roman" w:hAnsi="Times New Roman" w:cs="Times New Roman"/>
          <w:i/>
          <w:sz w:val="24"/>
          <w:szCs w:val="24"/>
        </w:rPr>
        <w:t>ndens</w:t>
      </w:r>
      <w:r w:rsidR="007D55E6">
        <w:rPr>
          <w:rFonts w:ascii="Times New Roman" w:hAnsi="Times New Roman" w:cs="Times New Roman"/>
          <w:sz w:val="24"/>
          <w:szCs w:val="24"/>
        </w:rPr>
        <w:t xml:space="preserve"> as between the parties.  She however abandoned both preliminary points during oral arguments in court.  The matter therefore proceeded to be heard on the merits.</w:t>
      </w:r>
    </w:p>
    <w:p w14:paraId="7D458584" w14:textId="77777777" w:rsidR="009179EB" w:rsidRDefault="009179EB" w:rsidP="00181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hea</w:t>
      </w:r>
      <w:r w:rsidR="00AE5BF4">
        <w:rPr>
          <w:rFonts w:ascii="Times New Roman" w:hAnsi="Times New Roman" w:cs="Times New Roman"/>
          <w:sz w:val="24"/>
          <w:szCs w:val="24"/>
        </w:rPr>
        <w:t>ds of argument</w:t>
      </w:r>
      <w:r>
        <w:rPr>
          <w:rFonts w:ascii="Times New Roman" w:hAnsi="Times New Roman" w:cs="Times New Roman"/>
          <w:sz w:val="24"/>
          <w:szCs w:val="24"/>
        </w:rPr>
        <w:t xml:space="preserve"> filed by the second respondent in support of her position, it was argued inter alia, that as at the time of the purported sale of the property, litigation under ZVGL08/2018 had reached litis contestation and a pre-trial conference held.</w:t>
      </w:r>
    </w:p>
    <w:p w14:paraId="6F200526" w14:textId="77777777" w:rsidR="00C5564D" w:rsidRDefault="00C5564D" w:rsidP="00181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C218A2">
        <w:rPr>
          <w:rFonts w:ascii="Times New Roman" w:hAnsi="Times New Roman" w:cs="Times New Roman"/>
          <w:sz w:val="24"/>
          <w:szCs w:val="24"/>
        </w:rPr>
        <w:t>r</w:t>
      </w:r>
      <w:r>
        <w:rPr>
          <w:rFonts w:ascii="Times New Roman" w:hAnsi="Times New Roman" w:cs="Times New Roman"/>
          <w:sz w:val="24"/>
          <w:szCs w:val="24"/>
        </w:rPr>
        <w:t>e are two inter-related issues in this dispute.  The first one is whether the agreement of sale in between the Courage and Lovemore in respect of the p</w:t>
      </w:r>
      <w:r w:rsidR="00AE5BF4">
        <w:rPr>
          <w:rFonts w:ascii="Times New Roman" w:hAnsi="Times New Roman" w:cs="Times New Roman"/>
          <w:sz w:val="24"/>
          <w:szCs w:val="24"/>
        </w:rPr>
        <w:t>roperty was tainted by illegality</w:t>
      </w:r>
      <w:r>
        <w:rPr>
          <w:rFonts w:ascii="Times New Roman" w:hAnsi="Times New Roman" w:cs="Times New Roman"/>
          <w:sz w:val="24"/>
          <w:szCs w:val="24"/>
        </w:rPr>
        <w:t xml:space="preserve"> as the property was subject to </w:t>
      </w:r>
      <w:r w:rsidRPr="00944F0D">
        <w:rPr>
          <w:rFonts w:ascii="Times New Roman" w:hAnsi="Times New Roman" w:cs="Times New Roman"/>
          <w:i/>
          <w:iCs/>
          <w:sz w:val="24"/>
          <w:szCs w:val="24"/>
        </w:rPr>
        <w:t>res litigiosa</w:t>
      </w:r>
      <w:r>
        <w:rPr>
          <w:rFonts w:ascii="Times New Roman" w:hAnsi="Times New Roman" w:cs="Times New Roman"/>
          <w:sz w:val="24"/>
          <w:szCs w:val="24"/>
        </w:rPr>
        <w:t>.</w:t>
      </w:r>
    </w:p>
    <w:p w14:paraId="3A7267BC" w14:textId="77777777" w:rsidR="005003EF" w:rsidRDefault="005003EF" w:rsidP="00181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issue is whether Lovemore</w:t>
      </w:r>
      <w:r w:rsidR="00AE5BF4">
        <w:rPr>
          <w:rFonts w:ascii="Times New Roman" w:hAnsi="Times New Roman" w:cs="Times New Roman"/>
          <w:sz w:val="24"/>
          <w:szCs w:val="24"/>
        </w:rPr>
        <w:t>’</w:t>
      </w:r>
      <w:r>
        <w:rPr>
          <w:rFonts w:ascii="Times New Roman" w:hAnsi="Times New Roman" w:cs="Times New Roman"/>
          <w:sz w:val="24"/>
          <w:szCs w:val="24"/>
        </w:rPr>
        <w:t xml:space="preserve">s purported rights over the property had been vacated by the court hence he could not pass ownership to someone else.  However, only f the property not subject to </w:t>
      </w:r>
      <w:r w:rsidRPr="00944F0D">
        <w:rPr>
          <w:rFonts w:ascii="Times New Roman" w:hAnsi="Times New Roman" w:cs="Times New Roman"/>
          <w:i/>
          <w:iCs/>
          <w:sz w:val="24"/>
          <w:szCs w:val="24"/>
        </w:rPr>
        <w:t>res litigiosa</w:t>
      </w:r>
      <w:r>
        <w:rPr>
          <w:rFonts w:ascii="Times New Roman" w:hAnsi="Times New Roman" w:cs="Times New Roman"/>
          <w:sz w:val="24"/>
          <w:szCs w:val="24"/>
        </w:rPr>
        <w:t xml:space="preserve"> would it be necessary to consider the second issue</w:t>
      </w:r>
      <w:r w:rsidR="00523E21">
        <w:rPr>
          <w:rFonts w:ascii="Times New Roman" w:hAnsi="Times New Roman" w:cs="Times New Roman"/>
          <w:sz w:val="24"/>
          <w:szCs w:val="24"/>
        </w:rPr>
        <w:t>.</w:t>
      </w:r>
    </w:p>
    <w:p w14:paraId="6FC192B5" w14:textId="77777777" w:rsidR="00944F0D" w:rsidRDefault="00944F0D" w:rsidP="00181614">
      <w:pPr>
        <w:spacing w:after="0" w:line="360" w:lineRule="auto"/>
        <w:ind w:firstLine="720"/>
        <w:jc w:val="both"/>
        <w:rPr>
          <w:rFonts w:ascii="Times New Roman" w:hAnsi="Times New Roman" w:cs="Times New Roman"/>
          <w:sz w:val="24"/>
          <w:szCs w:val="24"/>
        </w:rPr>
      </w:pPr>
    </w:p>
    <w:p w14:paraId="5202648C" w14:textId="77777777" w:rsidR="00523E21" w:rsidRPr="00944F0D" w:rsidRDefault="00523E21" w:rsidP="00181614">
      <w:pPr>
        <w:spacing w:after="0" w:line="360" w:lineRule="auto"/>
        <w:ind w:firstLine="720"/>
        <w:jc w:val="both"/>
        <w:rPr>
          <w:rFonts w:ascii="Times New Roman" w:hAnsi="Times New Roman" w:cs="Times New Roman"/>
          <w:b/>
          <w:bCs/>
          <w:sz w:val="24"/>
          <w:szCs w:val="24"/>
        </w:rPr>
      </w:pPr>
      <w:r w:rsidRPr="00944F0D">
        <w:rPr>
          <w:rFonts w:ascii="Times New Roman" w:hAnsi="Times New Roman" w:cs="Times New Roman"/>
          <w:b/>
          <w:bCs/>
          <w:sz w:val="24"/>
          <w:szCs w:val="24"/>
        </w:rPr>
        <w:lastRenderedPageBreak/>
        <w:t>Whether the property was subject to res litigiosa</w:t>
      </w:r>
    </w:p>
    <w:p w14:paraId="1989073D" w14:textId="303B5A4B" w:rsidR="0011525B" w:rsidRPr="0011525B" w:rsidRDefault="0011525B" w:rsidP="001152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11525B">
        <w:rPr>
          <w:rFonts w:ascii="Times New Roman" w:hAnsi="Times New Roman" w:cs="Times New Roman"/>
          <w:sz w:val="24"/>
          <w:szCs w:val="24"/>
        </w:rPr>
        <w:t xml:space="preserve">The doctrine </w:t>
      </w:r>
      <w:r w:rsidRPr="0011525B">
        <w:rPr>
          <w:rFonts w:ascii="Times New Roman" w:hAnsi="Times New Roman" w:cs="Times New Roman"/>
          <w:i/>
          <w:sz w:val="24"/>
          <w:szCs w:val="24"/>
        </w:rPr>
        <w:t>res litigiosa</w:t>
      </w:r>
      <w:r w:rsidRPr="0011525B">
        <w:rPr>
          <w:rFonts w:ascii="Times New Roman" w:hAnsi="Times New Roman" w:cs="Times New Roman"/>
          <w:sz w:val="24"/>
          <w:szCs w:val="24"/>
        </w:rPr>
        <w:t xml:space="preserve"> refers to property subject to a law suit which under Roman Law cannot be alienated, see </w:t>
      </w:r>
      <w:r w:rsidRPr="0011525B">
        <w:rPr>
          <w:rFonts w:ascii="Times New Roman" w:hAnsi="Times New Roman" w:cs="Times New Roman"/>
          <w:i/>
          <w:sz w:val="24"/>
          <w:szCs w:val="24"/>
        </w:rPr>
        <w:t>Zimbank (Pvt) Ltd</w:t>
      </w:r>
      <w:r w:rsidRPr="0011525B">
        <w:rPr>
          <w:rFonts w:ascii="Times New Roman" w:hAnsi="Times New Roman" w:cs="Times New Roman"/>
          <w:sz w:val="24"/>
          <w:szCs w:val="24"/>
        </w:rPr>
        <w:t xml:space="preserve"> v </w:t>
      </w:r>
      <w:r w:rsidRPr="0011525B">
        <w:rPr>
          <w:rFonts w:ascii="Times New Roman" w:hAnsi="Times New Roman" w:cs="Times New Roman"/>
          <w:i/>
          <w:sz w:val="24"/>
          <w:szCs w:val="24"/>
        </w:rPr>
        <w:t>Shiku Distibutors (Pvt) Ltd &amp; Ors</w:t>
      </w:r>
      <w:r w:rsidRPr="0011525B">
        <w:rPr>
          <w:rFonts w:ascii="Times New Roman" w:hAnsi="Times New Roman" w:cs="Times New Roman"/>
          <w:sz w:val="24"/>
          <w:szCs w:val="24"/>
        </w:rPr>
        <w:t xml:space="preserve"> 2000 (2) ZLR 11 (H); </w:t>
      </w:r>
      <w:r w:rsidRPr="0011525B">
        <w:rPr>
          <w:rFonts w:ascii="Times New Roman" w:hAnsi="Times New Roman" w:cs="Times New Roman"/>
          <w:i/>
          <w:sz w:val="24"/>
          <w:szCs w:val="24"/>
        </w:rPr>
        <w:t>Opera House (Grande Parade) Restaurant (Pvt) Ltd v Cape Town City Council</w:t>
      </w:r>
      <w:r w:rsidRPr="0011525B">
        <w:rPr>
          <w:rFonts w:ascii="Times New Roman" w:hAnsi="Times New Roman" w:cs="Times New Roman"/>
          <w:sz w:val="24"/>
          <w:szCs w:val="24"/>
        </w:rPr>
        <w:t xml:space="preserve"> 1986 (2) SA 65 (C) &amp; </w:t>
      </w:r>
      <w:r w:rsidRPr="0011525B">
        <w:rPr>
          <w:rFonts w:ascii="Times New Roman" w:hAnsi="Times New Roman" w:cs="Times New Roman"/>
          <w:i/>
          <w:sz w:val="24"/>
          <w:szCs w:val="24"/>
        </w:rPr>
        <w:t xml:space="preserve">Chenga </w:t>
      </w:r>
      <w:r w:rsidRPr="0011525B">
        <w:rPr>
          <w:rFonts w:ascii="Times New Roman" w:hAnsi="Times New Roman" w:cs="Times New Roman"/>
          <w:sz w:val="24"/>
          <w:szCs w:val="24"/>
        </w:rPr>
        <w:t>v</w:t>
      </w:r>
      <w:r w:rsidRPr="0011525B">
        <w:rPr>
          <w:rFonts w:ascii="Times New Roman" w:hAnsi="Times New Roman" w:cs="Times New Roman"/>
          <w:i/>
          <w:sz w:val="24"/>
          <w:szCs w:val="24"/>
        </w:rPr>
        <w:t xml:space="preserve"> Chikadaya &amp; Ors</w:t>
      </w:r>
      <w:r w:rsidRPr="0011525B">
        <w:rPr>
          <w:rFonts w:ascii="Times New Roman" w:hAnsi="Times New Roman" w:cs="Times New Roman"/>
          <w:sz w:val="24"/>
          <w:szCs w:val="24"/>
        </w:rPr>
        <w:t xml:space="preserve"> SC-07- 13 </w:t>
      </w:r>
    </w:p>
    <w:p w14:paraId="40D8331D" w14:textId="38E760D7" w:rsidR="00523E21" w:rsidRDefault="00523E21" w:rsidP="00181614">
      <w:pPr>
        <w:spacing w:after="0" w:line="360" w:lineRule="auto"/>
        <w:ind w:firstLine="720"/>
        <w:jc w:val="both"/>
        <w:rPr>
          <w:rFonts w:ascii="Times New Roman" w:hAnsi="Times New Roman" w:cs="Times New Roman"/>
          <w:sz w:val="24"/>
          <w:szCs w:val="24"/>
        </w:rPr>
      </w:pPr>
    </w:p>
    <w:p w14:paraId="412DBAB9" w14:textId="7280F117" w:rsidR="00B0199E" w:rsidRDefault="00B0199E" w:rsidP="00181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resolving</w:t>
      </w:r>
      <w:r w:rsidR="0011525B">
        <w:rPr>
          <w:rFonts w:ascii="Times New Roman" w:hAnsi="Times New Roman" w:cs="Times New Roman"/>
          <w:sz w:val="24"/>
          <w:szCs w:val="24"/>
        </w:rPr>
        <w:t xml:space="preserve"> the</w:t>
      </w:r>
      <w:r>
        <w:rPr>
          <w:rFonts w:ascii="Times New Roman" w:hAnsi="Times New Roman" w:cs="Times New Roman"/>
          <w:sz w:val="24"/>
          <w:szCs w:val="24"/>
        </w:rPr>
        <w:t xml:space="preserve"> question</w:t>
      </w:r>
      <w:r w:rsidR="0011525B">
        <w:rPr>
          <w:rFonts w:ascii="Times New Roman" w:hAnsi="Times New Roman" w:cs="Times New Roman"/>
          <w:sz w:val="24"/>
          <w:szCs w:val="24"/>
        </w:rPr>
        <w:t xml:space="preserve"> of whether or not Lovemore was precluded from disposing of the property as same was subj</w:t>
      </w:r>
      <w:r w:rsidR="008F21E2">
        <w:rPr>
          <w:rFonts w:ascii="Times New Roman" w:hAnsi="Times New Roman" w:cs="Times New Roman"/>
          <w:sz w:val="24"/>
          <w:szCs w:val="24"/>
        </w:rPr>
        <w:t>ect to the aforementioned doctrine</w:t>
      </w:r>
      <w:r w:rsidR="0011525B">
        <w:rPr>
          <w:rFonts w:ascii="Times New Roman" w:hAnsi="Times New Roman" w:cs="Times New Roman"/>
          <w:sz w:val="24"/>
          <w:szCs w:val="24"/>
        </w:rPr>
        <w:t>,</w:t>
      </w:r>
      <w:r>
        <w:rPr>
          <w:rFonts w:ascii="Times New Roman" w:hAnsi="Times New Roman" w:cs="Times New Roman"/>
          <w:sz w:val="24"/>
          <w:szCs w:val="24"/>
        </w:rPr>
        <w:t xml:space="preserve"> it is necessary</w:t>
      </w:r>
      <w:r w:rsidR="00C218A2">
        <w:rPr>
          <w:rFonts w:ascii="Times New Roman" w:hAnsi="Times New Roman" w:cs="Times New Roman"/>
          <w:sz w:val="24"/>
          <w:szCs w:val="24"/>
        </w:rPr>
        <w:t xml:space="preserve"> to revisit the question of onus</w:t>
      </w:r>
      <w:r>
        <w:rPr>
          <w:rFonts w:ascii="Times New Roman" w:hAnsi="Times New Roman" w:cs="Times New Roman"/>
          <w:sz w:val="24"/>
          <w:szCs w:val="24"/>
        </w:rPr>
        <w:t xml:space="preserve"> of proof in civil matters.  As a general rule, the onus in a civil matter is governed by </w:t>
      </w:r>
      <w:r w:rsidR="00081C4F">
        <w:rPr>
          <w:rFonts w:ascii="Times New Roman" w:hAnsi="Times New Roman" w:cs="Times New Roman"/>
          <w:sz w:val="24"/>
          <w:szCs w:val="24"/>
        </w:rPr>
        <w:t>the age</w:t>
      </w:r>
      <w:r w:rsidR="0011525B">
        <w:rPr>
          <w:rFonts w:ascii="Times New Roman" w:hAnsi="Times New Roman" w:cs="Times New Roman"/>
          <w:sz w:val="24"/>
          <w:szCs w:val="24"/>
        </w:rPr>
        <w:t>-</w:t>
      </w:r>
      <w:r>
        <w:rPr>
          <w:rFonts w:ascii="Times New Roman" w:hAnsi="Times New Roman" w:cs="Times New Roman"/>
          <w:sz w:val="24"/>
          <w:szCs w:val="24"/>
        </w:rPr>
        <w:t>old principle that he who alleges must prove, in other words h</w:t>
      </w:r>
      <w:r w:rsidR="00C218A2">
        <w:rPr>
          <w:rFonts w:ascii="Times New Roman" w:hAnsi="Times New Roman" w:cs="Times New Roman"/>
          <w:sz w:val="24"/>
          <w:szCs w:val="24"/>
        </w:rPr>
        <w:t>e who makes a positive as</w:t>
      </w:r>
      <w:r w:rsidR="0011525B">
        <w:rPr>
          <w:rFonts w:ascii="Times New Roman" w:hAnsi="Times New Roman" w:cs="Times New Roman"/>
          <w:sz w:val="24"/>
          <w:szCs w:val="24"/>
        </w:rPr>
        <w:t>s</w:t>
      </w:r>
      <w:r w:rsidR="00C218A2">
        <w:rPr>
          <w:rFonts w:ascii="Times New Roman" w:hAnsi="Times New Roman" w:cs="Times New Roman"/>
          <w:sz w:val="24"/>
          <w:szCs w:val="24"/>
        </w:rPr>
        <w:t>ertion</w:t>
      </w:r>
      <w:r>
        <w:rPr>
          <w:rFonts w:ascii="Times New Roman" w:hAnsi="Times New Roman" w:cs="Times New Roman"/>
          <w:sz w:val="24"/>
          <w:szCs w:val="24"/>
        </w:rPr>
        <w:t xml:space="preserve"> must prove it and not he who denies, </w:t>
      </w:r>
      <w:r w:rsidR="0011525B">
        <w:rPr>
          <w:rFonts w:ascii="Times New Roman" w:hAnsi="Times New Roman" w:cs="Times New Roman"/>
          <w:sz w:val="24"/>
          <w:szCs w:val="24"/>
        </w:rPr>
        <w:t>s</w:t>
      </w:r>
      <w:r w:rsidRPr="0011525B">
        <w:rPr>
          <w:rFonts w:ascii="Times New Roman" w:hAnsi="Times New Roman" w:cs="Times New Roman"/>
          <w:sz w:val="24"/>
          <w:szCs w:val="24"/>
        </w:rPr>
        <w:t>ee</w:t>
      </w:r>
      <w:r>
        <w:rPr>
          <w:rFonts w:ascii="Times New Roman" w:hAnsi="Times New Roman" w:cs="Times New Roman"/>
          <w:sz w:val="24"/>
          <w:szCs w:val="24"/>
        </w:rPr>
        <w:t xml:space="preserve"> </w:t>
      </w:r>
      <w:r w:rsidRPr="00377D41">
        <w:rPr>
          <w:rFonts w:ascii="Times New Roman" w:hAnsi="Times New Roman" w:cs="Times New Roman"/>
          <w:i/>
          <w:sz w:val="24"/>
          <w:szCs w:val="24"/>
        </w:rPr>
        <w:t xml:space="preserve">Pillay </w:t>
      </w:r>
      <w:r w:rsidRPr="0011525B">
        <w:rPr>
          <w:rFonts w:ascii="Times New Roman" w:hAnsi="Times New Roman" w:cs="Times New Roman"/>
          <w:iCs/>
          <w:sz w:val="24"/>
          <w:szCs w:val="24"/>
        </w:rPr>
        <w:t>v</w:t>
      </w:r>
      <w:r w:rsidRPr="00377D41">
        <w:rPr>
          <w:rFonts w:ascii="Times New Roman" w:hAnsi="Times New Roman" w:cs="Times New Roman"/>
          <w:i/>
          <w:sz w:val="24"/>
          <w:szCs w:val="24"/>
        </w:rPr>
        <w:t xml:space="preserve"> Krishna &amp; Another</w:t>
      </w:r>
      <w:r>
        <w:rPr>
          <w:rFonts w:ascii="Times New Roman" w:hAnsi="Times New Roman" w:cs="Times New Roman"/>
          <w:sz w:val="24"/>
          <w:szCs w:val="24"/>
        </w:rPr>
        <w:t xml:space="preserve"> 1946 AD 946; </w:t>
      </w:r>
      <w:r w:rsidRPr="00377D41">
        <w:rPr>
          <w:rFonts w:ascii="Times New Roman" w:hAnsi="Times New Roman" w:cs="Times New Roman"/>
          <w:i/>
          <w:sz w:val="24"/>
          <w:szCs w:val="24"/>
        </w:rPr>
        <w:t xml:space="preserve">Book </w:t>
      </w:r>
      <w:r w:rsidRPr="0011525B">
        <w:rPr>
          <w:rFonts w:ascii="Times New Roman" w:hAnsi="Times New Roman" w:cs="Times New Roman"/>
          <w:iCs/>
          <w:sz w:val="24"/>
          <w:szCs w:val="24"/>
        </w:rPr>
        <w:t>v</w:t>
      </w:r>
      <w:r w:rsidRPr="00377D41">
        <w:rPr>
          <w:rFonts w:ascii="Times New Roman" w:hAnsi="Times New Roman" w:cs="Times New Roman"/>
          <w:i/>
          <w:sz w:val="24"/>
          <w:szCs w:val="24"/>
        </w:rPr>
        <w:t xml:space="preserve"> Davidson</w:t>
      </w:r>
      <w:r>
        <w:rPr>
          <w:rFonts w:ascii="Times New Roman" w:hAnsi="Times New Roman" w:cs="Times New Roman"/>
          <w:sz w:val="24"/>
          <w:szCs w:val="24"/>
        </w:rPr>
        <w:t xml:space="preserve"> 1988 (1</w:t>
      </w:r>
      <w:r w:rsidR="00081C4F">
        <w:rPr>
          <w:rFonts w:ascii="Times New Roman" w:hAnsi="Times New Roman" w:cs="Times New Roman"/>
          <w:sz w:val="24"/>
          <w:szCs w:val="24"/>
        </w:rPr>
        <w:t>) ZLR</w:t>
      </w:r>
      <w:r>
        <w:rPr>
          <w:rFonts w:ascii="Times New Roman" w:hAnsi="Times New Roman" w:cs="Times New Roman"/>
          <w:sz w:val="24"/>
          <w:szCs w:val="24"/>
        </w:rPr>
        <w:t xml:space="preserve"> 365 (S); &amp; </w:t>
      </w:r>
      <w:r w:rsidRPr="00377D41">
        <w:rPr>
          <w:rFonts w:ascii="Times New Roman" w:hAnsi="Times New Roman" w:cs="Times New Roman"/>
          <w:i/>
          <w:sz w:val="24"/>
          <w:szCs w:val="24"/>
        </w:rPr>
        <w:t xml:space="preserve">Astra Industries Ltd </w:t>
      </w:r>
      <w:r w:rsidRPr="0011525B">
        <w:rPr>
          <w:rFonts w:ascii="Times New Roman" w:hAnsi="Times New Roman" w:cs="Times New Roman"/>
          <w:iCs/>
          <w:sz w:val="24"/>
          <w:szCs w:val="24"/>
        </w:rPr>
        <w:t>v</w:t>
      </w:r>
      <w:r w:rsidRPr="00377D41">
        <w:rPr>
          <w:rFonts w:ascii="Times New Roman" w:hAnsi="Times New Roman" w:cs="Times New Roman"/>
          <w:i/>
          <w:sz w:val="24"/>
          <w:szCs w:val="24"/>
        </w:rPr>
        <w:t xml:space="preserve"> Chamburuka</w:t>
      </w:r>
      <w:r>
        <w:rPr>
          <w:rFonts w:ascii="Times New Roman" w:hAnsi="Times New Roman" w:cs="Times New Roman"/>
          <w:sz w:val="24"/>
          <w:szCs w:val="24"/>
        </w:rPr>
        <w:t xml:space="preserve"> SC-12-12. </w:t>
      </w:r>
    </w:p>
    <w:p w14:paraId="12612739" w14:textId="0DEDF581" w:rsidR="00377D41" w:rsidRDefault="00377D41" w:rsidP="00181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377D41">
        <w:rPr>
          <w:rFonts w:ascii="Times New Roman" w:hAnsi="Times New Roman" w:cs="Times New Roman"/>
          <w:i/>
          <w:sz w:val="24"/>
          <w:szCs w:val="24"/>
        </w:rPr>
        <w:t xml:space="preserve">Astra Industries Ltd </w:t>
      </w:r>
      <w:r w:rsidRPr="00C77DAF">
        <w:rPr>
          <w:rFonts w:ascii="Times New Roman" w:hAnsi="Times New Roman" w:cs="Times New Roman"/>
          <w:iCs/>
          <w:sz w:val="24"/>
          <w:szCs w:val="24"/>
        </w:rPr>
        <w:t>v</w:t>
      </w:r>
      <w:r w:rsidRPr="00377D41">
        <w:rPr>
          <w:rFonts w:ascii="Times New Roman" w:hAnsi="Times New Roman" w:cs="Times New Roman"/>
          <w:i/>
          <w:sz w:val="24"/>
          <w:szCs w:val="24"/>
        </w:rPr>
        <w:t xml:space="preserve"> Chamburuka</w:t>
      </w:r>
      <w:r>
        <w:rPr>
          <w:rFonts w:ascii="Times New Roman" w:hAnsi="Times New Roman" w:cs="Times New Roman"/>
          <w:sz w:val="24"/>
          <w:szCs w:val="24"/>
        </w:rPr>
        <w:t xml:space="preserve"> (</w:t>
      </w:r>
      <w:r w:rsidRPr="00C77DAF">
        <w:rPr>
          <w:rFonts w:ascii="Times New Roman" w:hAnsi="Times New Roman" w:cs="Times New Roman"/>
          <w:i/>
          <w:iCs/>
          <w:sz w:val="24"/>
          <w:szCs w:val="24"/>
        </w:rPr>
        <w:t>supra</w:t>
      </w:r>
      <w:r>
        <w:rPr>
          <w:rFonts w:ascii="Times New Roman" w:hAnsi="Times New Roman" w:cs="Times New Roman"/>
          <w:sz w:val="24"/>
          <w:szCs w:val="24"/>
        </w:rPr>
        <w:t>) the principle was state</w:t>
      </w:r>
      <w:r w:rsidR="00C218A2">
        <w:rPr>
          <w:rFonts w:ascii="Times New Roman" w:hAnsi="Times New Roman" w:cs="Times New Roman"/>
          <w:sz w:val="24"/>
          <w:szCs w:val="24"/>
        </w:rPr>
        <w:t>d</w:t>
      </w:r>
      <w:r>
        <w:rPr>
          <w:rFonts w:ascii="Times New Roman" w:hAnsi="Times New Roman" w:cs="Times New Roman"/>
          <w:sz w:val="24"/>
          <w:szCs w:val="24"/>
        </w:rPr>
        <w:t xml:space="preserve"> in the following terms</w:t>
      </w:r>
      <w:r w:rsidR="00C77DAF">
        <w:rPr>
          <w:rFonts w:ascii="Times New Roman" w:hAnsi="Times New Roman" w:cs="Times New Roman"/>
          <w:sz w:val="24"/>
          <w:szCs w:val="24"/>
        </w:rPr>
        <w:t>:</w:t>
      </w:r>
    </w:p>
    <w:p w14:paraId="76B46666" w14:textId="64EEAFA4" w:rsidR="00C77DAF" w:rsidRPr="00C77DAF" w:rsidRDefault="00C77DAF" w:rsidP="00C77DAF">
      <w:pPr>
        <w:spacing w:after="0" w:line="360" w:lineRule="auto"/>
        <w:jc w:val="both"/>
        <w:rPr>
          <w:rFonts w:ascii="Times New Roman" w:eastAsia="Calibri" w:hAnsi="Times New Roman" w:cs="Times New Roman"/>
          <w:sz w:val="24"/>
          <w:szCs w:val="24"/>
        </w:rPr>
      </w:pPr>
    </w:p>
    <w:p w14:paraId="01C95011" w14:textId="77777777" w:rsidR="00C77DAF" w:rsidRPr="00C77DAF" w:rsidRDefault="00C77DAF" w:rsidP="00C77DAF">
      <w:pPr>
        <w:spacing w:after="0" w:line="360" w:lineRule="auto"/>
        <w:ind w:left="720"/>
        <w:jc w:val="both"/>
        <w:rPr>
          <w:rFonts w:ascii="Times New Roman" w:eastAsia="Calibri" w:hAnsi="Times New Roman" w:cs="Times New Roman"/>
          <w:iCs/>
        </w:rPr>
      </w:pPr>
      <w:r w:rsidRPr="00C77DAF">
        <w:rPr>
          <w:rFonts w:ascii="Times New Roman" w:eastAsia="Calibri" w:hAnsi="Times New Roman" w:cs="Times New Roman"/>
          <w:iCs/>
        </w:rPr>
        <w:t xml:space="preserve">“The position is now settled in our law that in civil proceedings a party who makes a positive allegation bears the burden to prove such allegations. </w:t>
      </w:r>
    </w:p>
    <w:p w14:paraId="23115D24" w14:textId="77777777" w:rsidR="00C77DAF" w:rsidRPr="00C77DAF" w:rsidRDefault="00C77DAF" w:rsidP="00C77DAF">
      <w:pPr>
        <w:spacing w:after="0" w:line="360" w:lineRule="auto"/>
        <w:ind w:left="720"/>
        <w:jc w:val="both"/>
        <w:rPr>
          <w:rFonts w:ascii="Times New Roman" w:eastAsia="Calibri" w:hAnsi="Times New Roman" w:cs="Times New Roman"/>
          <w:iCs/>
        </w:rPr>
      </w:pPr>
      <w:r w:rsidRPr="00C77DAF">
        <w:rPr>
          <w:rFonts w:ascii="Times New Roman" w:eastAsia="Calibri" w:hAnsi="Times New Roman" w:cs="Times New Roman"/>
          <w:iCs/>
        </w:rPr>
        <w:t xml:space="preserve">In </w:t>
      </w:r>
      <w:r w:rsidRPr="00C77DAF">
        <w:rPr>
          <w:rFonts w:ascii="Times New Roman" w:eastAsia="Calibri" w:hAnsi="Times New Roman" w:cs="Times New Roman"/>
          <w:i/>
        </w:rPr>
        <w:t xml:space="preserve">Book </w:t>
      </w:r>
      <w:r w:rsidRPr="00C77DAF">
        <w:rPr>
          <w:rFonts w:ascii="Times New Roman" w:eastAsia="Calibri" w:hAnsi="Times New Roman" w:cs="Times New Roman"/>
          <w:iCs/>
        </w:rPr>
        <w:t>v</w:t>
      </w:r>
      <w:r w:rsidRPr="00C77DAF">
        <w:rPr>
          <w:rFonts w:ascii="Times New Roman" w:eastAsia="Calibri" w:hAnsi="Times New Roman" w:cs="Times New Roman"/>
          <w:i/>
        </w:rPr>
        <w:t xml:space="preserve"> Davidson</w:t>
      </w:r>
      <w:r w:rsidRPr="00C77DAF">
        <w:rPr>
          <w:rFonts w:ascii="Times New Roman" w:eastAsia="Calibri" w:hAnsi="Times New Roman" w:cs="Times New Roman"/>
          <w:iCs/>
        </w:rPr>
        <w:t xml:space="preserve"> 1988 (1) ZLR 365 (S) at 384 B-F DUMBUTSHENA CJ quoted with approval the words of POTGEITER AJA in </w:t>
      </w:r>
      <w:r w:rsidRPr="00C77DAF">
        <w:rPr>
          <w:rFonts w:ascii="Times New Roman" w:eastAsia="Calibri" w:hAnsi="Times New Roman" w:cs="Times New Roman"/>
          <w:i/>
        </w:rPr>
        <w:t xml:space="preserve">Mobil Southern Africa (Pvt) Ltd </w:t>
      </w:r>
      <w:r w:rsidRPr="00C77DAF">
        <w:rPr>
          <w:rFonts w:ascii="Times New Roman" w:eastAsia="Calibri" w:hAnsi="Times New Roman" w:cs="Times New Roman"/>
          <w:iCs/>
        </w:rPr>
        <w:t>v</w:t>
      </w:r>
      <w:r w:rsidRPr="00C77DAF">
        <w:rPr>
          <w:rFonts w:ascii="Times New Roman" w:eastAsia="Calibri" w:hAnsi="Times New Roman" w:cs="Times New Roman"/>
          <w:i/>
        </w:rPr>
        <w:t xml:space="preserve"> Mechin</w:t>
      </w:r>
      <w:r w:rsidRPr="00C77DAF">
        <w:rPr>
          <w:rFonts w:ascii="Times New Roman" w:eastAsia="Calibri" w:hAnsi="Times New Roman" w:cs="Times New Roman"/>
          <w:iCs/>
        </w:rPr>
        <w:t xml:space="preserve"> 1965(2) SA 706 AD at 711 E-G:</w:t>
      </w:r>
    </w:p>
    <w:p w14:paraId="6C2EF410" w14:textId="77777777" w:rsidR="00C77DAF" w:rsidRPr="00C77DAF" w:rsidRDefault="00C77DAF" w:rsidP="008F21E2">
      <w:pPr>
        <w:spacing w:after="0" w:line="360" w:lineRule="auto"/>
        <w:ind w:left="1440"/>
        <w:jc w:val="both"/>
        <w:rPr>
          <w:rFonts w:ascii="Times New Roman" w:eastAsia="Calibri" w:hAnsi="Times New Roman" w:cs="Times New Roman"/>
          <w:iCs/>
        </w:rPr>
      </w:pPr>
      <w:r w:rsidRPr="00C77DAF">
        <w:rPr>
          <w:rFonts w:ascii="Times New Roman" w:eastAsia="Calibri" w:hAnsi="Times New Roman" w:cs="Times New Roman"/>
          <w:iCs/>
        </w:rPr>
        <w:t xml:space="preserve">“The general principle governing the determination of the incidence of the onus is the stated in </w:t>
      </w:r>
      <w:r w:rsidRPr="00C77DAF">
        <w:rPr>
          <w:rFonts w:ascii="Times New Roman" w:eastAsia="Calibri" w:hAnsi="Times New Roman" w:cs="Times New Roman"/>
          <w:i/>
        </w:rPr>
        <w:t>Corpus luris Simper necessitas probandilcumbitilli quur agit</w:t>
      </w:r>
      <w:r w:rsidRPr="00C77DAF">
        <w:rPr>
          <w:rFonts w:ascii="Times New Roman" w:eastAsia="Calibri" w:hAnsi="Times New Roman" w:cs="Times New Roman"/>
          <w:iCs/>
        </w:rPr>
        <w:t>. In other words, he who seeks a remedy must prove the grounds therefore”</w:t>
      </w:r>
    </w:p>
    <w:p w14:paraId="342A6B48" w14:textId="21AFCF1A" w:rsidR="00377D41" w:rsidRDefault="00377D41" w:rsidP="00181614">
      <w:pPr>
        <w:spacing w:after="0" w:line="360" w:lineRule="auto"/>
        <w:ind w:firstLine="720"/>
        <w:jc w:val="both"/>
        <w:rPr>
          <w:rFonts w:ascii="Times New Roman" w:hAnsi="Times New Roman" w:cs="Times New Roman"/>
          <w:sz w:val="24"/>
          <w:szCs w:val="24"/>
        </w:rPr>
      </w:pPr>
    </w:p>
    <w:p w14:paraId="5A627E20" w14:textId="77777777" w:rsidR="00377D41" w:rsidRDefault="00377D41" w:rsidP="00181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to this general principle th</w:t>
      </w:r>
      <w:r w:rsidR="00C218A2">
        <w:rPr>
          <w:rFonts w:ascii="Times New Roman" w:hAnsi="Times New Roman" w:cs="Times New Roman"/>
          <w:sz w:val="24"/>
          <w:szCs w:val="24"/>
        </w:rPr>
        <w:t>ere are exceptions.  Where a def</w:t>
      </w:r>
      <w:r>
        <w:rPr>
          <w:rFonts w:ascii="Times New Roman" w:hAnsi="Times New Roman" w:cs="Times New Roman"/>
          <w:sz w:val="24"/>
          <w:szCs w:val="24"/>
        </w:rPr>
        <w:t xml:space="preserve">endant raises a special defence to the claim the onus is on him to prove such special defence.  In </w:t>
      </w:r>
      <w:r w:rsidRPr="00134099">
        <w:rPr>
          <w:rFonts w:ascii="Times New Roman" w:hAnsi="Times New Roman" w:cs="Times New Roman"/>
          <w:i/>
          <w:sz w:val="24"/>
          <w:szCs w:val="24"/>
        </w:rPr>
        <w:t xml:space="preserve">Pillay </w:t>
      </w:r>
      <w:r w:rsidRPr="00C77DAF">
        <w:rPr>
          <w:rFonts w:ascii="Times New Roman" w:hAnsi="Times New Roman" w:cs="Times New Roman"/>
          <w:iCs/>
          <w:sz w:val="24"/>
          <w:szCs w:val="24"/>
        </w:rPr>
        <w:t>v</w:t>
      </w:r>
      <w:r w:rsidRPr="00134099">
        <w:rPr>
          <w:rFonts w:ascii="Times New Roman" w:hAnsi="Times New Roman" w:cs="Times New Roman"/>
          <w:i/>
          <w:sz w:val="24"/>
          <w:szCs w:val="24"/>
        </w:rPr>
        <w:t xml:space="preserve"> Krisha and</w:t>
      </w:r>
      <w:r>
        <w:rPr>
          <w:rFonts w:ascii="Times New Roman" w:hAnsi="Times New Roman" w:cs="Times New Roman"/>
          <w:sz w:val="24"/>
          <w:szCs w:val="24"/>
        </w:rPr>
        <w:t xml:space="preserve"> </w:t>
      </w:r>
      <w:r w:rsidRPr="00134099">
        <w:rPr>
          <w:rFonts w:ascii="Times New Roman" w:hAnsi="Times New Roman" w:cs="Times New Roman"/>
          <w:i/>
          <w:sz w:val="24"/>
          <w:szCs w:val="24"/>
        </w:rPr>
        <w:t>Another</w:t>
      </w:r>
      <w:r>
        <w:rPr>
          <w:rFonts w:ascii="Times New Roman" w:hAnsi="Times New Roman" w:cs="Times New Roman"/>
          <w:sz w:val="24"/>
          <w:szCs w:val="24"/>
        </w:rPr>
        <w:t xml:space="preserve"> (Supra) this principle was stated as follows;</w:t>
      </w:r>
    </w:p>
    <w:p w14:paraId="0F8D6AB8" w14:textId="77777777" w:rsidR="00B278A5" w:rsidRDefault="00B278A5" w:rsidP="00181614">
      <w:pPr>
        <w:spacing w:after="0" w:line="360" w:lineRule="auto"/>
        <w:ind w:firstLine="720"/>
        <w:jc w:val="both"/>
        <w:rPr>
          <w:rFonts w:ascii="Times New Roman" w:hAnsi="Times New Roman" w:cs="Times New Roman"/>
          <w:sz w:val="24"/>
          <w:szCs w:val="24"/>
        </w:rPr>
      </w:pPr>
    </w:p>
    <w:p w14:paraId="3F43C732" w14:textId="77777777" w:rsidR="00927C9C" w:rsidRPr="008F21E2" w:rsidRDefault="00927C9C" w:rsidP="00B278A5">
      <w:pPr>
        <w:pStyle w:val="NoSpacing"/>
        <w:ind w:left="720"/>
        <w:jc w:val="both"/>
        <w:rPr>
          <w:rFonts w:ascii="Times New Roman" w:hAnsi="Times New Roman" w:cs="Times New Roman"/>
        </w:rPr>
      </w:pPr>
      <w:r w:rsidRPr="008F21E2">
        <w:t>“</w:t>
      </w:r>
      <w:r w:rsidRPr="008F21E2">
        <w:rPr>
          <w:rFonts w:ascii="Times New Roman" w:hAnsi="Times New Roman" w:cs="Times New Roman"/>
        </w:rPr>
        <w:t xml:space="preserve">If one person claims something from another in a court of law, then he has to satisfy the court that he is entitled to it.  But there is a second principle which must always be read with </w:t>
      </w:r>
      <w:r w:rsidR="00F550A3" w:rsidRPr="008F21E2">
        <w:rPr>
          <w:rFonts w:ascii="Times New Roman" w:hAnsi="Times New Roman" w:cs="Times New Roman"/>
        </w:rPr>
        <w:t>it: where</w:t>
      </w:r>
      <w:r w:rsidRPr="008F21E2">
        <w:rPr>
          <w:rFonts w:ascii="Times New Roman" w:hAnsi="Times New Roman" w:cs="Times New Roman"/>
        </w:rPr>
        <w:t xml:space="preserve"> the person against whom</w:t>
      </w:r>
      <w:r w:rsidR="00F550A3" w:rsidRPr="008F21E2">
        <w:rPr>
          <w:rFonts w:ascii="Times New Roman" w:hAnsi="Times New Roman" w:cs="Times New Roman"/>
        </w:rPr>
        <w:t xml:space="preserve"> the claim is made is not content with a mere denial of that claim, but sets out</w:t>
      </w:r>
      <w:r w:rsidR="00C218A2" w:rsidRPr="008F21E2">
        <w:rPr>
          <w:rFonts w:ascii="Times New Roman" w:hAnsi="Times New Roman" w:cs="Times New Roman"/>
        </w:rPr>
        <w:t xml:space="preserve"> a</w:t>
      </w:r>
      <w:r w:rsidR="00F550A3" w:rsidRPr="008F21E2">
        <w:rPr>
          <w:rFonts w:ascii="Times New Roman" w:hAnsi="Times New Roman" w:cs="Times New Roman"/>
        </w:rPr>
        <w:t xml:space="preserve"> special defence, then</w:t>
      </w:r>
      <w:r w:rsidR="00C218A2" w:rsidRPr="008F21E2">
        <w:rPr>
          <w:rFonts w:ascii="Times New Roman" w:hAnsi="Times New Roman" w:cs="Times New Roman"/>
        </w:rPr>
        <w:t xml:space="preserve"> he</w:t>
      </w:r>
      <w:r w:rsidR="00F550A3" w:rsidRPr="008F21E2">
        <w:rPr>
          <w:rFonts w:ascii="Times New Roman" w:hAnsi="Times New Roman" w:cs="Times New Roman"/>
        </w:rPr>
        <w:t xml:space="preserve"> is regarded qu</w:t>
      </w:r>
      <w:r w:rsidR="00C218A2" w:rsidRPr="008F21E2">
        <w:rPr>
          <w:rFonts w:ascii="Times New Roman" w:hAnsi="Times New Roman" w:cs="Times New Roman"/>
        </w:rPr>
        <w:t>o</w:t>
      </w:r>
      <w:r w:rsidR="00F550A3" w:rsidRPr="008F21E2">
        <w:rPr>
          <w:rFonts w:ascii="Times New Roman" w:hAnsi="Times New Roman" w:cs="Times New Roman"/>
        </w:rPr>
        <w:t>ad that defence, as being the claimant; for his defence to be upheld, he must satisfy the court that he is entitled to succeed on it”</w:t>
      </w:r>
    </w:p>
    <w:p w14:paraId="263DA567" w14:textId="77777777" w:rsidR="001B73C4" w:rsidRPr="008F21E2" w:rsidRDefault="001B73C4" w:rsidP="00134099">
      <w:pPr>
        <w:spacing w:after="0" w:line="360" w:lineRule="auto"/>
        <w:jc w:val="both"/>
        <w:rPr>
          <w:rFonts w:ascii="Times New Roman" w:hAnsi="Times New Roman" w:cs="Times New Roman"/>
        </w:rPr>
      </w:pPr>
    </w:p>
    <w:p w14:paraId="25FF2AE6" w14:textId="7CF0019E" w:rsidR="00B278A5" w:rsidRDefault="00B278A5" w:rsidP="00B278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instant case, the first respondent having raised the special defence of </w:t>
      </w:r>
      <w:r w:rsidRPr="00C77DAF">
        <w:rPr>
          <w:rFonts w:ascii="Times New Roman" w:hAnsi="Times New Roman" w:cs="Times New Roman"/>
          <w:i/>
          <w:iCs/>
          <w:sz w:val="24"/>
          <w:szCs w:val="24"/>
        </w:rPr>
        <w:t>res litigiosa</w:t>
      </w:r>
      <w:r>
        <w:rPr>
          <w:rFonts w:ascii="Times New Roman" w:hAnsi="Times New Roman" w:cs="Times New Roman"/>
          <w:sz w:val="24"/>
          <w:szCs w:val="24"/>
        </w:rPr>
        <w:t>, the onus naturally rested on her to prove the same.  In this regard the first respondent attached to her notice of opposition</w:t>
      </w:r>
      <w:r w:rsidR="00C77DAF">
        <w:rPr>
          <w:rFonts w:ascii="Times New Roman" w:hAnsi="Times New Roman" w:cs="Times New Roman"/>
          <w:sz w:val="24"/>
          <w:szCs w:val="24"/>
        </w:rPr>
        <w:t>,</w:t>
      </w:r>
      <w:r>
        <w:rPr>
          <w:rFonts w:ascii="Times New Roman" w:hAnsi="Times New Roman" w:cs="Times New Roman"/>
          <w:sz w:val="24"/>
          <w:szCs w:val="24"/>
        </w:rPr>
        <w:t xml:space="preserve"> a copy of the summons under GL 08/2018 issued by the clerk of the Zvishavane Magistrates Court on 05 January 2018.</w:t>
      </w:r>
    </w:p>
    <w:p w14:paraId="491D8229" w14:textId="77777777" w:rsidR="003B6534" w:rsidRPr="00C77DAF" w:rsidRDefault="003B6534" w:rsidP="00B278A5">
      <w:pPr>
        <w:spacing w:after="0" w:line="360" w:lineRule="auto"/>
        <w:ind w:firstLine="720"/>
        <w:jc w:val="both"/>
        <w:rPr>
          <w:rFonts w:ascii="Times New Roman" w:hAnsi="Times New Roman" w:cs="Times New Roman"/>
          <w:iCs/>
          <w:sz w:val="24"/>
          <w:szCs w:val="24"/>
        </w:rPr>
      </w:pPr>
      <w:r>
        <w:rPr>
          <w:rFonts w:ascii="Times New Roman" w:hAnsi="Times New Roman" w:cs="Times New Roman"/>
          <w:sz w:val="24"/>
          <w:szCs w:val="24"/>
        </w:rPr>
        <w:t>The summons called upon Lovemore Takavarasha to answer Leah Madzivadondo’s claim for;</w:t>
      </w:r>
    </w:p>
    <w:p w14:paraId="0C17391D" w14:textId="77777777" w:rsidR="003B6534" w:rsidRPr="00C77DAF" w:rsidRDefault="003B6534" w:rsidP="00AC4623">
      <w:pPr>
        <w:pStyle w:val="NoSpacing"/>
        <w:ind w:left="720"/>
        <w:rPr>
          <w:rFonts w:ascii="Times New Roman" w:hAnsi="Times New Roman" w:cs="Times New Roman"/>
          <w:iCs/>
          <w:sz w:val="24"/>
          <w:szCs w:val="24"/>
        </w:rPr>
      </w:pPr>
      <w:r w:rsidRPr="00C77DAF">
        <w:rPr>
          <w:rFonts w:ascii="Times New Roman" w:hAnsi="Times New Roman" w:cs="Times New Roman"/>
          <w:iCs/>
          <w:sz w:val="24"/>
          <w:szCs w:val="24"/>
        </w:rPr>
        <w:t>“......the removal of the names Lovemore Takavarasha from the files of Stand No. 1191 Highlands, Zvishavane and those of the plaintiff be put instead</w:t>
      </w:r>
      <w:r w:rsidR="00AC4623" w:rsidRPr="00C77DAF">
        <w:rPr>
          <w:rFonts w:ascii="Times New Roman" w:hAnsi="Times New Roman" w:cs="Times New Roman"/>
          <w:iCs/>
          <w:sz w:val="24"/>
          <w:szCs w:val="24"/>
        </w:rPr>
        <w:t>”</w:t>
      </w:r>
      <w:r w:rsidRPr="00C77DAF">
        <w:rPr>
          <w:rFonts w:ascii="Times New Roman" w:hAnsi="Times New Roman" w:cs="Times New Roman"/>
          <w:iCs/>
          <w:sz w:val="24"/>
          <w:szCs w:val="24"/>
        </w:rPr>
        <w:t>.</w:t>
      </w:r>
    </w:p>
    <w:p w14:paraId="71F6B552" w14:textId="77777777" w:rsidR="003B6534" w:rsidRPr="00C77DAF" w:rsidRDefault="003B6534" w:rsidP="00AC4623">
      <w:pPr>
        <w:pStyle w:val="NoSpacing"/>
        <w:ind w:left="720"/>
        <w:rPr>
          <w:rFonts w:ascii="Times New Roman" w:hAnsi="Times New Roman" w:cs="Times New Roman"/>
          <w:iCs/>
          <w:sz w:val="24"/>
          <w:szCs w:val="24"/>
        </w:rPr>
      </w:pPr>
    </w:p>
    <w:p w14:paraId="2096F5F0" w14:textId="62B8DA84" w:rsidR="003B6534" w:rsidRDefault="003B6534" w:rsidP="00B278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particulars of claim in that summons w</w:t>
      </w:r>
      <w:r w:rsidR="00C77DAF">
        <w:rPr>
          <w:rFonts w:ascii="Times New Roman" w:hAnsi="Times New Roman" w:cs="Times New Roman"/>
          <w:sz w:val="24"/>
          <w:szCs w:val="24"/>
        </w:rPr>
        <w:t>ere</w:t>
      </w:r>
      <w:r>
        <w:rPr>
          <w:rFonts w:ascii="Times New Roman" w:hAnsi="Times New Roman" w:cs="Times New Roman"/>
          <w:sz w:val="24"/>
          <w:szCs w:val="24"/>
        </w:rPr>
        <w:t xml:space="preserve"> captured thus</w:t>
      </w:r>
      <w:r w:rsidR="00C77DAF">
        <w:rPr>
          <w:rFonts w:ascii="Times New Roman" w:hAnsi="Times New Roman" w:cs="Times New Roman"/>
          <w:sz w:val="24"/>
          <w:szCs w:val="24"/>
        </w:rPr>
        <w:t>:</w:t>
      </w:r>
    </w:p>
    <w:p w14:paraId="5A65C86F" w14:textId="77777777" w:rsidR="005A667A" w:rsidRPr="00C77DAF" w:rsidRDefault="005A667A" w:rsidP="00C77DAF">
      <w:pPr>
        <w:spacing w:after="0" w:line="360" w:lineRule="auto"/>
        <w:ind w:left="720" w:firstLine="720"/>
        <w:jc w:val="both"/>
        <w:rPr>
          <w:rFonts w:ascii="Times New Roman" w:hAnsi="Times New Roman" w:cs="Times New Roman"/>
          <w:b/>
          <w:bCs/>
        </w:rPr>
      </w:pPr>
      <w:r w:rsidRPr="00C77DAF">
        <w:rPr>
          <w:rFonts w:ascii="Times New Roman" w:hAnsi="Times New Roman" w:cs="Times New Roman"/>
          <w:b/>
          <w:bCs/>
        </w:rPr>
        <w:t>Particulars of claim</w:t>
      </w:r>
    </w:p>
    <w:p w14:paraId="0DC738C6" w14:textId="77777777" w:rsidR="005A667A" w:rsidRPr="00C77DAF" w:rsidRDefault="005A667A" w:rsidP="00C77DAF">
      <w:pPr>
        <w:spacing w:after="0" w:line="360" w:lineRule="auto"/>
        <w:ind w:left="720" w:firstLine="720"/>
        <w:jc w:val="both"/>
        <w:rPr>
          <w:rFonts w:ascii="Times New Roman" w:hAnsi="Times New Roman" w:cs="Times New Roman"/>
        </w:rPr>
      </w:pPr>
      <w:r w:rsidRPr="00C77DAF">
        <w:rPr>
          <w:rFonts w:ascii="Times New Roman" w:hAnsi="Times New Roman" w:cs="Times New Roman"/>
        </w:rPr>
        <w:t>The 1</w:t>
      </w:r>
      <w:r w:rsidRPr="00C77DAF">
        <w:rPr>
          <w:rFonts w:ascii="Times New Roman" w:hAnsi="Times New Roman" w:cs="Times New Roman"/>
          <w:vertAlign w:val="superscript"/>
        </w:rPr>
        <w:t>st</w:t>
      </w:r>
      <w:r w:rsidRPr="00C77DAF">
        <w:rPr>
          <w:rFonts w:ascii="Times New Roman" w:hAnsi="Times New Roman" w:cs="Times New Roman"/>
        </w:rPr>
        <w:t xml:space="preserve"> dependant is son of the late Diana Jani.  Diana Jani lived in a promiscuous relationship(sic) with the late Oliviate Madzivadondo who is brother to plaintiff when Diana Jani died it was discovered that Diana’s relatives wanted to take over the stand in question.  There was resistance from the plaintiff</w:t>
      </w:r>
      <w:r w:rsidR="00C218A2" w:rsidRPr="00C77DAF">
        <w:rPr>
          <w:rFonts w:ascii="Times New Roman" w:hAnsi="Times New Roman" w:cs="Times New Roman"/>
        </w:rPr>
        <w:t>’s</w:t>
      </w:r>
      <w:r w:rsidRPr="00C77DAF">
        <w:rPr>
          <w:rFonts w:ascii="Times New Roman" w:hAnsi="Times New Roman" w:cs="Times New Roman"/>
        </w:rPr>
        <w:t xml:space="preserve"> relatives.  On 31</w:t>
      </w:r>
      <w:r w:rsidR="004F5F27" w:rsidRPr="00C77DAF">
        <w:rPr>
          <w:rFonts w:ascii="Times New Roman" w:hAnsi="Times New Roman" w:cs="Times New Roman"/>
        </w:rPr>
        <w:t xml:space="preserve"> </w:t>
      </w:r>
      <w:r w:rsidRPr="00C77DAF">
        <w:rPr>
          <w:rFonts w:ascii="Times New Roman" w:hAnsi="Times New Roman" w:cs="Times New Roman"/>
        </w:rPr>
        <w:t xml:space="preserve">December 2016 there was a gathering of all the relatives at the Jani family. It was </w:t>
      </w:r>
      <w:r w:rsidR="004F5F27" w:rsidRPr="00C77DAF">
        <w:rPr>
          <w:rFonts w:ascii="Times New Roman" w:hAnsi="Times New Roman" w:cs="Times New Roman"/>
        </w:rPr>
        <w:t>agreed that the stand in question which had been put under the names Lovemore Takavarasha be put under the names Leah Madzivadondo.  Lovemore Takavarasha is the one who actually called the said gathering</w:t>
      </w:r>
      <w:r w:rsidR="0064136C" w:rsidRPr="00C77DAF">
        <w:rPr>
          <w:rFonts w:ascii="Times New Roman" w:hAnsi="Times New Roman" w:cs="Times New Roman"/>
        </w:rPr>
        <w:t>.  Now it’s over a year and the 1</w:t>
      </w:r>
      <w:r w:rsidR="0064136C" w:rsidRPr="00C77DAF">
        <w:rPr>
          <w:rFonts w:ascii="Times New Roman" w:hAnsi="Times New Roman" w:cs="Times New Roman"/>
          <w:vertAlign w:val="superscript"/>
        </w:rPr>
        <w:t>ST</w:t>
      </w:r>
      <w:r w:rsidR="0064136C" w:rsidRPr="00C77DAF">
        <w:rPr>
          <w:rFonts w:ascii="Times New Roman" w:hAnsi="Times New Roman" w:cs="Times New Roman"/>
        </w:rPr>
        <w:t xml:space="preserve"> dependant is now dragging his feet.  The 2</w:t>
      </w:r>
      <w:r w:rsidR="0064136C" w:rsidRPr="00C77DAF">
        <w:rPr>
          <w:rFonts w:ascii="Times New Roman" w:hAnsi="Times New Roman" w:cs="Times New Roman"/>
          <w:vertAlign w:val="superscript"/>
        </w:rPr>
        <w:t>nd</w:t>
      </w:r>
      <w:r w:rsidR="00C218A2" w:rsidRPr="00C77DAF">
        <w:rPr>
          <w:rFonts w:ascii="Times New Roman" w:hAnsi="Times New Roman" w:cs="Times New Roman"/>
        </w:rPr>
        <w:t xml:space="preserve"> def</w:t>
      </w:r>
      <w:r w:rsidR="0064136C" w:rsidRPr="00C77DAF">
        <w:rPr>
          <w:rFonts w:ascii="Times New Roman" w:hAnsi="Times New Roman" w:cs="Times New Roman"/>
        </w:rPr>
        <w:t>endant is joined for purports of enforcing the order sought.</w:t>
      </w:r>
    </w:p>
    <w:p w14:paraId="2ED9AD5E" w14:textId="77777777" w:rsidR="002432A3" w:rsidRPr="00C77DAF" w:rsidRDefault="002432A3" w:rsidP="00C77DAF">
      <w:pPr>
        <w:spacing w:after="0" w:line="360" w:lineRule="auto"/>
        <w:ind w:left="720" w:firstLine="720"/>
        <w:jc w:val="both"/>
        <w:rPr>
          <w:rFonts w:ascii="Times New Roman" w:hAnsi="Times New Roman" w:cs="Times New Roman"/>
        </w:rPr>
      </w:pPr>
      <w:r w:rsidRPr="00C77DAF">
        <w:rPr>
          <w:rFonts w:ascii="Times New Roman" w:hAnsi="Times New Roman" w:cs="Times New Roman"/>
        </w:rPr>
        <w:t>Wherefore plaintiff prays that:</w:t>
      </w:r>
    </w:p>
    <w:p w14:paraId="6FDCB3C8" w14:textId="77777777" w:rsidR="002432A3" w:rsidRPr="00C77DAF" w:rsidRDefault="002432A3" w:rsidP="00C77DAF">
      <w:pPr>
        <w:pStyle w:val="ListParagraph"/>
        <w:numPr>
          <w:ilvl w:val="0"/>
          <w:numId w:val="7"/>
        </w:numPr>
        <w:spacing w:after="0" w:line="360" w:lineRule="auto"/>
        <w:ind w:left="1800"/>
        <w:jc w:val="both"/>
        <w:rPr>
          <w:rFonts w:ascii="Times New Roman" w:hAnsi="Times New Roman" w:cs="Times New Roman"/>
        </w:rPr>
      </w:pPr>
      <w:r w:rsidRPr="00C77DAF">
        <w:rPr>
          <w:rFonts w:ascii="Times New Roman" w:hAnsi="Times New Roman" w:cs="Times New Roman"/>
        </w:rPr>
        <w:t>The names Lovemore Takavarasha be removed from the files of Stand 1191 highlands Zvishavane and those of plaintiff be put instead.</w:t>
      </w:r>
    </w:p>
    <w:p w14:paraId="00E9E82F" w14:textId="77777777" w:rsidR="002432A3" w:rsidRPr="00C77DAF" w:rsidRDefault="002432A3" w:rsidP="00C77DAF">
      <w:pPr>
        <w:pStyle w:val="ListParagraph"/>
        <w:numPr>
          <w:ilvl w:val="0"/>
          <w:numId w:val="7"/>
        </w:numPr>
        <w:spacing w:after="0" w:line="360" w:lineRule="auto"/>
        <w:ind w:left="1800"/>
        <w:jc w:val="both"/>
        <w:rPr>
          <w:rFonts w:ascii="Times New Roman" w:hAnsi="Times New Roman" w:cs="Times New Roman"/>
        </w:rPr>
      </w:pPr>
      <w:r w:rsidRPr="00C77DAF">
        <w:rPr>
          <w:rFonts w:ascii="Times New Roman" w:hAnsi="Times New Roman" w:cs="Times New Roman"/>
        </w:rPr>
        <w:t>The 1</w:t>
      </w:r>
      <w:r w:rsidRPr="00C77DAF">
        <w:rPr>
          <w:rFonts w:ascii="Times New Roman" w:hAnsi="Times New Roman" w:cs="Times New Roman"/>
          <w:vertAlign w:val="superscript"/>
        </w:rPr>
        <w:t>st</w:t>
      </w:r>
      <w:r w:rsidR="00C218A2" w:rsidRPr="00C77DAF">
        <w:rPr>
          <w:rFonts w:ascii="Times New Roman" w:hAnsi="Times New Roman" w:cs="Times New Roman"/>
        </w:rPr>
        <w:t xml:space="preserve"> def</w:t>
      </w:r>
      <w:r w:rsidRPr="00C77DAF">
        <w:rPr>
          <w:rFonts w:ascii="Times New Roman" w:hAnsi="Times New Roman" w:cs="Times New Roman"/>
        </w:rPr>
        <w:t>endant be ordered to pay costs of suit at legal practitioner/client scale of the matter is defended.</w:t>
      </w:r>
    </w:p>
    <w:p w14:paraId="287D158A" w14:textId="77777777" w:rsidR="002432A3" w:rsidRPr="002432A3" w:rsidRDefault="002432A3" w:rsidP="002432A3">
      <w:pPr>
        <w:pStyle w:val="ListParagraph"/>
        <w:spacing w:after="0" w:line="360" w:lineRule="auto"/>
        <w:ind w:left="1080"/>
        <w:jc w:val="both"/>
        <w:rPr>
          <w:rFonts w:ascii="Times New Roman" w:hAnsi="Times New Roman" w:cs="Times New Roman"/>
          <w:sz w:val="24"/>
          <w:szCs w:val="24"/>
        </w:rPr>
      </w:pPr>
    </w:p>
    <w:p w14:paraId="37903FD6" w14:textId="1C00F40F" w:rsidR="00447641" w:rsidRPr="00447641" w:rsidRDefault="002432A3" w:rsidP="00447641">
      <w:pPr>
        <w:spacing w:after="0" w:line="36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I</w:t>
      </w:r>
      <w:r w:rsidR="00447641">
        <w:rPr>
          <w:rFonts w:ascii="Times New Roman" w:hAnsi="Times New Roman" w:cs="Times New Roman"/>
          <w:sz w:val="24"/>
          <w:szCs w:val="24"/>
        </w:rPr>
        <w:t>n</w:t>
      </w:r>
      <w:r w:rsidR="00447641" w:rsidRPr="00447641">
        <w:rPr>
          <w:rFonts w:ascii="Times New Roman" w:eastAsia="Calibri" w:hAnsi="Times New Roman" w:cs="Times New Roman"/>
          <w:i/>
          <w:sz w:val="24"/>
          <w:szCs w:val="24"/>
        </w:rPr>
        <w:t xml:space="preserve"> </w:t>
      </w:r>
      <w:r w:rsidR="00447641" w:rsidRPr="00447641">
        <w:rPr>
          <w:rFonts w:ascii="Times New Roman" w:hAnsi="Times New Roman" w:cs="Times New Roman"/>
          <w:i/>
          <w:sz w:val="24"/>
          <w:szCs w:val="24"/>
        </w:rPr>
        <w:t>Chenga</w:t>
      </w:r>
      <w:r w:rsidR="00447641" w:rsidRPr="00447641">
        <w:rPr>
          <w:rFonts w:ascii="Times New Roman" w:hAnsi="Times New Roman" w:cs="Times New Roman"/>
          <w:sz w:val="24"/>
          <w:szCs w:val="24"/>
        </w:rPr>
        <w:t xml:space="preserve"> v </w:t>
      </w:r>
      <w:r w:rsidR="00447641" w:rsidRPr="00447641">
        <w:rPr>
          <w:rFonts w:ascii="Times New Roman" w:hAnsi="Times New Roman" w:cs="Times New Roman"/>
          <w:i/>
          <w:sz w:val="24"/>
          <w:szCs w:val="24"/>
        </w:rPr>
        <w:t>Chikadaya</w:t>
      </w:r>
      <w:r w:rsidR="00447641">
        <w:rPr>
          <w:rFonts w:ascii="Times New Roman" w:hAnsi="Times New Roman" w:cs="Times New Roman"/>
          <w:sz w:val="24"/>
          <w:szCs w:val="24"/>
        </w:rPr>
        <w:t xml:space="preserve"> (supra) it </w:t>
      </w:r>
      <w:r>
        <w:rPr>
          <w:rFonts w:ascii="Times New Roman" w:hAnsi="Times New Roman" w:cs="Times New Roman"/>
          <w:sz w:val="24"/>
          <w:szCs w:val="24"/>
        </w:rPr>
        <w:t xml:space="preserve">was stated that the </w:t>
      </w:r>
      <w:r w:rsidR="008F21E2">
        <w:rPr>
          <w:rFonts w:ascii="Times New Roman" w:hAnsi="Times New Roman" w:cs="Times New Roman"/>
          <w:sz w:val="24"/>
          <w:szCs w:val="24"/>
        </w:rPr>
        <w:t>service</w:t>
      </w:r>
      <w:r>
        <w:rPr>
          <w:rFonts w:ascii="Times New Roman" w:hAnsi="Times New Roman" w:cs="Times New Roman"/>
          <w:sz w:val="24"/>
          <w:szCs w:val="24"/>
        </w:rPr>
        <w:t xml:space="preserve"> o</w:t>
      </w:r>
      <w:r w:rsidR="00C218A2">
        <w:rPr>
          <w:rFonts w:ascii="Times New Roman" w:hAnsi="Times New Roman" w:cs="Times New Roman"/>
          <w:sz w:val="24"/>
          <w:szCs w:val="24"/>
        </w:rPr>
        <w:t xml:space="preserve">f summons in a claim in </w:t>
      </w:r>
      <w:r w:rsidR="00C218A2" w:rsidRPr="00447641">
        <w:rPr>
          <w:rFonts w:ascii="Times New Roman" w:hAnsi="Times New Roman" w:cs="Times New Roman"/>
          <w:i/>
          <w:iCs/>
          <w:sz w:val="24"/>
          <w:szCs w:val="24"/>
        </w:rPr>
        <w:t>rem</w:t>
      </w:r>
      <w:r w:rsidR="00C218A2">
        <w:rPr>
          <w:rFonts w:ascii="Times New Roman" w:hAnsi="Times New Roman" w:cs="Times New Roman"/>
          <w:sz w:val="24"/>
          <w:szCs w:val="24"/>
        </w:rPr>
        <w:t>, ren</w:t>
      </w:r>
      <w:r>
        <w:rPr>
          <w:rFonts w:ascii="Times New Roman" w:hAnsi="Times New Roman" w:cs="Times New Roman"/>
          <w:sz w:val="24"/>
          <w:szCs w:val="24"/>
        </w:rPr>
        <w:t xml:space="preserve">ders the property the subject matter thereof </w:t>
      </w:r>
      <w:r w:rsidRPr="00447641">
        <w:rPr>
          <w:rFonts w:ascii="Times New Roman" w:hAnsi="Times New Roman" w:cs="Times New Roman"/>
          <w:i/>
          <w:iCs/>
          <w:sz w:val="24"/>
          <w:szCs w:val="24"/>
        </w:rPr>
        <w:t>res litigiosa</w:t>
      </w:r>
      <w:r>
        <w:rPr>
          <w:rFonts w:ascii="Times New Roman" w:hAnsi="Times New Roman" w:cs="Times New Roman"/>
          <w:sz w:val="24"/>
          <w:szCs w:val="24"/>
        </w:rPr>
        <w:t>.  A claim in rem involves a dispute about a specific piece of property and seeks to resolve that ownership issue against all claimants.</w:t>
      </w:r>
      <w:r w:rsidR="00447641" w:rsidRPr="00447641">
        <w:rPr>
          <w:rFonts w:ascii="Times New Roman" w:eastAsia="Calibri" w:hAnsi="Times New Roman" w:cs="Times New Roman"/>
          <w:sz w:val="24"/>
          <w:szCs w:val="24"/>
        </w:rPr>
        <w:t xml:space="preserve"> OMERJEE AJA summarised the position as follows:</w:t>
      </w:r>
    </w:p>
    <w:p w14:paraId="33EDC524" w14:textId="77777777" w:rsidR="00447641" w:rsidRPr="00447641" w:rsidRDefault="00447641" w:rsidP="00447641">
      <w:pPr>
        <w:spacing w:after="0"/>
        <w:ind w:left="720" w:firstLine="720"/>
        <w:jc w:val="both"/>
        <w:rPr>
          <w:rFonts w:ascii="Times New Roman" w:eastAsia="Calibri" w:hAnsi="Times New Roman" w:cs="Times New Roman"/>
        </w:rPr>
      </w:pPr>
    </w:p>
    <w:p w14:paraId="43B0CC19" w14:textId="77777777" w:rsidR="00447641" w:rsidRPr="00447641" w:rsidRDefault="00447641" w:rsidP="00447641">
      <w:pPr>
        <w:spacing w:after="0"/>
        <w:ind w:left="720" w:firstLine="720"/>
        <w:jc w:val="both"/>
        <w:rPr>
          <w:rFonts w:ascii="Times New Roman" w:eastAsia="Calibri" w:hAnsi="Times New Roman" w:cs="Times New Roman"/>
        </w:rPr>
      </w:pPr>
      <w:r w:rsidRPr="00447641">
        <w:rPr>
          <w:rFonts w:ascii="Times New Roman" w:eastAsia="Calibri" w:hAnsi="Times New Roman" w:cs="Times New Roman"/>
        </w:rPr>
        <w:lastRenderedPageBreak/>
        <w:t>“It is trite that all personal actions have the effect of rendering their subject matter</w:t>
      </w:r>
      <w:r w:rsidRPr="00447641">
        <w:rPr>
          <w:rFonts w:ascii="Times New Roman" w:eastAsia="Calibri" w:hAnsi="Times New Roman" w:cs="Times New Roman"/>
          <w:i/>
        </w:rPr>
        <w:t xml:space="preserve"> res litigiosa </w:t>
      </w:r>
      <w:r w:rsidRPr="00447641">
        <w:rPr>
          <w:rFonts w:ascii="Times New Roman" w:eastAsia="Calibri" w:hAnsi="Times New Roman" w:cs="Times New Roman"/>
        </w:rPr>
        <w:t xml:space="preserve">at the stage of </w:t>
      </w:r>
      <w:r w:rsidRPr="00447641">
        <w:rPr>
          <w:rFonts w:ascii="Times New Roman" w:eastAsia="Calibri" w:hAnsi="Times New Roman" w:cs="Times New Roman"/>
          <w:i/>
        </w:rPr>
        <w:t>litis contestatio</w:t>
      </w:r>
      <w:r w:rsidRPr="00447641">
        <w:rPr>
          <w:rFonts w:ascii="Times New Roman" w:eastAsia="Calibri" w:hAnsi="Times New Roman" w:cs="Times New Roman"/>
        </w:rPr>
        <w:t xml:space="preserve">. The relevant stage is not the time of commencement of action, but the time of </w:t>
      </w:r>
      <w:r w:rsidRPr="00447641">
        <w:rPr>
          <w:rFonts w:ascii="Times New Roman" w:eastAsia="Calibri" w:hAnsi="Times New Roman" w:cs="Times New Roman"/>
          <w:i/>
        </w:rPr>
        <w:t>litis contestatio</w:t>
      </w:r>
      <w:r w:rsidRPr="00447641">
        <w:rPr>
          <w:rFonts w:ascii="Times New Roman" w:eastAsia="Calibri" w:hAnsi="Times New Roman" w:cs="Times New Roman"/>
        </w:rPr>
        <w:t xml:space="preserve">. In the case of </w:t>
      </w:r>
      <w:r w:rsidRPr="00447641">
        <w:rPr>
          <w:rFonts w:ascii="Times New Roman" w:eastAsia="Calibri" w:hAnsi="Times New Roman" w:cs="Times New Roman"/>
          <w:i/>
        </w:rPr>
        <w:t xml:space="preserve">Opera House (Grand Parade) Restaurant (Pvt) Ltd </w:t>
      </w:r>
      <w:r w:rsidRPr="00447641">
        <w:rPr>
          <w:rFonts w:ascii="Times New Roman" w:eastAsia="Calibri" w:hAnsi="Times New Roman" w:cs="Times New Roman"/>
        </w:rPr>
        <w:t>v</w:t>
      </w:r>
      <w:r w:rsidRPr="00447641">
        <w:rPr>
          <w:rFonts w:ascii="Times New Roman" w:eastAsia="Calibri" w:hAnsi="Times New Roman" w:cs="Times New Roman"/>
          <w:i/>
        </w:rPr>
        <w:t xml:space="preserve"> Cape Town City Council</w:t>
      </w:r>
      <w:r w:rsidRPr="00447641">
        <w:rPr>
          <w:rFonts w:ascii="Times New Roman" w:eastAsia="Calibri" w:hAnsi="Times New Roman" w:cs="Times New Roman"/>
        </w:rPr>
        <w:t xml:space="preserve"> 1986 (2) SA 656 (C), it was held that in a real action (action in </w:t>
      </w:r>
      <w:r w:rsidRPr="00447641">
        <w:rPr>
          <w:rFonts w:ascii="Times New Roman" w:eastAsia="Calibri" w:hAnsi="Times New Roman" w:cs="Times New Roman"/>
          <w:i/>
        </w:rPr>
        <w:t>rem</w:t>
      </w:r>
      <w:r w:rsidRPr="00447641">
        <w:rPr>
          <w:rFonts w:ascii="Times New Roman" w:eastAsia="Calibri" w:hAnsi="Times New Roman" w:cs="Times New Roman"/>
        </w:rPr>
        <w:t xml:space="preserve">) the land becomes </w:t>
      </w:r>
      <w:r w:rsidRPr="00447641">
        <w:rPr>
          <w:rFonts w:ascii="Times New Roman" w:eastAsia="Calibri" w:hAnsi="Times New Roman" w:cs="Times New Roman"/>
          <w:i/>
        </w:rPr>
        <w:t>res litigiosa</w:t>
      </w:r>
      <w:r w:rsidRPr="00447641">
        <w:rPr>
          <w:rFonts w:ascii="Times New Roman" w:eastAsia="Calibri" w:hAnsi="Times New Roman" w:cs="Times New Roman"/>
        </w:rPr>
        <w:t xml:space="preserve"> on the service of summons while in a personal action, that status was achieved at the closure of pleadings.”</w:t>
      </w:r>
    </w:p>
    <w:p w14:paraId="3F8E52BA" w14:textId="7092A2A3" w:rsidR="00447641" w:rsidRDefault="00447641" w:rsidP="002432A3">
      <w:pPr>
        <w:spacing w:after="0" w:line="360" w:lineRule="auto"/>
        <w:ind w:firstLine="720"/>
        <w:jc w:val="both"/>
        <w:rPr>
          <w:rFonts w:ascii="Times New Roman" w:hAnsi="Times New Roman" w:cs="Times New Roman"/>
          <w:sz w:val="24"/>
          <w:szCs w:val="24"/>
        </w:rPr>
      </w:pPr>
    </w:p>
    <w:p w14:paraId="2CE53676" w14:textId="77777777" w:rsidR="00447641" w:rsidRDefault="00447641" w:rsidP="002432A3">
      <w:pPr>
        <w:spacing w:after="0" w:line="360" w:lineRule="auto"/>
        <w:ind w:firstLine="720"/>
        <w:jc w:val="both"/>
        <w:rPr>
          <w:rFonts w:ascii="Times New Roman" w:hAnsi="Times New Roman" w:cs="Times New Roman"/>
          <w:sz w:val="24"/>
          <w:szCs w:val="24"/>
        </w:rPr>
      </w:pPr>
    </w:p>
    <w:p w14:paraId="61B00707" w14:textId="513961D2" w:rsidR="002432A3" w:rsidRDefault="002432A3" w:rsidP="002432A3">
      <w:pPr>
        <w:spacing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 xml:space="preserve"> The claim under ZV 08/2018 was clearly one in rem</w:t>
      </w:r>
      <w:r w:rsidR="008F21E2">
        <w:rPr>
          <w:rFonts w:ascii="Times New Roman" w:hAnsi="Times New Roman" w:cs="Times New Roman"/>
          <w:sz w:val="24"/>
          <w:szCs w:val="24"/>
        </w:rPr>
        <w:t>. Therein the first respondent put the property squarely in dispute.</w:t>
      </w:r>
      <w:r>
        <w:rPr>
          <w:rFonts w:ascii="Times New Roman" w:hAnsi="Times New Roman" w:cs="Times New Roman"/>
          <w:sz w:val="24"/>
          <w:szCs w:val="24"/>
        </w:rPr>
        <w:t xml:space="preserve"> </w:t>
      </w:r>
      <w:r w:rsidR="008F21E2">
        <w:rPr>
          <w:rFonts w:ascii="Times New Roman" w:hAnsi="Times New Roman" w:cs="Times New Roman"/>
          <w:sz w:val="24"/>
          <w:szCs w:val="24"/>
        </w:rPr>
        <w:t>T</w:t>
      </w:r>
      <w:r>
        <w:rPr>
          <w:rFonts w:ascii="Times New Roman" w:hAnsi="Times New Roman" w:cs="Times New Roman"/>
          <w:sz w:val="24"/>
          <w:szCs w:val="24"/>
        </w:rPr>
        <w:t xml:space="preserve">he </w:t>
      </w:r>
      <w:r w:rsidR="008F21E2">
        <w:rPr>
          <w:rFonts w:ascii="Times New Roman" w:hAnsi="Times New Roman" w:cs="Times New Roman"/>
          <w:sz w:val="24"/>
          <w:szCs w:val="24"/>
        </w:rPr>
        <w:t>service</w:t>
      </w:r>
      <w:r>
        <w:rPr>
          <w:rFonts w:ascii="Times New Roman" w:hAnsi="Times New Roman" w:cs="Times New Roman"/>
          <w:sz w:val="24"/>
          <w:szCs w:val="24"/>
        </w:rPr>
        <w:t xml:space="preserve"> of the summons rendered the property in question </w:t>
      </w:r>
      <w:r w:rsidRPr="00447641">
        <w:rPr>
          <w:rFonts w:ascii="Times New Roman" w:hAnsi="Times New Roman" w:cs="Times New Roman"/>
          <w:i/>
          <w:iCs/>
          <w:sz w:val="24"/>
          <w:szCs w:val="24"/>
        </w:rPr>
        <w:t>res litigiosa</w:t>
      </w:r>
      <w:r w:rsidR="00447641">
        <w:rPr>
          <w:rFonts w:ascii="Times New Roman" w:hAnsi="Times New Roman" w:cs="Times New Roman"/>
          <w:sz w:val="24"/>
          <w:szCs w:val="24"/>
        </w:rPr>
        <w:t>.</w:t>
      </w:r>
      <w:r w:rsidR="008F21E2">
        <w:rPr>
          <w:rFonts w:ascii="Times New Roman" w:hAnsi="Times New Roman" w:cs="Times New Roman"/>
          <w:sz w:val="24"/>
          <w:szCs w:val="24"/>
        </w:rPr>
        <w:t xml:space="preserve"> Although the first respondent did not attach proof of service of summons, her assertions that the matter proceeded all the way up to PTC went unchallenged. The probabilities favour her version in this regard.</w:t>
      </w:r>
    </w:p>
    <w:p w14:paraId="390A9037" w14:textId="457C6C44" w:rsidR="002432A3" w:rsidRDefault="002432A3" w:rsidP="002432A3">
      <w:pPr>
        <w:spacing w:after="0" w:line="360" w:lineRule="auto"/>
        <w:ind w:firstLine="720"/>
        <w:jc w:val="both"/>
        <w:rPr>
          <w:rFonts w:ascii="Times New Roman" w:hAnsi="Times New Roman" w:cs="Times New Roman"/>
          <w:sz w:val="24"/>
          <w:szCs w:val="24"/>
        </w:rPr>
      </w:pPr>
      <w:r w:rsidRPr="002432A3">
        <w:rPr>
          <w:rFonts w:ascii="Times New Roman" w:hAnsi="Times New Roman" w:cs="Times New Roman"/>
          <w:sz w:val="24"/>
          <w:szCs w:val="24"/>
        </w:rPr>
        <w:t xml:space="preserve">Ultimately, I am </w:t>
      </w:r>
      <w:r>
        <w:rPr>
          <w:rFonts w:ascii="Times New Roman" w:hAnsi="Times New Roman" w:cs="Times New Roman"/>
          <w:sz w:val="24"/>
          <w:szCs w:val="24"/>
        </w:rPr>
        <w:t xml:space="preserve">of these considered </w:t>
      </w:r>
      <w:r w:rsidR="00447641">
        <w:rPr>
          <w:rFonts w:ascii="Times New Roman" w:hAnsi="Times New Roman" w:cs="Times New Roman"/>
          <w:sz w:val="24"/>
          <w:szCs w:val="24"/>
        </w:rPr>
        <w:t>vie</w:t>
      </w:r>
      <w:r>
        <w:rPr>
          <w:rFonts w:ascii="Times New Roman" w:hAnsi="Times New Roman" w:cs="Times New Roman"/>
          <w:sz w:val="24"/>
          <w:szCs w:val="24"/>
        </w:rPr>
        <w:t xml:space="preserve">w that the second respondent has been able to establish on a balance of probabilities her special defence of </w:t>
      </w:r>
      <w:r w:rsidRPr="00447641">
        <w:rPr>
          <w:rFonts w:ascii="Times New Roman" w:hAnsi="Times New Roman" w:cs="Times New Roman"/>
          <w:i/>
          <w:iCs/>
          <w:sz w:val="24"/>
          <w:szCs w:val="24"/>
        </w:rPr>
        <w:t>res litigiosa</w:t>
      </w:r>
      <w:r>
        <w:rPr>
          <w:rFonts w:ascii="Times New Roman" w:hAnsi="Times New Roman" w:cs="Times New Roman"/>
          <w:sz w:val="24"/>
          <w:szCs w:val="24"/>
        </w:rPr>
        <w:t>.</w:t>
      </w:r>
    </w:p>
    <w:p w14:paraId="654B6917" w14:textId="515257A0" w:rsidR="002432A3" w:rsidRDefault="002432A3" w:rsidP="002432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therefore means the sale of the property by Lovemore to Courage, it being the subject of on</w:t>
      </w:r>
      <w:r w:rsidR="00C218A2">
        <w:rPr>
          <w:rFonts w:ascii="Times New Roman" w:hAnsi="Times New Roman" w:cs="Times New Roman"/>
          <w:sz w:val="24"/>
          <w:szCs w:val="24"/>
        </w:rPr>
        <w:t>-going litigation between the fo</w:t>
      </w:r>
      <w:r>
        <w:rPr>
          <w:rFonts w:ascii="Times New Roman" w:hAnsi="Times New Roman" w:cs="Times New Roman"/>
          <w:sz w:val="24"/>
          <w:szCs w:val="24"/>
        </w:rPr>
        <w:t>rmer and the second respondent was null and void.  Consequently</w:t>
      </w:r>
      <w:r w:rsidR="00447641">
        <w:rPr>
          <w:rFonts w:ascii="Times New Roman" w:hAnsi="Times New Roman" w:cs="Times New Roman"/>
          <w:sz w:val="24"/>
          <w:szCs w:val="24"/>
        </w:rPr>
        <w:t>,</w:t>
      </w:r>
      <w:r>
        <w:rPr>
          <w:rFonts w:ascii="Times New Roman" w:hAnsi="Times New Roman" w:cs="Times New Roman"/>
          <w:sz w:val="24"/>
          <w:szCs w:val="24"/>
        </w:rPr>
        <w:t xml:space="preserve"> Courage could not subsequently pass any greater right than Lovemore in the property.  This in turn means that applicant</w:t>
      </w:r>
      <w:r w:rsidR="00C218A2">
        <w:rPr>
          <w:rFonts w:ascii="Times New Roman" w:hAnsi="Times New Roman" w:cs="Times New Roman"/>
          <w:sz w:val="24"/>
          <w:szCs w:val="24"/>
        </w:rPr>
        <w:t>’</w:t>
      </w:r>
      <w:r>
        <w:rPr>
          <w:rFonts w:ascii="Times New Roman" w:hAnsi="Times New Roman" w:cs="Times New Roman"/>
          <w:sz w:val="24"/>
          <w:szCs w:val="24"/>
        </w:rPr>
        <w:t>s right</w:t>
      </w:r>
      <w:r w:rsidR="00C218A2">
        <w:rPr>
          <w:rFonts w:ascii="Times New Roman" w:hAnsi="Times New Roman" w:cs="Times New Roman"/>
          <w:sz w:val="24"/>
          <w:szCs w:val="24"/>
        </w:rPr>
        <w:t>s in respect of the property are</w:t>
      </w:r>
      <w:r>
        <w:rPr>
          <w:rFonts w:ascii="Times New Roman" w:hAnsi="Times New Roman" w:cs="Times New Roman"/>
          <w:sz w:val="24"/>
          <w:szCs w:val="24"/>
        </w:rPr>
        <w:t xml:space="preserve"> defective.  The application therefore cannot succeed.</w:t>
      </w:r>
    </w:p>
    <w:p w14:paraId="190B92C4" w14:textId="77777777" w:rsidR="001F7D2A" w:rsidRDefault="001F7D2A" w:rsidP="002432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thus found that the property in Question was subject to </w:t>
      </w:r>
      <w:r w:rsidRPr="00447641">
        <w:rPr>
          <w:rFonts w:ascii="Times New Roman" w:hAnsi="Times New Roman" w:cs="Times New Roman"/>
          <w:i/>
          <w:iCs/>
          <w:sz w:val="24"/>
          <w:szCs w:val="24"/>
        </w:rPr>
        <w:t>res litigiosa</w:t>
      </w:r>
      <w:r>
        <w:rPr>
          <w:rFonts w:ascii="Times New Roman" w:hAnsi="Times New Roman" w:cs="Times New Roman"/>
          <w:sz w:val="24"/>
          <w:szCs w:val="24"/>
        </w:rPr>
        <w:t>, it is unnecessary to inq</w:t>
      </w:r>
      <w:r w:rsidR="00C218A2">
        <w:rPr>
          <w:rFonts w:ascii="Times New Roman" w:hAnsi="Times New Roman" w:cs="Times New Roman"/>
          <w:sz w:val="24"/>
          <w:szCs w:val="24"/>
        </w:rPr>
        <w:t>uire into whether Lovemore’s ti</w:t>
      </w:r>
      <w:r>
        <w:rPr>
          <w:rFonts w:ascii="Times New Roman" w:hAnsi="Times New Roman" w:cs="Times New Roman"/>
          <w:sz w:val="24"/>
          <w:szCs w:val="24"/>
        </w:rPr>
        <w:t>tle to the property was defective in the first instance.</w:t>
      </w:r>
    </w:p>
    <w:p w14:paraId="6C0A22E5" w14:textId="5EF876AE" w:rsidR="001F7D2A" w:rsidRDefault="001F7D2A" w:rsidP="002432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447641">
        <w:rPr>
          <w:rFonts w:ascii="Times New Roman" w:hAnsi="Times New Roman" w:cs="Times New Roman"/>
          <w:sz w:val="24"/>
          <w:szCs w:val="24"/>
        </w:rPr>
        <w:t>,</w:t>
      </w:r>
      <w:r>
        <w:rPr>
          <w:rFonts w:ascii="Times New Roman" w:hAnsi="Times New Roman" w:cs="Times New Roman"/>
          <w:sz w:val="24"/>
          <w:szCs w:val="24"/>
        </w:rPr>
        <w:t xml:space="preserve"> the application stands to be dismissed.</w:t>
      </w:r>
    </w:p>
    <w:p w14:paraId="5BE9A626" w14:textId="77777777" w:rsidR="001F7D2A" w:rsidRDefault="001F7D2A" w:rsidP="002432A3">
      <w:pPr>
        <w:spacing w:after="0" w:line="360" w:lineRule="auto"/>
        <w:ind w:firstLine="720"/>
        <w:jc w:val="both"/>
        <w:rPr>
          <w:rFonts w:ascii="Times New Roman" w:hAnsi="Times New Roman" w:cs="Times New Roman"/>
          <w:sz w:val="24"/>
          <w:szCs w:val="24"/>
        </w:rPr>
      </w:pPr>
    </w:p>
    <w:p w14:paraId="2D97DC7E" w14:textId="77777777" w:rsidR="001F7D2A" w:rsidRPr="00447641" w:rsidRDefault="001F7D2A" w:rsidP="002432A3">
      <w:pPr>
        <w:spacing w:after="0" w:line="360" w:lineRule="auto"/>
        <w:ind w:firstLine="720"/>
        <w:jc w:val="both"/>
        <w:rPr>
          <w:rFonts w:ascii="Times New Roman" w:hAnsi="Times New Roman" w:cs="Times New Roman"/>
          <w:b/>
          <w:sz w:val="24"/>
          <w:szCs w:val="24"/>
        </w:rPr>
      </w:pPr>
      <w:r w:rsidRPr="00447641">
        <w:rPr>
          <w:rFonts w:ascii="Times New Roman" w:hAnsi="Times New Roman" w:cs="Times New Roman"/>
          <w:b/>
          <w:sz w:val="24"/>
          <w:szCs w:val="24"/>
        </w:rPr>
        <w:t>Costs</w:t>
      </w:r>
    </w:p>
    <w:p w14:paraId="35F29BB3" w14:textId="69E8EA80" w:rsidR="001F7D2A" w:rsidRDefault="001F7D2A" w:rsidP="002432A3">
      <w:pPr>
        <w:spacing w:after="0" w:line="360" w:lineRule="auto"/>
        <w:ind w:firstLine="720"/>
        <w:jc w:val="both"/>
        <w:rPr>
          <w:rFonts w:ascii="Times New Roman" w:hAnsi="Times New Roman" w:cs="Times New Roman"/>
          <w:sz w:val="24"/>
          <w:szCs w:val="24"/>
        </w:rPr>
      </w:pPr>
      <w:r w:rsidRPr="001F7D2A">
        <w:rPr>
          <w:rFonts w:ascii="Times New Roman" w:hAnsi="Times New Roman" w:cs="Times New Roman"/>
          <w:sz w:val="24"/>
          <w:szCs w:val="24"/>
        </w:rPr>
        <w:t>The ge</w:t>
      </w:r>
      <w:r w:rsidR="00463F01">
        <w:rPr>
          <w:rFonts w:ascii="Times New Roman" w:hAnsi="Times New Roman" w:cs="Times New Roman"/>
          <w:sz w:val="24"/>
          <w:szCs w:val="24"/>
        </w:rPr>
        <w:t>neral ru</w:t>
      </w:r>
      <w:r>
        <w:rPr>
          <w:rFonts w:ascii="Times New Roman" w:hAnsi="Times New Roman" w:cs="Times New Roman"/>
          <w:sz w:val="24"/>
          <w:szCs w:val="24"/>
        </w:rPr>
        <w:t xml:space="preserve">le is that the substantially successful </w:t>
      </w:r>
      <w:r w:rsidR="00463F01">
        <w:rPr>
          <w:rFonts w:ascii="Times New Roman" w:hAnsi="Times New Roman" w:cs="Times New Roman"/>
          <w:sz w:val="24"/>
          <w:szCs w:val="24"/>
        </w:rPr>
        <w:t>party</w:t>
      </w:r>
      <w:r w:rsidR="00AC5951">
        <w:rPr>
          <w:rFonts w:ascii="Times New Roman" w:hAnsi="Times New Roman" w:cs="Times New Roman"/>
          <w:sz w:val="24"/>
          <w:szCs w:val="24"/>
        </w:rPr>
        <w:t xml:space="preserve"> (</w:t>
      </w:r>
      <w:r>
        <w:rPr>
          <w:rFonts w:ascii="Times New Roman" w:hAnsi="Times New Roman" w:cs="Times New Roman"/>
          <w:sz w:val="24"/>
          <w:szCs w:val="24"/>
        </w:rPr>
        <w:t>which the first respondent has been)</w:t>
      </w:r>
      <w:r w:rsidR="00435E64">
        <w:rPr>
          <w:rFonts w:ascii="Times New Roman" w:hAnsi="Times New Roman" w:cs="Times New Roman"/>
          <w:sz w:val="24"/>
          <w:szCs w:val="24"/>
        </w:rPr>
        <w:t xml:space="preserve"> is ent</w:t>
      </w:r>
      <w:r w:rsidR="007B1C22">
        <w:rPr>
          <w:rFonts w:ascii="Times New Roman" w:hAnsi="Times New Roman" w:cs="Times New Roman"/>
          <w:sz w:val="24"/>
          <w:szCs w:val="24"/>
        </w:rPr>
        <w:t>itled to his or her costs.  There</w:t>
      </w:r>
      <w:r w:rsidR="00435E64">
        <w:rPr>
          <w:rFonts w:ascii="Times New Roman" w:hAnsi="Times New Roman" w:cs="Times New Roman"/>
          <w:sz w:val="24"/>
          <w:szCs w:val="24"/>
        </w:rPr>
        <w:t xml:space="preserve"> is ho</w:t>
      </w:r>
      <w:r w:rsidR="007B1C22">
        <w:rPr>
          <w:rFonts w:ascii="Times New Roman" w:hAnsi="Times New Roman" w:cs="Times New Roman"/>
          <w:sz w:val="24"/>
          <w:szCs w:val="24"/>
        </w:rPr>
        <w:t>wever no justification in awarding</w:t>
      </w:r>
      <w:r w:rsidR="00435E64">
        <w:rPr>
          <w:rFonts w:ascii="Times New Roman" w:hAnsi="Times New Roman" w:cs="Times New Roman"/>
          <w:sz w:val="24"/>
          <w:szCs w:val="24"/>
        </w:rPr>
        <w:t xml:space="preserve"> of costs on the punitive scale as sought by the first respondent.  No recklessness or </w:t>
      </w:r>
      <w:r w:rsidR="00447641" w:rsidRPr="00447641">
        <w:rPr>
          <w:rFonts w:ascii="Times New Roman" w:hAnsi="Times New Roman" w:cs="Times New Roman"/>
          <w:i/>
          <w:iCs/>
          <w:sz w:val="24"/>
          <w:szCs w:val="24"/>
        </w:rPr>
        <w:t>mala</w:t>
      </w:r>
      <w:r w:rsidR="00435E64" w:rsidRPr="00447641">
        <w:rPr>
          <w:rFonts w:ascii="Times New Roman" w:hAnsi="Times New Roman" w:cs="Times New Roman"/>
          <w:i/>
          <w:iCs/>
          <w:sz w:val="24"/>
          <w:szCs w:val="24"/>
        </w:rPr>
        <w:t xml:space="preserve"> fides</w:t>
      </w:r>
      <w:r w:rsidR="00435E64">
        <w:rPr>
          <w:rFonts w:ascii="Times New Roman" w:hAnsi="Times New Roman" w:cs="Times New Roman"/>
          <w:sz w:val="24"/>
          <w:szCs w:val="24"/>
        </w:rPr>
        <w:t xml:space="preserve"> in mounting the application was established to warrant an award of costs on that scale.  Costs on the ordinary scale suffice.</w:t>
      </w:r>
    </w:p>
    <w:p w14:paraId="374BF845" w14:textId="77777777" w:rsidR="00435E64" w:rsidRDefault="00435E64" w:rsidP="002432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Accordingly, the application is hereby dismissed with the applicant meeting the first respondent’s costs.</w:t>
      </w:r>
    </w:p>
    <w:p w14:paraId="78804B86" w14:textId="77777777" w:rsidR="00435E64" w:rsidRDefault="00435E64" w:rsidP="002432A3">
      <w:pPr>
        <w:spacing w:after="0" w:line="360" w:lineRule="auto"/>
        <w:ind w:firstLine="720"/>
        <w:jc w:val="both"/>
        <w:rPr>
          <w:rFonts w:ascii="Times New Roman" w:hAnsi="Times New Roman" w:cs="Times New Roman"/>
          <w:sz w:val="24"/>
          <w:szCs w:val="24"/>
        </w:rPr>
      </w:pPr>
    </w:p>
    <w:p w14:paraId="6CDE596D" w14:textId="77777777" w:rsidR="00435E64" w:rsidRDefault="00435E64" w:rsidP="002432A3">
      <w:pPr>
        <w:spacing w:after="0" w:line="360" w:lineRule="auto"/>
        <w:ind w:firstLine="720"/>
        <w:jc w:val="both"/>
        <w:rPr>
          <w:rFonts w:ascii="Times New Roman" w:hAnsi="Times New Roman" w:cs="Times New Roman"/>
          <w:sz w:val="24"/>
          <w:szCs w:val="24"/>
        </w:rPr>
      </w:pPr>
    </w:p>
    <w:p w14:paraId="29198D48" w14:textId="77777777" w:rsidR="00435E64" w:rsidRDefault="00435E64" w:rsidP="002432A3">
      <w:pPr>
        <w:spacing w:after="0" w:line="360" w:lineRule="auto"/>
        <w:ind w:firstLine="720"/>
        <w:jc w:val="both"/>
        <w:rPr>
          <w:rFonts w:ascii="Times New Roman" w:hAnsi="Times New Roman" w:cs="Times New Roman"/>
          <w:sz w:val="24"/>
          <w:szCs w:val="24"/>
        </w:rPr>
      </w:pPr>
    </w:p>
    <w:p w14:paraId="75BA9A9D" w14:textId="77777777" w:rsidR="00435E64" w:rsidRDefault="00435E64" w:rsidP="002432A3">
      <w:pPr>
        <w:spacing w:after="0" w:line="360" w:lineRule="auto"/>
        <w:ind w:firstLine="720"/>
        <w:jc w:val="both"/>
        <w:rPr>
          <w:rFonts w:ascii="Times New Roman" w:hAnsi="Times New Roman" w:cs="Times New Roman"/>
          <w:sz w:val="24"/>
          <w:szCs w:val="24"/>
        </w:rPr>
      </w:pPr>
    </w:p>
    <w:p w14:paraId="12CA6576" w14:textId="77777777" w:rsidR="00435E64" w:rsidRPr="00435E64" w:rsidRDefault="00435E64" w:rsidP="002432A3">
      <w:pPr>
        <w:spacing w:after="0" w:line="360" w:lineRule="auto"/>
        <w:ind w:firstLine="720"/>
        <w:jc w:val="both"/>
        <w:rPr>
          <w:rFonts w:ascii="Times New Roman" w:hAnsi="Times New Roman" w:cs="Times New Roman"/>
          <w:i/>
          <w:sz w:val="24"/>
          <w:szCs w:val="24"/>
        </w:rPr>
      </w:pPr>
      <w:r w:rsidRPr="00435E64">
        <w:rPr>
          <w:rFonts w:ascii="Times New Roman" w:hAnsi="Times New Roman" w:cs="Times New Roman"/>
          <w:i/>
          <w:sz w:val="24"/>
          <w:szCs w:val="24"/>
        </w:rPr>
        <w:t>Mugiya &amp;Muvhami; applicant’s legal practitioners</w:t>
      </w:r>
    </w:p>
    <w:p w14:paraId="79A30D0C" w14:textId="77777777" w:rsidR="002518A7" w:rsidRDefault="00435E64" w:rsidP="00AC5951">
      <w:pPr>
        <w:spacing w:after="0" w:line="360" w:lineRule="auto"/>
        <w:ind w:firstLine="720"/>
        <w:jc w:val="both"/>
        <w:rPr>
          <w:rFonts w:ascii="Times New Roman" w:hAnsi="Times New Roman" w:cs="Times New Roman"/>
          <w:sz w:val="24"/>
          <w:szCs w:val="24"/>
        </w:rPr>
      </w:pPr>
      <w:r w:rsidRPr="00435E64">
        <w:rPr>
          <w:rFonts w:ascii="Times New Roman" w:hAnsi="Times New Roman" w:cs="Times New Roman"/>
          <w:i/>
          <w:sz w:val="24"/>
          <w:szCs w:val="24"/>
        </w:rPr>
        <w:t>PC Ganyani Legal practitioners; first respondent’s legal practitioners</w:t>
      </w:r>
    </w:p>
    <w:sectPr w:rsidR="002518A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B7C28" w14:textId="77777777" w:rsidR="00743EAF" w:rsidRDefault="00743EAF" w:rsidP="00CC20C9">
      <w:pPr>
        <w:spacing w:after="0" w:line="240" w:lineRule="auto"/>
      </w:pPr>
      <w:r>
        <w:separator/>
      </w:r>
    </w:p>
  </w:endnote>
  <w:endnote w:type="continuationSeparator" w:id="0">
    <w:p w14:paraId="07E54CEC" w14:textId="77777777" w:rsidR="00743EAF" w:rsidRDefault="00743EAF" w:rsidP="00CC2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46191" w14:textId="77777777" w:rsidR="00743EAF" w:rsidRDefault="00743EAF" w:rsidP="00CC20C9">
      <w:pPr>
        <w:spacing w:after="0" w:line="240" w:lineRule="auto"/>
      </w:pPr>
      <w:r>
        <w:separator/>
      </w:r>
    </w:p>
  </w:footnote>
  <w:footnote w:type="continuationSeparator" w:id="0">
    <w:p w14:paraId="0A1D424A" w14:textId="77777777" w:rsidR="00743EAF" w:rsidRDefault="00743EAF" w:rsidP="00CC20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114483"/>
      <w:docPartObj>
        <w:docPartGallery w:val="Page Numbers (Top of Page)"/>
        <w:docPartUnique/>
      </w:docPartObj>
    </w:sdtPr>
    <w:sdtEndPr>
      <w:rPr>
        <w:noProof/>
      </w:rPr>
    </w:sdtEndPr>
    <w:sdtContent>
      <w:p w14:paraId="0F1305F0" w14:textId="77777777" w:rsidR="008B3E57" w:rsidRDefault="008B3E57">
        <w:pPr>
          <w:pStyle w:val="Header"/>
          <w:jc w:val="right"/>
          <w:rPr>
            <w:noProof/>
          </w:rPr>
        </w:pPr>
        <w:r>
          <w:fldChar w:fldCharType="begin"/>
        </w:r>
        <w:r>
          <w:instrText xml:space="preserve"> PAGE   \* MERGEFORMAT </w:instrText>
        </w:r>
        <w:r>
          <w:fldChar w:fldCharType="separate"/>
        </w:r>
        <w:r w:rsidR="007A0D3B">
          <w:rPr>
            <w:noProof/>
          </w:rPr>
          <w:t>1</w:t>
        </w:r>
        <w:r>
          <w:rPr>
            <w:noProof/>
          </w:rPr>
          <w:fldChar w:fldCharType="end"/>
        </w:r>
      </w:p>
      <w:p w14:paraId="67D7772A" w14:textId="77777777" w:rsidR="008B3E57" w:rsidRDefault="00181614">
        <w:pPr>
          <w:pStyle w:val="Header"/>
          <w:jc w:val="right"/>
          <w:rPr>
            <w:noProof/>
          </w:rPr>
        </w:pPr>
        <w:r>
          <w:rPr>
            <w:noProof/>
          </w:rPr>
          <w:t>HMA 17-24</w:t>
        </w:r>
      </w:p>
      <w:p w14:paraId="50038230" w14:textId="77777777" w:rsidR="008B3E57" w:rsidRDefault="008B3E57">
        <w:pPr>
          <w:pStyle w:val="Header"/>
          <w:jc w:val="right"/>
        </w:pPr>
        <w:r>
          <w:rPr>
            <w:noProof/>
          </w:rPr>
          <w:t xml:space="preserve"> </w:t>
        </w:r>
        <w:r w:rsidR="00181614">
          <w:rPr>
            <w:noProof/>
          </w:rPr>
          <w:t>CAPP 10/23</w:t>
        </w:r>
      </w:p>
    </w:sdtContent>
  </w:sdt>
  <w:p w14:paraId="31A655E9" w14:textId="77777777" w:rsidR="008B3E57" w:rsidRDefault="008B3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49A0"/>
    <w:multiLevelType w:val="hybridMultilevel"/>
    <w:tmpl w:val="DBC25850"/>
    <w:lvl w:ilvl="0" w:tplc="30D4B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BC0ECF"/>
    <w:multiLevelType w:val="hybridMultilevel"/>
    <w:tmpl w:val="C4EC1A16"/>
    <w:lvl w:ilvl="0" w:tplc="CA0E3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1E5740"/>
    <w:multiLevelType w:val="hybridMultilevel"/>
    <w:tmpl w:val="30D6DD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6B655FB"/>
    <w:multiLevelType w:val="hybridMultilevel"/>
    <w:tmpl w:val="F1D881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F66C8"/>
    <w:multiLevelType w:val="hybridMultilevel"/>
    <w:tmpl w:val="8BE68E7E"/>
    <w:lvl w:ilvl="0" w:tplc="EEEC6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017E2C"/>
    <w:multiLevelType w:val="hybridMultilevel"/>
    <w:tmpl w:val="A6A6BACE"/>
    <w:lvl w:ilvl="0" w:tplc="98DCC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ECD4E95"/>
    <w:multiLevelType w:val="hybridMultilevel"/>
    <w:tmpl w:val="C4A0A4B2"/>
    <w:lvl w:ilvl="0" w:tplc="23CA47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C9"/>
    <w:rsid w:val="00007ABF"/>
    <w:rsid w:val="000455EF"/>
    <w:rsid w:val="00080D06"/>
    <w:rsid w:val="00081C4F"/>
    <w:rsid w:val="00082E5F"/>
    <w:rsid w:val="00095A15"/>
    <w:rsid w:val="000E075E"/>
    <w:rsid w:val="000E7CE1"/>
    <w:rsid w:val="0010256E"/>
    <w:rsid w:val="0011525B"/>
    <w:rsid w:val="00134099"/>
    <w:rsid w:val="001611DB"/>
    <w:rsid w:val="00165722"/>
    <w:rsid w:val="00181614"/>
    <w:rsid w:val="001B0EC9"/>
    <w:rsid w:val="001B52E5"/>
    <w:rsid w:val="001B73C4"/>
    <w:rsid w:val="001C0853"/>
    <w:rsid w:val="001C323B"/>
    <w:rsid w:val="001E51E6"/>
    <w:rsid w:val="001F7D2A"/>
    <w:rsid w:val="00217B2D"/>
    <w:rsid w:val="002377D2"/>
    <w:rsid w:val="002432A3"/>
    <w:rsid w:val="002518A7"/>
    <w:rsid w:val="00257C0F"/>
    <w:rsid w:val="0027656D"/>
    <w:rsid w:val="00277E24"/>
    <w:rsid w:val="0028695A"/>
    <w:rsid w:val="002971A0"/>
    <w:rsid w:val="002A34A0"/>
    <w:rsid w:val="002D6525"/>
    <w:rsid w:val="002E149D"/>
    <w:rsid w:val="00300B0C"/>
    <w:rsid w:val="003117D5"/>
    <w:rsid w:val="00326A9D"/>
    <w:rsid w:val="00363940"/>
    <w:rsid w:val="00377D41"/>
    <w:rsid w:val="00390F91"/>
    <w:rsid w:val="003B200D"/>
    <w:rsid w:val="003B3E9C"/>
    <w:rsid w:val="003B4E41"/>
    <w:rsid w:val="003B6534"/>
    <w:rsid w:val="003D36CC"/>
    <w:rsid w:val="003D6051"/>
    <w:rsid w:val="003E1CEB"/>
    <w:rsid w:val="00435E64"/>
    <w:rsid w:val="004450B7"/>
    <w:rsid w:val="00447641"/>
    <w:rsid w:val="00463F01"/>
    <w:rsid w:val="0047361C"/>
    <w:rsid w:val="00482DD2"/>
    <w:rsid w:val="00485658"/>
    <w:rsid w:val="004B65A6"/>
    <w:rsid w:val="004D5DEC"/>
    <w:rsid w:val="004F3242"/>
    <w:rsid w:val="004F3C89"/>
    <w:rsid w:val="004F5F27"/>
    <w:rsid w:val="004F67F2"/>
    <w:rsid w:val="004F7720"/>
    <w:rsid w:val="005003EF"/>
    <w:rsid w:val="00506A1F"/>
    <w:rsid w:val="00523E21"/>
    <w:rsid w:val="005505B8"/>
    <w:rsid w:val="00554E24"/>
    <w:rsid w:val="00555000"/>
    <w:rsid w:val="00576E5E"/>
    <w:rsid w:val="005A667A"/>
    <w:rsid w:val="005D38BA"/>
    <w:rsid w:val="005D446A"/>
    <w:rsid w:val="005F0BFE"/>
    <w:rsid w:val="006021DD"/>
    <w:rsid w:val="006168AC"/>
    <w:rsid w:val="006251A8"/>
    <w:rsid w:val="006404AB"/>
    <w:rsid w:val="0064136C"/>
    <w:rsid w:val="00644CA2"/>
    <w:rsid w:val="00651408"/>
    <w:rsid w:val="00651A5A"/>
    <w:rsid w:val="00662A83"/>
    <w:rsid w:val="00683127"/>
    <w:rsid w:val="00693E2E"/>
    <w:rsid w:val="006B2950"/>
    <w:rsid w:val="007052BC"/>
    <w:rsid w:val="00732F5B"/>
    <w:rsid w:val="00743EAF"/>
    <w:rsid w:val="007516CC"/>
    <w:rsid w:val="00765CB6"/>
    <w:rsid w:val="007A0D3B"/>
    <w:rsid w:val="007A0E01"/>
    <w:rsid w:val="007B1C22"/>
    <w:rsid w:val="007B21ED"/>
    <w:rsid w:val="007D4B0E"/>
    <w:rsid w:val="007D55E6"/>
    <w:rsid w:val="007E0E40"/>
    <w:rsid w:val="007E5200"/>
    <w:rsid w:val="00811E78"/>
    <w:rsid w:val="00814764"/>
    <w:rsid w:val="008228D9"/>
    <w:rsid w:val="00823684"/>
    <w:rsid w:val="00825673"/>
    <w:rsid w:val="008427AA"/>
    <w:rsid w:val="00856B1F"/>
    <w:rsid w:val="00862743"/>
    <w:rsid w:val="00867EA4"/>
    <w:rsid w:val="00873A33"/>
    <w:rsid w:val="00894DD0"/>
    <w:rsid w:val="008A4763"/>
    <w:rsid w:val="008B3E57"/>
    <w:rsid w:val="008B5670"/>
    <w:rsid w:val="008C5927"/>
    <w:rsid w:val="008F21E2"/>
    <w:rsid w:val="008F6484"/>
    <w:rsid w:val="008F709C"/>
    <w:rsid w:val="00914EBB"/>
    <w:rsid w:val="009179EB"/>
    <w:rsid w:val="00920816"/>
    <w:rsid w:val="00927C9C"/>
    <w:rsid w:val="009401C3"/>
    <w:rsid w:val="00944F0D"/>
    <w:rsid w:val="00950998"/>
    <w:rsid w:val="0096081F"/>
    <w:rsid w:val="0096227C"/>
    <w:rsid w:val="00963537"/>
    <w:rsid w:val="00975C51"/>
    <w:rsid w:val="00983400"/>
    <w:rsid w:val="0098711C"/>
    <w:rsid w:val="009977B4"/>
    <w:rsid w:val="009B33C1"/>
    <w:rsid w:val="009B7058"/>
    <w:rsid w:val="009C7872"/>
    <w:rsid w:val="00A05BE1"/>
    <w:rsid w:val="00A15757"/>
    <w:rsid w:val="00A23727"/>
    <w:rsid w:val="00A33066"/>
    <w:rsid w:val="00A40C8B"/>
    <w:rsid w:val="00A61CC8"/>
    <w:rsid w:val="00A7732A"/>
    <w:rsid w:val="00AA3DC0"/>
    <w:rsid w:val="00AB071B"/>
    <w:rsid w:val="00AB3222"/>
    <w:rsid w:val="00AC4623"/>
    <w:rsid w:val="00AC498C"/>
    <w:rsid w:val="00AC4BC8"/>
    <w:rsid w:val="00AC5951"/>
    <w:rsid w:val="00AE5BF4"/>
    <w:rsid w:val="00B0199E"/>
    <w:rsid w:val="00B04FDE"/>
    <w:rsid w:val="00B143D1"/>
    <w:rsid w:val="00B278A5"/>
    <w:rsid w:val="00B43AEF"/>
    <w:rsid w:val="00B51C6E"/>
    <w:rsid w:val="00B54A20"/>
    <w:rsid w:val="00B62D0C"/>
    <w:rsid w:val="00B7058C"/>
    <w:rsid w:val="00B82864"/>
    <w:rsid w:val="00B92BED"/>
    <w:rsid w:val="00B96CCE"/>
    <w:rsid w:val="00BA1949"/>
    <w:rsid w:val="00BB10E4"/>
    <w:rsid w:val="00BC1625"/>
    <w:rsid w:val="00BE3E0B"/>
    <w:rsid w:val="00BF576B"/>
    <w:rsid w:val="00C20636"/>
    <w:rsid w:val="00C218A2"/>
    <w:rsid w:val="00C256B7"/>
    <w:rsid w:val="00C5564D"/>
    <w:rsid w:val="00C77DAF"/>
    <w:rsid w:val="00C9616B"/>
    <w:rsid w:val="00CC15AD"/>
    <w:rsid w:val="00CC192C"/>
    <w:rsid w:val="00CC20C9"/>
    <w:rsid w:val="00CF65AB"/>
    <w:rsid w:val="00D311D2"/>
    <w:rsid w:val="00D36214"/>
    <w:rsid w:val="00D44752"/>
    <w:rsid w:val="00D50874"/>
    <w:rsid w:val="00D7253E"/>
    <w:rsid w:val="00D825A9"/>
    <w:rsid w:val="00D95CF4"/>
    <w:rsid w:val="00DB75F2"/>
    <w:rsid w:val="00DC23DA"/>
    <w:rsid w:val="00DC4377"/>
    <w:rsid w:val="00DD40F7"/>
    <w:rsid w:val="00DF1A7F"/>
    <w:rsid w:val="00E048AC"/>
    <w:rsid w:val="00E15CD7"/>
    <w:rsid w:val="00E2000E"/>
    <w:rsid w:val="00E2090D"/>
    <w:rsid w:val="00E25932"/>
    <w:rsid w:val="00E44D47"/>
    <w:rsid w:val="00E51AA6"/>
    <w:rsid w:val="00E55EAA"/>
    <w:rsid w:val="00E62B6A"/>
    <w:rsid w:val="00E940D5"/>
    <w:rsid w:val="00E96ECC"/>
    <w:rsid w:val="00EA08BB"/>
    <w:rsid w:val="00ED22A3"/>
    <w:rsid w:val="00EE6B8C"/>
    <w:rsid w:val="00F2013B"/>
    <w:rsid w:val="00F46B9A"/>
    <w:rsid w:val="00F513A0"/>
    <w:rsid w:val="00F550A3"/>
    <w:rsid w:val="00F74598"/>
    <w:rsid w:val="00FA262D"/>
    <w:rsid w:val="00FB125E"/>
    <w:rsid w:val="00FD14B2"/>
    <w:rsid w:val="00FD53C2"/>
    <w:rsid w:val="00FD67FF"/>
    <w:rsid w:val="00FD7F8F"/>
    <w:rsid w:val="00FE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3294"/>
  <w15:chartTrackingRefBased/>
  <w15:docId w15:val="{42722231-2CC9-4440-A9B7-41735095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0C9"/>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0C9"/>
    <w:pPr>
      <w:ind w:left="720"/>
      <w:contextualSpacing/>
    </w:pPr>
  </w:style>
  <w:style w:type="paragraph" w:styleId="Header">
    <w:name w:val="header"/>
    <w:basedOn w:val="Normal"/>
    <w:link w:val="HeaderChar"/>
    <w:uiPriority w:val="99"/>
    <w:unhideWhenUsed/>
    <w:rsid w:val="00CC2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0C9"/>
    <w:rPr>
      <w:lang w:val="en-ZW"/>
    </w:rPr>
  </w:style>
  <w:style w:type="paragraph" w:styleId="Footer">
    <w:name w:val="footer"/>
    <w:basedOn w:val="Normal"/>
    <w:link w:val="FooterChar"/>
    <w:uiPriority w:val="99"/>
    <w:unhideWhenUsed/>
    <w:rsid w:val="00CC2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0C9"/>
    <w:rPr>
      <w:lang w:val="en-ZW"/>
    </w:rPr>
  </w:style>
  <w:style w:type="paragraph" w:styleId="BalloonText">
    <w:name w:val="Balloon Text"/>
    <w:basedOn w:val="Normal"/>
    <w:link w:val="BalloonTextChar"/>
    <w:uiPriority w:val="99"/>
    <w:semiHidden/>
    <w:unhideWhenUsed/>
    <w:rsid w:val="00BF5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76B"/>
    <w:rPr>
      <w:rFonts w:ascii="Segoe UI" w:hAnsi="Segoe UI" w:cs="Segoe UI"/>
      <w:sz w:val="18"/>
      <w:szCs w:val="18"/>
      <w:lang w:val="en-ZW"/>
    </w:rPr>
  </w:style>
  <w:style w:type="character" w:styleId="PlaceholderText">
    <w:name w:val="Placeholder Text"/>
    <w:basedOn w:val="DefaultParagraphFont"/>
    <w:uiPriority w:val="99"/>
    <w:semiHidden/>
    <w:rsid w:val="00257C0F"/>
    <w:rPr>
      <w:color w:val="808080"/>
    </w:rPr>
  </w:style>
  <w:style w:type="paragraph" w:styleId="NoSpacing">
    <w:name w:val="No Spacing"/>
    <w:uiPriority w:val="1"/>
    <w:qFormat/>
    <w:rsid w:val="00B278A5"/>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9142">
      <w:bodyDiv w:val="1"/>
      <w:marLeft w:val="0"/>
      <w:marRight w:val="0"/>
      <w:marTop w:val="0"/>
      <w:marBottom w:val="0"/>
      <w:divBdr>
        <w:top w:val="none" w:sz="0" w:space="0" w:color="auto"/>
        <w:left w:val="none" w:sz="0" w:space="0" w:color="auto"/>
        <w:bottom w:val="none" w:sz="0" w:space="0" w:color="auto"/>
        <w:right w:val="none" w:sz="0" w:space="0" w:color="auto"/>
      </w:divBdr>
    </w:div>
    <w:div w:id="502546165">
      <w:bodyDiv w:val="1"/>
      <w:marLeft w:val="0"/>
      <w:marRight w:val="0"/>
      <w:marTop w:val="0"/>
      <w:marBottom w:val="0"/>
      <w:divBdr>
        <w:top w:val="none" w:sz="0" w:space="0" w:color="auto"/>
        <w:left w:val="none" w:sz="0" w:space="0" w:color="auto"/>
        <w:bottom w:val="none" w:sz="0" w:space="0" w:color="auto"/>
        <w:right w:val="none" w:sz="0" w:space="0" w:color="auto"/>
      </w:divBdr>
    </w:div>
    <w:div w:id="1360547172">
      <w:bodyDiv w:val="1"/>
      <w:marLeft w:val="0"/>
      <w:marRight w:val="0"/>
      <w:marTop w:val="0"/>
      <w:marBottom w:val="0"/>
      <w:divBdr>
        <w:top w:val="none" w:sz="0" w:space="0" w:color="auto"/>
        <w:left w:val="none" w:sz="0" w:space="0" w:color="auto"/>
        <w:bottom w:val="none" w:sz="0" w:space="0" w:color="auto"/>
        <w:right w:val="none" w:sz="0" w:space="0" w:color="auto"/>
      </w:divBdr>
    </w:div>
    <w:div w:id="1939366348">
      <w:bodyDiv w:val="1"/>
      <w:marLeft w:val="0"/>
      <w:marRight w:val="0"/>
      <w:marTop w:val="0"/>
      <w:marBottom w:val="0"/>
      <w:divBdr>
        <w:top w:val="none" w:sz="0" w:space="0" w:color="auto"/>
        <w:left w:val="none" w:sz="0" w:space="0" w:color="auto"/>
        <w:bottom w:val="none" w:sz="0" w:space="0" w:color="auto"/>
        <w:right w:val="none" w:sz="0" w:space="0" w:color="auto"/>
      </w:divBdr>
    </w:div>
    <w:div w:id="198358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5B634-E8AB-4996-ABC3-C2A89973D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1920</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cp:lastPrinted>2024-04-22T12:02:00Z</cp:lastPrinted>
  <dcterms:created xsi:type="dcterms:W3CDTF">2024-04-25T06:25:00Z</dcterms:created>
  <dcterms:modified xsi:type="dcterms:W3CDTF">2024-04-25T06:25:00Z</dcterms:modified>
</cp:coreProperties>
</file>