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B7" w:rsidRDefault="00213FB7" w:rsidP="00213FB7">
      <w:pPr>
        <w:pStyle w:val="NoSpacing"/>
        <w:jc w:val="both"/>
        <w:rPr>
          <w:b/>
        </w:rPr>
      </w:pPr>
      <w:r>
        <w:rPr>
          <w:b/>
        </w:rPr>
        <w:t>THE STATE</w:t>
      </w:r>
    </w:p>
    <w:p w:rsidR="00213FB7" w:rsidRDefault="00213FB7" w:rsidP="00213FB7">
      <w:pPr>
        <w:pStyle w:val="NoSpacing"/>
        <w:jc w:val="both"/>
        <w:rPr>
          <w:b/>
        </w:rPr>
      </w:pPr>
    </w:p>
    <w:p w:rsidR="00213FB7" w:rsidRDefault="00213FB7" w:rsidP="00213FB7">
      <w:pPr>
        <w:pStyle w:val="NoSpacing"/>
        <w:jc w:val="both"/>
        <w:rPr>
          <w:b/>
        </w:rPr>
      </w:pPr>
      <w:r>
        <w:rPr>
          <w:b/>
        </w:rPr>
        <w:t>Versus</w:t>
      </w:r>
    </w:p>
    <w:p w:rsidR="00213FB7" w:rsidRDefault="00213FB7" w:rsidP="00213FB7">
      <w:pPr>
        <w:pStyle w:val="NoSpacing"/>
        <w:jc w:val="both"/>
        <w:rPr>
          <w:b/>
        </w:rPr>
      </w:pPr>
    </w:p>
    <w:p w:rsidR="00213FB7" w:rsidRDefault="00213FB7" w:rsidP="00213FB7">
      <w:pPr>
        <w:pStyle w:val="NoSpacing"/>
        <w:jc w:val="both"/>
        <w:rPr>
          <w:b/>
        </w:rPr>
      </w:pPr>
      <w:r>
        <w:rPr>
          <w:b/>
        </w:rPr>
        <w:t>WILLIAM HLAMBELO</w:t>
      </w:r>
    </w:p>
    <w:p w:rsidR="00213FB7" w:rsidRDefault="00213FB7" w:rsidP="00213FB7">
      <w:pPr>
        <w:pStyle w:val="NoSpacing"/>
        <w:jc w:val="both"/>
        <w:rPr>
          <w:b/>
        </w:rPr>
      </w:pPr>
    </w:p>
    <w:p w:rsidR="00213FB7" w:rsidRDefault="00213FB7" w:rsidP="008F0F73">
      <w:pPr>
        <w:pStyle w:val="NoSpacing"/>
        <w:spacing w:line="276" w:lineRule="auto"/>
        <w:jc w:val="both"/>
      </w:pPr>
      <w:r>
        <w:t>IN THE HIGH COURT OF ZIMBABWE</w:t>
      </w:r>
    </w:p>
    <w:p w:rsidR="00213FB7" w:rsidRDefault="00213FB7" w:rsidP="008F0F73">
      <w:pPr>
        <w:pStyle w:val="NoSpacing"/>
        <w:spacing w:line="276" w:lineRule="auto"/>
        <w:jc w:val="both"/>
      </w:pPr>
      <w:r>
        <w:t xml:space="preserve">DUBE-BANDA J with </w:t>
      </w:r>
      <w:r w:rsidR="008F0F73">
        <w:t>Assessors Mr</w:t>
      </w:r>
      <w:r w:rsidR="00B46165">
        <w:t xml:space="preserve"> </w:t>
      </w:r>
      <w:r w:rsidR="008F0F73">
        <w:t>Ndlovu and Mr</w:t>
      </w:r>
      <w:r w:rsidR="00B46165">
        <w:t xml:space="preserve"> </w:t>
      </w:r>
      <w:r w:rsidR="008F0F73">
        <w:t>Bazwi</w:t>
      </w:r>
    </w:p>
    <w:p w:rsidR="00213FB7" w:rsidRDefault="00213FB7" w:rsidP="008F0F73">
      <w:pPr>
        <w:pStyle w:val="NoSpacing"/>
        <w:spacing w:line="276" w:lineRule="auto"/>
        <w:jc w:val="both"/>
      </w:pPr>
      <w:r>
        <w:t xml:space="preserve">HWANGE CIRCUIT COURT 7 </w:t>
      </w:r>
      <w:r w:rsidR="00B46165">
        <w:t xml:space="preserve">&amp; 8 </w:t>
      </w:r>
      <w:r>
        <w:t>O</w:t>
      </w:r>
      <w:r w:rsidR="00B46165">
        <w:t xml:space="preserve">CTOBER </w:t>
      </w:r>
      <w:r>
        <w:t>2020</w:t>
      </w:r>
    </w:p>
    <w:p w:rsidR="00213FB7" w:rsidRDefault="00213FB7" w:rsidP="00213FB7">
      <w:pPr>
        <w:pStyle w:val="NoSpacing"/>
        <w:jc w:val="both"/>
      </w:pPr>
    </w:p>
    <w:p w:rsidR="00213FB7" w:rsidRDefault="00213FB7" w:rsidP="00213FB7">
      <w:pPr>
        <w:pStyle w:val="NoSpacing"/>
        <w:jc w:val="both"/>
        <w:rPr>
          <w:b/>
        </w:rPr>
      </w:pPr>
      <w:r>
        <w:rPr>
          <w:b/>
        </w:rPr>
        <w:t>Application for a discharge at the close of the State case</w:t>
      </w:r>
    </w:p>
    <w:p w:rsidR="00EB101D" w:rsidRDefault="00EB101D" w:rsidP="00213FB7">
      <w:pPr>
        <w:pStyle w:val="NoSpacing"/>
        <w:jc w:val="both"/>
        <w:rPr>
          <w:b/>
        </w:rPr>
      </w:pPr>
    </w:p>
    <w:p w:rsidR="00213FB7" w:rsidRDefault="00213FB7" w:rsidP="00213FB7">
      <w:pPr>
        <w:pStyle w:val="NoSpacing"/>
        <w:jc w:val="both"/>
        <w:rPr>
          <w:b/>
        </w:rPr>
      </w:pPr>
    </w:p>
    <w:p w:rsidR="00213FB7" w:rsidRDefault="00213FB7" w:rsidP="00213FB7">
      <w:pPr>
        <w:pStyle w:val="NoSpacing"/>
        <w:jc w:val="both"/>
      </w:pPr>
      <w:r>
        <w:rPr>
          <w:i/>
        </w:rPr>
        <w:t xml:space="preserve">B. Tshabalala, </w:t>
      </w:r>
      <w:r>
        <w:t>for the state</w:t>
      </w:r>
    </w:p>
    <w:p w:rsidR="00F574B9" w:rsidRPr="008F0F73" w:rsidRDefault="00213FB7" w:rsidP="008F0F73">
      <w:pPr>
        <w:pStyle w:val="NoSpacing"/>
        <w:jc w:val="both"/>
      </w:pPr>
      <w:r>
        <w:rPr>
          <w:i/>
        </w:rPr>
        <w:t xml:space="preserve">Ms L. Mthombeni, </w:t>
      </w:r>
      <w:r>
        <w:t>for the accused</w:t>
      </w:r>
    </w:p>
    <w:p w:rsidR="00082B07" w:rsidRPr="00706A2B" w:rsidRDefault="00213FB7" w:rsidP="00803C02">
      <w:pPr>
        <w:autoSpaceDE w:val="0"/>
        <w:autoSpaceDN w:val="0"/>
        <w:adjustRightInd w:val="0"/>
        <w:spacing w:after="0" w:line="360" w:lineRule="auto"/>
        <w:ind w:firstLine="720"/>
        <w:jc w:val="both"/>
        <w:rPr>
          <w:rFonts w:ascii="Times New Roman" w:hAnsi="Times New Roman" w:cs="Times New Roman"/>
          <w:sz w:val="24"/>
          <w:szCs w:val="24"/>
        </w:rPr>
      </w:pPr>
      <w:r w:rsidRPr="00B46165">
        <w:rPr>
          <w:rFonts w:ascii="Times New Roman" w:hAnsi="Times New Roman" w:cs="Times New Roman"/>
          <w:b/>
          <w:sz w:val="24"/>
          <w:szCs w:val="24"/>
        </w:rPr>
        <w:t>DUBE-BANDA J</w:t>
      </w:r>
      <w:r>
        <w:rPr>
          <w:rFonts w:ascii="Times New Roman" w:hAnsi="Times New Roman" w:cs="Times New Roman"/>
          <w:sz w:val="24"/>
          <w:szCs w:val="24"/>
        </w:rPr>
        <w:t xml:space="preserve">: </w:t>
      </w:r>
      <w:r w:rsidR="00F574B9" w:rsidRPr="00706A2B">
        <w:rPr>
          <w:rFonts w:ascii="Times New Roman" w:hAnsi="Times New Roman" w:cs="Times New Roman"/>
          <w:sz w:val="24"/>
          <w:szCs w:val="24"/>
        </w:rPr>
        <w:t xml:space="preserve">This is an application </w:t>
      </w:r>
      <w:r w:rsidR="000D6B7C">
        <w:rPr>
          <w:rFonts w:ascii="Times New Roman" w:hAnsi="Times New Roman" w:cs="Times New Roman"/>
          <w:sz w:val="24"/>
          <w:szCs w:val="24"/>
        </w:rPr>
        <w:t xml:space="preserve">for a discharge </w:t>
      </w:r>
      <w:r w:rsidR="00F574B9" w:rsidRPr="00706A2B">
        <w:rPr>
          <w:rFonts w:ascii="Times New Roman" w:hAnsi="Times New Roman" w:cs="Times New Roman"/>
          <w:sz w:val="24"/>
          <w:szCs w:val="24"/>
        </w:rPr>
        <w:t xml:space="preserve">in terms </w:t>
      </w:r>
      <w:r w:rsidR="009D3B31" w:rsidRPr="00706A2B">
        <w:rPr>
          <w:rFonts w:ascii="Times New Roman" w:hAnsi="Times New Roman" w:cs="Times New Roman"/>
          <w:sz w:val="24"/>
          <w:szCs w:val="24"/>
        </w:rPr>
        <w:t>of the provisions of section 198(3)</w:t>
      </w:r>
      <w:r w:rsidR="00F574B9" w:rsidRPr="00706A2B">
        <w:rPr>
          <w:rFonts w:ascii="Times New Roman" w:hAnsi="Times New Roman" w:cs="Times New Roman"/>
          <w:sz w:val="24"/>
          <w:szCs w:val="24"/>
        </w:rPr>
        <w:t xml:space="preserve"> of the Criminal </w:t>
      </w:r>
      <w:r w:rsidR="000D6B7C">
        <w:rPr>
          <w:rFonts w:ascii="Times New Roman" w:hAnsi="Times New Roman" w:cs="Times New Roman"/>
          <w:sz w:val="24"/>
          <w:szCs w:val="24"/>
        </w:rPr>
        <w:t>Procedure and Evidence Act [Chapter 9:07].</w:t>
      </w:r>
      <w:r w:rsidR="00803C02" w:rsidRPr="00706A2B">
        <w:rPr>
          <w:rFonts w:ascii="Times New Roman" w:hAnsi="Times New Roman" w:cs="Times New Roman"/>
          <w:sz w:val="24"/>
          <w:szCs w:val="24"/>
        </w:rPr>
        <w:t xml:space="preserve"> At the close of the evidence for the prosecution, defence counsel applied for the discharge of the accused. </w:t>
      </w:r>
      <w:r w:rsidR="000D6B7C">
        <w:rPr>
          <w:rFonts w:ascii="Times New Roman" w:hAnsi="Times New Roman" w:cs="Times New Roman"/>
          <w:sz w:val="24"/>
          <w:szCs w:val="24"/>
        </w:rPr>
        <w:t>The</w:t>
      </w:r>
      <w:r w:rsidR="009D3B31" w:rsidRPr="00706A2B">
        <w:rPr>
          <w:rFonts w:ascii="Times New Roman" w:hAnsi="Times New Roman" w:cs="Times New Roman"/>
          <w:sz w:val="24"/>
          <w:szCs w:val="24"/>
        </w:rPr>
        <w:t xml:space="preserve"> discharge </w:t>
      </w:r>
      <w:r w:rsidR="000D6B7C">
        <w:rPr>
          <w:rFonts w:ascii="Times New Roman" w:hAnsi="Times New Roman" w:cs="Times New Roman"/>
          <w:sz w:val="24"/>
          <w:szCs w:val="24"/>
        </w:rPr>
        <w:t xml:space="preserve">was sought </w:t>
      </w:r>
      <w:r w:rsidR="00F574B9" w:rsidRPr="00706A2B">
        <w:rPr>
          <w:rFonts w:ascii="Times New Roman" w:hAnsi="Times New Roman" w:cs="Times New Roman"/>
          <w:sz w:val="24"/>
          <w:szCs w:val="24"/>
        </w:rPr>
        <w:t xml:space="preserve">on the basis that at the </w:t>
      </w:r>
      <w:r w:rsidR="009D3B31" w:rsidRPr="00706A2B">
        <w:rPr>
          <w:rFonts w:ascii="Times New Roman" w:hAnsi="Times New Roman" w:cs="Times New Roman"/>
          <w:sz w:val="24"/>
          <w:szCs w:val="24"/>
        </w:rPr>
        <w:t>closure of the State’s case</w:t>
      </w:r>
      <w:r w:rsidR="00F574B9" w:rsidRPr="00706A2B">
        <w:rPr>
          <w:rFonts w:ascii="Times New Roman" w:hAnsi="Times New Roman" w:cs="Times New Roman"/>
          <w:sz w:val="24"/>
          <w:szCs w:val="24"/>
        </w:rPr>
        <w:t xml:space="preserve"> there was no evid</w:t>
      </w:r>
      <w:r w:rsidR="009D3B31" w:rsidRPr="00706A2B">
        <w:rPr>
          <w:rFonts w:ascii="Times New Roman" w:hAnsi="Times New Roman" w:cs="Times New Roman"/>
          <w:sz w:val="24"/>
          <w:szCs w:val="24"/>
        </w:rPr>
        <w:t>ence against the accused person</w:t>
      </w:r>
      <w:r w:rsidR="003F0D5A">
        <w:rPr>
          <w:rFonts w:ascii="Times New Roman" w:hAnsi="Times New Roman" w:cs="Times New Roman"/>
          <w:sz w:val="24"/>
          <w:szCs w:val="24"/>
        </w:rPr>
        <w:t xml:space="preserve"> </w:t>
      </w:r>
      <w:r w:rsidR="009D3B31" w:rsidRPr="00706A2B">
        <w:rPr>
          <w:rFonts w:ascii="Times New Roman" w:hAnsi="Times New Roman" w:cs="Times New Roman"/>
          <w:sz w:val="24"/>
          <w:szCs w:val="24"/>
        </w:rPr>
        <w:t>which required a reply from him</w:t>
      </w:r>
      <w:r w:rsidR="000D6B7C">
        <w:rPr>
          <w:rFonts w:ascii="Times New Roman" w:hAnsi="Times New Roman" w:cs="Times New Roman"/>
          <w:sz w:val="24"/>
          <w:szCs w:val="24"/>
        </w:rPr>
        <w:t>.</w:t>
      </w:r>
      <w:r w:rsidR="003F0D5A">
        <w:rPr>
          <w:rFonts w:ascii="Times New Roman" w:hAnsi="Times New Roman" w:cs="Times New Roman"/>
          <w:sz w:val="24"/>
          <w:szCs w:val="24"/>
        </w:rPr>
        <w:t xml:space="preserve">  </w:t>
      </w:r>
      <w:r w:rsidR="00082B07" w:rsidRPr="00706A2B">
        <w:rPr>
          <w:rFonts w:ascii="Times New Roman" w:hAnsi="Times New Roman" w:cs="Times New Roman"/>
          <w:sz w:val="24"/>
          <w:szCs w:val="24"/>
        </w:rPr>
        <w:t>In terms of section 198(3) of the Criminal Procedure and Evidence Act, [</w:t>
      </w:r>
      <w:r w:rsidR="00082B07" w:rsidRPr="00706A2B">
        <w:rPr>
          <w:rFonts w:ascii="Times New Roman" w:hAnsi="Times New Roman" w:cs="Times New Roman"/>
          <w:i/>
          <w:iCs/>
          <w:sz w:val="24"/>
          <w:szCs w:val="24"/>
        </w:rPr>
        <w:t>Chapter 9:07</w:t>
      </w:r>
      <w:r w:rsidR="00082B07" w:rsidRPr="00706A2B">
        <w:rPr>
          <w:rFonts w:ascii="Times New Roman" w:hAnsi="Times New Roman" w:cs="Times New Roman"/>
          <w:sz w:val="24"/>
          <w:szCs w:val="24"/>
        </w:rPr>
        <w:t>], the court shall return a verdict of not guilty if at the close of the State case:-</w:t>
      </w:r>
    </w:p>
    <w:p w:rsidR="00082B07" w:rsidRPr="00706A2B" w:rsidRDefault="00082B07" w:rsidP="00082B07">
      <w:pPr>
        <w:autoSpaceDE w:val="0"/>
        <w:autoSpaceDN w:val="0"/>
        <w:adjustRightInd w:val="0"/>
        <w:spacing w:after="0" w:line="240" w:lineRule="auto"/>
        <w:jc w:val="both"/>
        <w:rPr>
          <w:rFonts w:ascii="Times New Roman" w:hAnsi="Times New Roman" w:cs="Times New Roman"/>
          <w:sz w:val="24"/>
          <w:szCs w:val="24"/>
        </w:rPr>
      </w:pPr>
    </w:p>
    <w:p w:rsidR="00082B07" w:rsidRDefault="00082B07" w:rsidP="00B27290">
      <w:pPr>
        <w:autoSpaceDE w:val="0"/>
        <w:autoSpaceDN w:val="0"/>
        <w:adjustRightInd w:val="0"/>
        <w:spacing w:after="0" w:line="240" w:lineRule="auto"/>
        <w:ind w:left="720"/>
        <w:jc w:val="both"/>
        <w:rPr>
          <w:rFonts w:ascii="BookmanOldStyle" w:hAnsi="BookmanOldStyle" w:cs="BookmanOldStyle"/>
          <w:sz w:val="24"/>
          <w:szCs w:val="24"/>
        </w:rPr>
      </w:pPr>
      <w:r>
        <w:rPr>
          <w:rFonts w:ascii="BookmanOldStyle" w:hAnsi="BookmanOldStyle" w:cs="BookmanOldStyle"/>
          <w:sz w:val="24"/>
          <w:szCs w:val="24"/>
        </w:rPr>
        <w:t>the court considers that there is no evidence that the accused committed the offence charged in the indictment, summons or charge or any other offence of which he might be convictedthereon.</w:t>
      </w:r>
    </w:p>
    <w:p w:rsidR="00E940A8" w:rsidRDefault="00E940A8" w:rsidP="00B27290">
      <w:pPr>
        <w:autoSpaceDE w:val="0"/>
        <w:autoSpaceDN w:val="0"/>
        <w:adjustRightInd w:val="0"/>
        <w:spacing w:after="0" w:line="240" w:lineRule="auto"/>
        <w:ind w:left="720"/>
        <w:jc w:val="both"/>
        <w:rPr>
          <w:rFonts w:ascii="BookmanOldStyle" w:hAnsi="BookmanOldStyle" w:cs="BookmanOldStyle"/>
          <w:sz w:val="24"/>
          <w:szCs w:val="24"/>
        </w:rPr>
      </w:pPr>
    </w:p>
    <w:p w:rsidR="00E940A8" w:rsidRPr="00E940A8" w:rsidRDefault="00E940A8" w:rsidP="00E940A8">
      <w:pPr>
        <w:autoSpaceDE w:val="0"/>
        <w:autoSpaceDN w:val="0"/>
        <w:adjustRightInd w:val="0"/>
        <w:spacing w:after="0" w:line="360" w:lineRule="auto"/>
        <w:ind w:firstLine="720"/>
        <w:jc w:val="both"/>
        <w:rPr>
          <w:rFonts w:ascii="Times New Roman" w:hAnsi="Times New Roman" w:cs="Times New Roman"/>
          <w:sz w:val="24"/>
          <w:szCs w:val="24"/>
        </w:rPr>
      </w:pPr>
      <w:r w:rsidRPr="00E940A8">
        <w:rPr>
          <w:rFonts w:ascii="Times New Roman" w:hAnsi="Times New Roman" w:cs="Times New Roman"/>
          <w:sz w:val="24"/>
          <w:szCs w:val="24"/>
        </w:rPr>
        <w:t>The words ‘no evidence’ have been interpreted by the courts to mean no evidence upon which a re</w:t>
      </w:r>
      <w:r w:rsidR="00706A2B">
        <w:rPr>
          <w:rFonts w:ascii="Times New Roman" w:hAnsi="Times New Roman" w:cs="Times New Roman"/>
          <w:sz w:val="24"/>
          <w:szCs w:val="24"/>
        </w:rPr>
        <w:t xml:space="preserve">asonable person might convict. </w:t>
      </w:r>
      <w:r w:rsidRPr="00E940A8">
        <w:rPr>
          <w:rFonts w:ascii="Times New Roman" w:hAnsi="Times New Roman" w:cs="Times New Roman"/>
          <w:sz w:val="24"/>
          <w:szCs w:val="24"/>
        </w:rPr>
        <w:t xml:space="preserve">See </w:t>
      </w:r>
      <w:r w:rsidRPr="00E940A8">
        <w:rPr>
          <w:rFonts w:ascii="Times New Roman" w:hAnsi="Times New Roman" w:cs="Times New Roman"/>
          <w:i/>
          <w:iCs/>
          <w:sz w:val="24"/>
          <w:szCs w:val="24"/>
        </w:rPr>
        <w:t>S v Khanyapa</w:t>
      </w:r>
      <w:r w:rsidR="00B46165">
        <w:rPr>
          <w:rFonts w:ascii="Times New Roman" w:hAnsi="Times New Roman" w:cs="Times New Roman"/>
          <w:i/>
          <w:iCs/>
          <w:sz w:val="24"/>
          <w:szCs w:val="24"/>
        </w:rPr>
        <w:t xml:space="preserve"> </w:t>
      </w:r>
      <w:r w:rsidRPr="00E940A8">
        <w:rPr>
          <w:rFonts w:ascii="Times New Roman" w:hAnsi="Times New Roman" w:cs="Times New Roman"/>
          <w:sz w:val="24"/>
          <w:szCs w:val="24"/>
        </w:rPr>
        <w:t xml:space="preserve">1979 (1) SA 804 (A) at 838F; </w:t>
      </w:r>
      <w:r w:rsidRPr="00E940A8">
        <w:rPr>
          <w:rFonts w:ascii="Times New Roman" w:hAnsi="Times New Roman" w:cs="Times New Roman"/>
          <w:i/>
          <w:iCs/>
          <w:sz w:val="24"/>
          <w:szCs w:val="24"/>
        </w:rPr>
        <w:t xml:space="preserve">S v Heller </w:t>
      </w:r>
      <w:r w:rsidRPr="00E940A8">
        <w:rPr>
          <w:rFonts w:ascii="Times New Roman" w:hAnsi="Times New Roman" w:cs="Times New Roman"/>
          <w:sz w:val="24"/>
          <w:szCs w:val="24"/>
        </w:rPr>
        <w:t>(2) 1964 (1) SA 524 (W) at 541G).</w:t>
      </w:r>
    </w:p>
    <w:p w:rsidR="00082B07" w:rsidRDefault="00082B07" w:rsidP="00B27290">
      <w:pPr>
        <w:autoSpaceDE w:val="0"/>
        <w:autoSpaceDN w:val="0"/>
        <w:adjustRightInd w:val="0"/>
        <w:spacing w:after="0" w:line="240" w:lineRule="auto"/>
        <w:jc w:val="both"/>
        <w:rPr>
          <w:rFonts w:ascii="BookmanOldStyle" w:hAnsi="BookmanOldStyle" w:cs="BookmanOldStyle"/>
          <w:sz w:val="24"/>
          <w:szCs w:val="24"/>
        </w:rPr>
      </w:pPr>
    </w:p>
    <w:p w:rsidR="00E940A8" w:rsidRPr="0045124D" w:rsidRDefault="00082B07" w:rsidP="00E940A8">
      <w:pPr>
        <w:autoSpaceDE w:val="0"/>
        <w:autoSpaceDN w:val="0"/>
        <w:adjustRightInd w:val="0"/>
        <w:spacing w:after="0" w:line="360" w:lineRule="auto"/>
        <w:ind w:firstLine="720"/>
        <w:jc w:val="both"/>
        <w:rPr>
          <w:rFonts w:ascii="Times New Roman" w:hAnsi="Times New Roman" w:cs="Times New Roman"/>
          <w:sz w:val="24"/>
          <w:szCs w:val="24"/>
        </w:rPr>
      </w:pPr>
      <w:r w:rsidRPr="0045124D">
        <w:rPr>
          <w:rFonts w:ascii="Times New Roman" w:hAnsi="Times New Roman" w:cs="Times New Roman"/>
          <w:sz w:val="24"/>
          <w:szCs w:val="24"/>
        </w:rPr>
        <w:t>The interpretation of section 198(3)</w:t>
      </w:r>
      <w:r w:rsidR="00316F6C">
        <w:rPr>
          <w:rFonts w:ascii="Times New Roman" w:hAnsi="Times New Roman" w:cs="Times New Roman"/>
          <w:sz w:val="24"/>
          <w:szCs w:val="24"/>
        </w:rPr>
        <w:t xml:space="preserve"> of the Criminal Procedure and Evidence Act</w:t>
      </w:r>
      <w:r w:rsidRPr="0045124D">
        <w:rPr>
          <w:rFonts w:ascii="Times New Roman" w:hAnsi="Times New Roman" w:cs="Times New Roman"/>
          <w:sz w:val="24"/>
          <w:szCs w:val="24"/>
        </w:rPr>
        <w:t xml:space="preserve"> has been conside</w:t>
      </w:r>
      <w:r w:rsidR="000D6B7C">
        <w:rPr>
          <w:rFonts w:ascii="Times New Roman" w:hAnsi="Times New Roman" w:cs="Times New Roman"/>
          <w:sz w:val="24"/>
          <w:szCs w:val="24"/>
        </w:rPr>
        <w:t>red in a long line of cases</w:t>
      </w:r>
      <w:r w:rsidR="003F0D5A">
        <w:rPr>
          <w:rFonts w:ascii="Times New Roman" w:hAnsi="Times New Roman" w:cs="Times New Roman"/>
          <w:sz w:val="24"/>
          <w:szCs w:val="24"/>
        </w:rPr>
        <w:t xml:space="preserve"> </w:t>
      </w:r>
      <w:r w:rsidR="00316F6C">
        <w:rPr>
          <w:rFonts w:ascii="Times New Roman" w:hAnsi="Times New Roman" w:cs="Times New Roman"/>
          <w:sz w:val="24"/>
          <w:szCs w:val="24"/>
        </w:rPr>
        <w:t>in this country</w:t>
      </w:r>
      <w:r w:rsidR="000D6B7C">
        <w:rPr>
          <w:rFonts w:ascii="Times New Roman" w:hAnsi="Times New Roman" w:cs="Times New Roman"/>
          <w:sz w:val="24"/>
          <w:szCs w:val="24"/>
        </w:rPr>
        <w:t xml:space="preserve"> and in South Africa</w:t>
      </w:r>
      <w:r w:rsidR="00316F6C">
        <w:rPr>
          <w:rFonts w:ascii="Times New Roman" w:hAnsi="Times New Roman" w:cs="Times New Roman"/>
          <w:sz w:val="24"/>
          <w:szCs w:val="24"/>
        </w:rPr>
        <w:t>.</w:t>
      </w:r>
      <w:r w:rsidR="00E940A8" w:rsidRPr="0045124D">
        <w:rPr>
          <w:rFonts w:ascii="Times New Roman" w:hAnsi="Times New Roman" w:cs="Times New Roman"/>
          <w:sz w:val="24"/>
          <w:szCs w:val="24"/>
        </w:rPr>
        <w:t xml:space="preserve"> The legal position is that</w:t>
      </w:r>
      <w:r w:rsidR="00B27290" w:rsidRPr="0045124D">
        <w:rPr>
          <w:rFonts w:ascii="Times New Roman" w:hAnsi="Times New Roman" w:cs="Times New Roman"/>
          <w:sz w:val="24"/>
          <w:szCs w:val="24"/>
        </w:rPr>
        <w:t xml:space="preserve"> where the court considers that there is no evidence that the accused committed the offence it</w:t>
      </w:r>
      <w:r w:rsidR="00316F6C">
        <w:rPr>
          <w:rFonts w:ascii="Times New Roman" w:hAnsi="Times New Roman" w:cs="Times New Roman"/>
          <w:sz w:val="24"/>
          <w:szCs w:val="24"/>
        </w:rPr>
        <w:t xml:space="preserve"> has no discretion but to discharge</w:t>
      </w:r>
      <w:r w:rsidR="00B27290" w:rsidRPr="0045124D">
        <w:rPr>
          <w:rFonts w:ascii="Times New Roman" w:hAnsi="Times New Roman" w:cs="Times New Roman"/>
          <w:sz w:val="24"/>
          <w:szCs w:val="24"/>
        </w:rPr>
        <w:t xml:space="preserve"> him. </w:t>
      </w:r>
      <w:r w:rsidR="00E940A8" w:rsidRPr="0045124D">
        <w:rPr>
          <w:rFonts w:ascii="Times New Roman" w:hAnsi="Times New Roman" w:cs="Times New Roman"/>
          <w:sz w:val="24"/>
          <w:szCs w:val="24"/>
        </w:rPr>
        <w:t xml:space="preserve">See </w:t>
      </w:r>
      <w:r w:rsidR="00E940A8" w:rsidRPr="0045124D">
        <w:rPr>
          <w:rFonts w:ascii="Times New Roman" w:hAnsi="Times New Roman" w:cs="Times New Roman"/>
          <w:i/>
          <w:iCs/>
          <w:sz w:val="24"/>
          <w:szCs w:val="24"/>
        </w:rPr>
        <w:t>S v Kachipare</w:t>
      </w:r>
      <w:r w:rsidR="0045124D" w:rsidRPr="0045124D">
        <w:rPr>
          <w:rFonts w:ascii="Times New Roman" w:hAnsi="Times New Roman" w:cs="Times New Roman"/>
          <w:sz w:val="24"/>
          <w:szCs w:val="24"/>
        </w:rPr>
        <w:t>1998 (2) Z</w:t>
      </w:r>
      <w:r w:rsidR="000D6B7C">
        <w:rPr>
          <w:rFonts w:ascii="Times New Roman" w:hAnsi="Times New Roman" w:cs="Times New Roman"/>
          <w:sz w:val="24"/>
          <w:szCs w:val="24"/>
        </w:rPr>
        <w:t>LR 271(S), 275;</w:t>
      </w:r>
      <w:r w:rsidR="000D6B7C" w:rsidRPr="0045124D">
        <w:rPr>
          <w:rFonts w:ascii="Times New Roman" w:hAnsi="Times New Roman" w:cs="Times New Roman"/>
          <w:sz w:val="24"/>
          <w:szCs w:val="24"/>
        </w:rPr>
        <w:t xml:space="preserve"> S</w:t>
      </w:r>
      <w:r w:rsidR="000D6B7C" w:rsidRPr="0045124D">
        <w:rPr>
          <w:rFonts w:ascii="Times New Roman" w:hAnsi="Times New Roman" w:cs="Times New Roman"/>
          <w:i/>
          <w:sz w:val="24"/>
          <w:szCs w:val="24"/>
        </w:rPr>
        <w:t xml:space="preserve"> v Tsvangirai</w:t>
      </w:r>
      <w:r w:rsidR="000D6B7C">
        <w:rPr>
          <w:rFonts w:ascii="Times New Roman" w:hAnsi="Times New Roman" w:cs="Times New Roman"/>
          <w:sz w:val="24"/>
          <w:szCs w:val="24"/>
        </w:rPr>
        <w:t xml:space="preserve"> 2003 (2) ZLR 88.</w:t>
      </w:r>
    </w:p>
    <w:p w:rsidR="00E940A8" w:rsidRDefault="00E940A8" w:rsidP="00E940A8">
      <w:pPr>
        <w:autoSpaceDE w:val="0"/>
        <w:autoSpaceDN w:val="0"/>
        <w:adjustRightInd w:val="0"/>
        <w:spacing w:after="0" w:line="360" w:lineRule="auto"/>
        <w:ind w:firstLine="720"/>
        <w:jc w:val="both"/>
        <w:rPr>
          <w:rFonts w:ascii="Times New Roman" w:hAnsi="Times New Roman" w:cs="Times New Roman"/>
          <w:sz w:val="24"/>
          <w:szCs w:val="24"/>
        </w:rPr>
      </w:pPr>
    </w:p>
    <w:p w:rsidR="00B27290" w:rsidRPr="009D3B31" w:rsidRDefault="00E940A8" w:rsidP="00E940A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w:t>
      </w:r>
      <w:r w:rsidR="00B27290" w:rsidRPr="009D3B31">
        <w:rPr>
          <w:rFonts w:ascii="Times New Roman" w:hAnsi="Times New Roman" w:cs="Times New Roman"/>
          <w:sz w:val="24"/>
          <w:szCs w:val="24"/>
        </w:rPr>
        <w:t xml:space="preserve">he </w:t>
      </w:r>
      <w:r w:rsidR="00706A2B">
        <w:rPr>
          <w:rFonts w:ascii="Times New Roman" w:hAnsi="Times New Roman" w:cs="Times New Roman"/>
          <w:sz w:val="24"/>
          <w:szCs w:val="24"/>
        </w:rPr>
        <w:t xml:space="preserve">position in this jurisdiction is that a </w:t>
      </w:r>
      <w:r w:rsidR="00B27290" w:rsidRPr="009D3B31">
        <w:rPr>
          <w:rFonts w:ascii="Times New Roman" w:hAnsi="Times New Roman" w:cs="Times New Roman"/>
          <w:sz w:val="24"/>
          <w:szCs w:val="24"/>
        </w:rPr>
        <w:t xml:space="preserve">court </w:t>
      </w:r>
      <w:r w:rsidR="00B27290" w:rsidRPr="009D3B31">
        <w:rPr>
          <w:rFonts w:ascii="Times New Roman" w:hAnsi="Times New Roman" w:cs="Times New Roman"/>
          <w:i/>
          <w:iCs/>
          <w:sz w:val="24"/>
          <w:szCs w:val="24"/>
        </w:rPr>
        <w:t xml:space="preserve">shall </w:t>
      </w:r>
      <w:r w:rsidR="00B27290" w:rsidRPr="009D3B31">
        <w:rPr>
          <w:rFonts w:ascii="Times New Roman" w:hAnsi="Times New Roman" w:cs="Times New Roman"/>
          <w:sz w:val="24"/>
          <w:szCs w:val="24"/>
        </w:rPr>
        <w:t>discharge the accused at the close of the case for the prosecution where:-</w:t>
      </w:r>
    </w:p>
    <w:p w:rsidR="00B27290" w:rsidRPr="009D3B31" w:rsidRDefault="00B27290" w:rsidP="009D3B31">
      <w:pPr>
        <w:autoSpaceDE w:val="0"/>
        <w:autoSpaceDN w:val="0"/>
        <w:adjustRightInd w:val="0"/>
        <w:spacing w:after="0" w:line="360" w:lineRule="auto"/>
        <w:jc w:val="both"/>
        <w:rPr>
          <w:rFonts w:ascii="Times New Roman" w:hAnsi="Times New Roman" w:cs="Times New Roman"/>
          <w:sz w:val="24"/>
          <w:szCs w:val="24"/>
        </w:rPr>
      </w:pPr>
    </w:p>
    <w:p w:rsidR="00B27290" w:rsidRDefault="00B27290" w:rsidP="009D3B31">
      <w:pPr>
        <w:autoSpaceDE w:val="0"/>
        <w:autoSpaceDN w:val="0"/>
        <w:adjustRightInd w:val="0"/>
        <w:spacing w:after="0" w:line="360" w:lineRule="auto"/>
        <w:ind w:left="720"/>
        <w:jc w:val="both"/>
        <w:rPr>
          <w:rFonts w:ascii="BookmanOldStyle" w:hAnsi="BookmanOldStyle" w:cs="BookmanOldStyle"/>
          <w:sz w:val="24"/>
          <w:szCs w:val="24"/>
        </w:rPr>
      </w:pPr>
      <w:r>
        <w:rPr>
          <w:rFonts w:ascii="BookmanOldStyle" w:hAnsi="BookmanOldStyle" w:cs="BookmanOldStyle"/>
          <w:sz w:val="24"/>
          <w:szCs w:val="24"/>
        </w:rPr>
        <w:t xml:space="preserve">(a) there is no evidence to prove an essential element of the offence – </w:t>
      </w:r>
      <w:r>
        <w:rPr>
          <w:rFonts w:ascii="BookmanOldStyle-Italic" w:hAnsi="BookmanOldStyle-Italic" w:cs="BookmanOldStyle-Italic"/>
          <w:i/>
          <w:iCs/>
          <w:sz w:val="24"/>
          <w:szCs w:val="24"/>
        </w:rPr>
        <w:t>Attorney-General v Bvuma</w:t>
      </w:r>
      <w:r w:rsidR="00B46165">
        <w:rPr>
          <w:rFonts w:ascii="BookmanOldStyle-Italic" w:hAnsi="BookmanOldStyle-Italic" w:cs="BookmanOldStyle-Italic"/>
          <w:i/>
          <w:iCs/>
          <w:sz w:val="24"/>
          <w:szCs w:val="24"/>
        </w:rPr>
        <w:t xml:space="preserve"> </w:t>
      </w:r>
      <w:r>
        <w:rPr>
          <w:rFonts w:ascii="BookmanOldStyle-Italic" w:hAnsi="BookmanOldStyle-Italic" w:cs="BookmanOldStyle-Italic"/>
          <w:i/>
          <w:iCs/>
          <w:sz w:val="24"/>
          <w:szCs w:val="24"/>
        </w:rPr>
        <w:t>&amp; Another</w:t>
      </w:r>
      <w:r>
        <w:rPr>
          <w:rFonts w:ascii="BookmanOldStyle" w:hAnsi="BookmanOldStyle" w:cs="BookmanOldStyle"/>
          <w:sz w:val="24"/>
          <w:szCs w:val="24"/>
        </w:rPr>
        <w:t xml:space="preserve"> 1987 (2) ZLR 96 (S), 102;</w:t>
      </w:r>
    </w:p>
    <w:p w:rsidR="00B27290" w:rsidRDefault="00B27290" w:rsidP="009D3B31">
      <w:pPr>
        <w:autoSpaceDE w:val="0"/>
        <w:autoSpaceDN w:val="0"/>
        <w:adjustRightInd w:val="0"/>
        <w:spacing w:after="0" w:line="360" w:lineRule="auto"/>
        <w:ind w:left="720"/>
        <w:jc w:val="both"/>
        <w:rPr>
          <w:rFonts w:ascii="BookmanOldStyle" w:hAnsi="BookmanOldStyle" w:cs="BookmanOldStyle"/>
          <w:sz w:val="24"/>
          <w:szCs w:val="24"/>
        </w:rPr>
      </w:pPr>
      <w:r>
        <w:rPr>
          <w:rFonts w:ascii="BookmanOldStyle" w:hAnsi="BookmanOldStyle" w:cs="BookmanOldStyle"/>
          <w:sz w:val="24"/>
          <w:szCs w:val="24"/>
        </w:rPr>
        <w:t xml:space="preserve">(b) there is no evidence on which a reasonable court, acting carefully, might properly convict – </w:t>
      </w:r>
      <w:r>
        <w:rPr>
          <w:rFonts w:ascii="BookmanOldStyle-Italic" w:hAnsi="BookmanOldStyle-Italic" w:cs="BookmanOldStyle-Italic"/>
          <w:i/>
          <w:iCs/>
          <w:sz w:val="24"/>
          <w:szCs w:val="24"/>
        </w:rPr>
        <w:t>Attorney-General v Mzizi</w:t>
      </w:r>
      <w:r>
        <w:rPr>
          <w:rFonts w:ascii="BookmanOldStyle" w:hAnsi="BookmanOldStyle" w:cs="BookmanOldStyle"/>
          <w:sz w:val="24"/>
          <w:szCs w:val="24"/>
        </w:rPr>
        <w:t>1991 (2) ZLR 321, 323 B; and</w:t>
      </w:r>
    </w:p>
    <w:p w:rsidR="00B27290" w:rsidRDefault="00B27290" w:rsidP="009D3B31">
      <w:pPr>
        <w:autoSpaceDE w:val="0"/>
        <w:autoSpaceDN w:val="0"/>
        <w:adjustRightInd w:val="0"/>
        <w:spacing w:after="0" w:line="360" w:lineRule="auto"/>
        <w:ind w:left="720"/>
        <w:jc w:val="both"/>
        <w:rPr>
          <w:rFonts w:ascii="BookmanOldStyle" w:hAnsi="BookmanOldStyle" w:cs="BookmanOldStyle"/>
          <w:sz w:val="24"/>
          <w:szCs w:val="24"/>
        </w:rPr>
      </w:pPr>
      <w:r>
        <w:rPr>
          <w:rFonts w:ascii="BookmanOldStyle" w:hAnsi="BookmanOldStyle" w:cs="BookmanOldStyle"/>
          <w:sz w:val="24"/>
          <w:szCs w:val="24"/>
        </w:rPr>
        <w:t xml:space="preserve">(c) the evidence adduced on behalf of the State is so manifestly unreliable that no reasonable court could safely act on it – </w:t>
      </w:r>
      <w:r>
        <w:rPr>
          <w:rFonts w:ascii="BookmanOldStyle-Italic" w:hAnsi="BookmanOldStyle-Italic" w:cs="BookmanOldStyle-Italic"/>
          <w:i/>
          <w:iCs/>
          <w:sz w:val="24"/>
          <w:szCs w:val="24"/>
        </w:rPr>
        <w:t>Attorney-General v Tarwireyi</w:t>
      </w:r>
      <w:r>
        <w:rPr>
          <w:rFonts w:ascii="BookmanOldStyle" w:hAnsi="BookmanOldStyle" w:cs="BookmanOldStyle"/>
          <w:sz w:val="24"/>
          <w:szCs w:val="24"/>
        </w:rPr>
        <w:t>1997 (1) ZLR 575(S), 576.</w:t>
      </w:r>
    </w:p>
    <w:p w:rsidR="00B27290" w:rsidRDefault="00B27290" w:rsidP="009D3B31">
      <w:pPr>
        <w:autoSpaceDE w:val="0"/>
        <w:autoSpaceDN w:val="0"/>
        <w:adjustRightInd w:val="0"/>
        <w:spacing w:after="0" w:line="360" w:lineRule="auto"/>
        <w:jc w:val="both"/>
        <w:rPr>
          <w:rFonts w:ascii="BookmanOldStyle" w:hAnsi="BookmanOldStyle" w:cs="BookmanOldStyle"/>
          <w:sz w:val="24"/>
          <w:szCs w:val="24"/>
        </w:rPr>
      </w:pPr>
    </w:p>
    <w:p w:rsidR="00B27290" w:rsidRPr="00706A2B" w:rsidRDefault="00706A2B" w:rsidP="00706A2B">
      <w:pPr>
        <w:autoSpaceDE w:val="0"/>
        <w:autoSpaceDN w:val="0"/>
        <w:adjustRightInd w:val="0"/>
        <w:spacing w:after="0" w:line="360" w:lineRule="auto"/>
        <w:ind w:firstLine="720"/>
        <w:jc w:val="both"/>
        <w:rPr>
          <w:rFonts w:ascii="Times New Roman" w:hAnsi="Times New Roman" w:cs="Times New Roman"/>
          <w:sz w:val="24"/>
          <w:szCs w:val="24"/>
        </w:rPr>
      </w:pPr>
      <w:r w:rsidRPr="00706A2B">
        <w:rPr>
          <w:rFonts w:ascii="Times New Roman" w:hAnsi="Times New Roman" w:cs="Times New Roman"/>
          <w:sz w:val="24"/>
          <w:szCs w:val="24"/>
        </w:rPr>
        <w:t xml:space="preserve">The question </w:t>
      </w:r>
      <w:r w:rsidR="00316F6C">
        <w:rPr>
          <w:rFonts w:ascii="Times New Roman" w:hAnsi="Times New Roman" w:cs="Times New Roman"/>
          <w:sz w:val="24"/>
          <w:szCs w:val="24"/>
        </w:rPr>
        <w:t xml:space="preserve">is </w:t>
      </w:r>
      <w:r w:rsidRPr="00706A2B">
        <w:rPr>
          <w:rFonts w:ascii="Times New Roman" w:hAnsi="Times New Roman" w:cs="Times New Roman"/>
          <w:sz w:val="24"/>
          <w:szCs w:val="24"/>
        </w:rPr>
        <w:t xml:space="preserve">whether </w:t>
      </w:r>
      <w:r w:rsidR="00316F6C">
        <w:rPr>
          <w:rFonts w:ascii="Times New Roman" w:hAnsi="Times New Roman" w:cs="Times New Roman"/>
          <w:sz w:val="24"/>
          <w:szCs w:val="24"/>
        </w:rPr>
        <w:t xml:space="preserve">the </w:t>
      </w:r>
      <w:r w:rsidRPr="00706A2B">
        <w:rPr>
          <w:rFonts w:ascii="Times New Roman" w:hAnsi="Times New Roman" w:cs="Times New Roman"/>
          <w:sz w:val="24"/>
          <w:szCs w:val="24"/>
        </w:rPr>
        <w:t xml:space="preserve">credibility of the State witnesses has any role to play when a discharge is sought under the section. </w:t>
      </w:r>
      <w:r w:rsidR="00F574B9" w:rsidRPr="00706A2B">
        <w:rPr>
          <w:rFonts w:ascii="Times New Roman" w:hAnsi="Times New Roman" w:cs="Times New Roman"/>
          <w:sz w:val="24"/>
          <w:szCs w:val="24"/>
        </w:rPr>
        <w:t>Whilst it is s</w:t>
      </w:r>
      <w:r w:rsidR="00803C02" w:rsidRPr="00706A2B">
        <w:rPr>
          <w:rFonts w:ascii="Times New Roman" w:hAnsi="Times New Roman" w:cs="Times New Roman"/>
          <w:sz w:val="24"/>
          <w:szCs w:val="24"/>
        </w:rPr>
        <w:t>ettled that a court shall discharge</w:t>
      </w:r>
      <w:r w:rsidR="00F574B9" w:rsidRPr="00706A2B">
        <w:rPr>
          <w:rFonts w:ascii="Times New Roman" w:hAnsi="Times New Roman" w:cs="Times New Roman"/>
          <w:sz w:val="24"/>
          <w:szCs w:val="24"/>
        </w:rPr>
        <w:t xml:space="preserve"> at the end of the state case where the evid</w:t>
      </w:r>
      <w:r w:rsidR="00E940A8" w:rsidRPr="00706A2B">
        <w:rPr>
          <w:rFonts w:ascii="Times New Roman" w:hAnsi="Times New Roman" w:cs="Times New Roman"/>
          <w:sz w:val="24"/>
          <w:szCs w:val="24"/>
        </w:rPr>
        <w:t xml:space="preserve">ence of the prosecution witness </w:t>
      </w:r>
      <w:r w:rsidR="00F574B9" w:rsidRPr="00706A2B">
        <w:rPr>
          <w:rFonts w:ascii="Times New Roman" w:hAnsi="Times New Roman" w:cs="Times New Roman"/>
          <w:sz w:val="24"/>
          <w:szCs w:val="24"/>
        </w:rPr>
        <w:t>has been so discredited as a result of cross-examination or is so manifestly unreliable that no reasonable tribunal could safely conv</w:t>
      </w:r>
      <w:r w:rsidR="00316F6C">
        <w:rPr>
          <w:rFonts w:ascii="Times New Roman" w:hAnsi="Times New Roman" w:cs="Times New Roman"/>
          <w:sz w:val="24"/>
          <w:szCs w:val="24"/>
        </w:rPr>
        <w:t>ict on it,</w:t>
      </w:r>
      <w:r w:rsidR="00F574B9" w:rsidRPr="00706A2B">
        <w:rPr>
          <w:rFonts w:ascii="Times New Roman" w:hAnsi="Times New Roman" w:cs="Times New Roman"/>
          <w:sz w:val="24"/>
          <w:szCs w:val="24"/>
        </w:rPr>
        <w:t xml:space="preserve"> it is clear that such cases </w:t>
      </w:r>
      <w:r w:rsidR="00E940A8" w:rsidRPr="00706A2B">
        <w:rPr>
          <w:rFonts w:ascii="Times New Roman" w:hAnsi="Times New Roman" w:cs="Times New Roman"/>
          <w:sz w:val="24"/>
          <w:szCs w:val="24"/>
        </w:rPr>
        <w:t xml:space="preserve">will be rare. </w:t>
      </w:r>
      <w:r w:rsidR="003A51B5" w:rsidRPr="00706A2B">
        <w:rPr>
          <w:rFonts w:ascii="Times New Roman" w:hAnsi="Times New Roman" w:cs="Times New Roman"/>
          <w:sz w:val="24"/>
          <w:szCs w:val="24"/>
        </w:rPr>
        <w:t xml:space="preserve">See </w:t>
      </w:r>
      <w:r w:rsidR="003A51B5" w:rsidRPr="00706A2B">
        <w:rPr>
          <w:rFonts w:ascii="Times New Roman" w:hAnsi="Times New Roman" w:cs="Times New Roman"/>
          <w:i/>
          <w:iCs/>
          <w:sz w:val="24"/>
          <w:szCs w:val="24"/>
        </w:rPr>
        <w:t>Attorney-General v Bvuma</w:t>
      </w:r>
      <w:r w:rsidR="00B46165">
        <w:rPr>
          <w:rFonts w:ascii="Times New Roman" w:hAnsi="Times New Roman" w:cs="Times New Roman"/>
          <w:i/>
          <w:iCs/>
          <w:sz w:val="24"/>
          <w:szCs w:val="24"/>
        </w:rPr>
        <w:t xml:space="preserve"> </w:t>
      </w:r>
      <w:r w:rsidR="003A51B5" w:rsidRPr="00706A2B">
        <w:rPr>
          <w:rFonts w:ascii="Times New Roman" w:hAnsi="Times New Roman" w:cs="Times New Roman"/>
          <w:i/>
          <w:iCs/>
          <w:sz w:val="24"/>
          <w:szCs w:val="24"/>
        </w:rPr>
        <w:t>&amp; Another</w:t>
      </w:r>
      <w:r w:rsidR="003A51B5" w:rsidRPr="00706A2B">
        <w:rPr>
          <w:rFonts w:ascii="Times New Roman" w:hAnsi="Times New Roman" w:cs="Times New Roman"/>
          <w:sz w:val="24"/>
          <w:szCs w:val="24"/>
        </w:rPr>
        <w:t>, (</w:t>
      </w:r>
      <w:r w:rsidR="003A51B5" w:rsidRPr="00706A2B">
        <w:rPr>
          <w:rFonts w:ascii="Times New Roman" w:hAnsi="Times New Roman" w:cs="Times New Roman"/>
          <w:i/>
          <w:iCs/>
          <w:sz w:val="24"/>
          <w:szCs w:val="24"/>
        </w:rPr>
        <w:t xml:space="preserve">supra) </w:t>
      </w:r>
      <w:r w:rsidR="003A51B5" w:rsidRPr="00706A2B">
        <w:rPr>
          <w:rFonts w:ascii="Times New Roman" w:hAnsi="Times New Roman" w:cs="Times New Roman"/>
          <w:sz w:val="24"/>
          <w:szCs w:val="24"/>
        </w:rPr>
        <w:t>at 102,103)</w:t>
      </w:r>
      <w:r w:rsidR="003A51B5">
        <w:rPr>
          <w:rFonts w:ascii="Times New Roman" w:hAnsi="Times New Roman" w:cs="Times New Roman"/>
          <w:sz w:val="24"/>
          <w:szCs w:val="24"/>
        </w:rPr>
        <w:t xml:space="preserve">. </w:t>
      </w:r>
      <w:r w:rsidR="00E940A8" w:rsidRPr="00706A2B">
        <w:rPr>
          <w:rFonts w:ascii="Times New Roman" w:hAnsi="Times New Roman" w:cs="Times New Roman"/>
          <w:sz w:val="24"/>
          <w:szCs w:val="24"/>
        </w:rPr>
        <w:t xml:space="preserve">This would apply </w:t>
      </w:r>
      <w:r w:rsidR="00F574B9" w:rsidRPr="00706A2B">
        <w:rPr>
          <w:rFonts w:ascii="Times New Roman" w:hAnsi="Times New Roman" w:cs="Times New Roman"/>
          <w:sz w:val="24"/>
          <w:szCs w:val="24"/>
        </w:rPr>
        <w:t>only in the most exceptional case where the credibility of a witness is so utterly destroyed that no part of his material evidence can possibly</w:t>
      </w:r>
      <w:r w:rsidR="00B02389">
        <w:rPr>
          <w:rFonts w:ascii="Times New Roman" w:hAnsi="Times New Roman" w:cs="Times New Roman"/>
          <w:sz w:val="24"/>
          <w:szCs w:val="24"/>
        </w:rPr>
        <w:t xml:space="preserve"> be believed.  See </w:t>
      </w:r>
      <w:r w:rsidR="00F574B9" w:rsidRPr="00706A2B">
        <w:rPr>
          <w:rFonts w:ascii="Times New Roman" w:hAnsi="Times New Roman" w:cs="Times New Roman"/>
          <w:i/>
          <w:iCs/>
          <w:sz w:val="24"/>
          <w:szCs w:val="24"/>
        </w:rPr>
        <w:t>S v Mpetwa</w:t>
      </w:r>
      <w:r w:rsidR="00B46165">
        <w:rPr>
          <w:rFonts w:ascii="Times New Roman" w:hAnsi="Times New Roman" w:cs="Times New Roman"/>
          <w:i/>
          <w:iCs/>
          <w:sz w:val="24"/>
          <w:szCs w:val="24"/>
        </w:rPr>
        <w:t xml:space="preserve"> </w:t>
      </w:r>
      <w:r w:rsidR="00F574B9" w:rsidRPr="00706A2B">
        <w:rPr>
          <w:rFonts w:ascii="Times New Roman" w:hAnsi="Times New Roman" w:cs="Times New Roman"/>
          <w:i/>
          <w:iCs/>
          <w:sz w:val="24"/>
          <w:szCs w:val="24"/>
        </w:rPr>
        <w:t>&amp; O</w:t>
      </w:r>
      <w:r w:rsidR="00F574B9" w:rsidRPr="00706A2B">
        <w:rPr>
          <w:rFonts w:ascii="Times New Roman" w:hAnsi="Times New Roman" w:cs="Times New Roman"/>
          <w:sz w:val="24"/>
          <w:szCs w:val="24"/>
        </w:rPr>
        <w:t xml:space="preserve">thers 1983 (4) S.A. </w:t>
      </w:r>
      <w:r>
        <w:rPr>
          <w:rFonts w:ascii="Times New Roman" w:hAnsi="Times New Roman" w:cs="Times New Roman"/>
          <w:sz w:val="24"/>
          <w:szCs w:val="24"/>
        </w:rPr>
        <w:t xml:space="preserve">262, 265; </w:t>
      </w:r>
      <w:r w:rsidR="00F574B9" w:rsidRPr="00706A2B">
        <w:rPr>
          <w:rFonts w:ascii="Times New Roman" w:hAnsi="Times New Roman" w:cs="Times New Roman"/>
          <w:i/>
          <w:iCs/>
          <w:sz w:val="24"/>
          <w:szCs w:val="24"/>
        </w:rPr>
        <w:t>Attorney</w:t>
      </w:r>
      <w:r w:rsidR="00F574B9" w:rsidRPr="00706A2B">
        <w:rPr>
          <w:rFonts w:ascii="Times New Roman" w:hAnsi="Times New Roman" w:cs="Times New Roman"/>
          <w:sz w:val="24"/>
          <w:szCs w:val="24"/>
        </w:rPr>
        <w:t>-</w:t>
      </w:r>
      <w:r w:rsidR="00F574B9" w:rsidRPr="00706A2B">
        <w:rPr>
          <w:rFonts w:ascii="Times New Roman" w:hAnsi="Times New Roman" w:cs="Times New Roman"/>
          <w:i/>
          <w:iCs/>
          <w:sz w:val="24"/>
          <w:szCs w:val="24"/>
        </w:rPr>
        <w:t xml:space="preserve">General v Tarwirei (supra) </w:t>
      </w:r>
      <w:r w:rsidR="00F574B9" w:rsidRPr="00706A2B">
        <w:rPr>
          <w:rFonts w:ascii="Times New Roman" w:hAnsi="Times New Roman" w:cs="Times New Roman"/>
          <w:sz w:val="24"/>
          <w:szCs w:val="24"/>
        </w:rPr>
        <w:t>at 576, 577.</w:t>
      </w:r>
    </w:p>
    <w:p w:rsidR="008344B0" w:rsidRPr="00706A2B" w:rsidRDefault="008344B0" w:rsidP="00706A2B">
      <w:pPr>
        <w:autoSpaceDE w:val="0"/>
        <w:autoSpaceDN w:val="0"/>
        <w:adjustRightInd w:val="0"/>
        <w:spacing w:after="0" w:line="360" w:lineRule="auto"/>
        <w:rPr>
          <w:rFonts w:ascii="Times New Roman" w:hAnsi="Times New Roman" w:cs="Times New Roman"/>
          <w:sz w:val="24"/>
          <w:szCs w:val="24"/>
        </w:rPr>
      </w:pPr>
    </w:p>
    <w:p w:rsidR="008344B0" w:rsidRPr="00706A2B" w:rsidRDefault="003A51B5" w:rsidP="00706A2B">
      <w:pPr>
        <w:pStyle w:val="Default"/>
        <w:spacing w:line="360" w:lineRule="auto"/>
        <w:ind w:firstLine="720"/>
        <w:jc w:val="both"/>
        <w:rPr>
          <w:rFonts w:ascii="Times New Roman" w:hAnsi="Times New Roman" w:cs="Times New Roman"/>
        </w:rPr>
      </w:pPr>
      <w:r>
        <w:rPr>
          <w:rFonts w:ascii="Times New Roman" w:hAnsi="Times New Roman" w:cs="Times New Roman"/>
        </w:rPr>
        <w:t>In</w:t>
      </w:r>
      <w:r w:rsidR="00706A2B" w:rsidRPr="00706A2B">
        <w:rPr>
          <w:rFonts w:ascii="Times New Roman" w:hAnsi="Times New Roman" w:cs="Times New Roman"/>
        </w:rPr>
        <w:t xml:space="preserve"> generally </w:t>
      </w:r>
      <w:r w:rsidR="003B5C30">
        <w:rPr>
          <w:rFonts w:ascii="Times New Roman" w:hAnsi="Times New Roman" w:cs="Times New Roman"/>
        </w:rPr>
        <w:t xml:space="preserve">the position </w:t>
      </w:r>
      <w:r w:rsidR="00706A2B" w:rsidRPr="00706A2B">
        <w:rPr>
          <w:rFonts w:ascii="Times New Roman" w:hAnsi="Times New Roman" w:cs="Times New Roman"/>
        </w:rPr>
        <w:t>appears to be that, although credibility is a factor that can be considered at this stage, it plays a very limited role. I</w:t>
      </w:r>
      <w:r w:rsidR="003B5C30">
        <w:rPr>
          <w:rFonts w:ascii="Times New Roman" w:hAnsi="Times New Roman" w:cs="Times New Roman"/>
        </w:rPr>
        <w:t>f there is evidence supporting the</w:t>
      </w:r>
      <w:r w:rsidR="00706A2B" w:rsidRPr="00706A2B">
        <w:rPr>
          <w:rFonts w:ascii="Times New Roman" w:hAnsi="Times New Roman" w:cs="Times New Roman"/>
        </w:rPr>
        <w:t xml:space="preserve"> charge, an application for discharge can only be sustained if that evidence is of such a poor quality that it cannot, in the opinion of the trial court, be accepted by any reasonable </w:t>
      </w:r>
      <w:r w:rsidR="003B5C30">
        <w:rPr>
          <w:rFonts w:ascii="Times New Roman" w:hAnsi="Times New Roman" w:cs="Times New Roman"/>
        </w:rPr>
        <w:t>court.</w:t>
      </w:r>
      <w:r w:rsidR="00B46165">
        <w:rPr>
          <w:rFonts w:ascii="Times New Roman" w:hAnsi="Times New Roman" w:cs="Times New Roman"/>
        </w:rPr>
        <w:t xml:space="preserve"> </w:t>
      </w:r>
      <w:r w:rsidR="00706A2B" w:rsidRPr="00706A2B">
        <w:rPr>
          <w:rFonts w:ascii="Times New Roman" w:hAnsi="Times New Roman" w:cs="Times New Roman"/>
        </w:rPr>
        <w:t>See</w:t>
      </w:r>
      <w:r w:rsidR="00B46165">
        <w:rPr>
          <w:rFonts w:ascii="Times New Roman" w:hAnsi="Times New Roman" w:cs="Times New Roman"/>
        </w:rPr>
        <w:t xml:space="preserve"> </w:t>
      </w:r>
      <w:r w:rsidR="008344B0" w:rsidRPr="00706A2B">
        <w:rPr>
          <w:rFonts w:ascii="Times New Roman" w:hAnsi="Times New Roman" w:cs="Times New Roman"/>
          <w:i/>
          <w:iCs/>
        </w:rPr>
        <w:t>S v Teek</w:t>
      </w:r>
      <w:r w:rsidR="00B46165">
        <w:rPr>
          <w:rFonts w:ascii="Times New Roman" w:hAnsi="Times New Roman" w:cs="Times New Roman"/>
          <w:i/>
          <w:iCs/>
        </w:rPr>
        <w:t xml:space="preserve"> </w:t>
      </w:r>
      <w:r w:rsidR="008344B0" w:rsidRPr="00706A2B">
        <w:rPr>
          <w:rFonts w:ascii="Times New Roman" w:hAnsi="Times New Roman" w:cs="Times New Roman"/>
        </w:rPr>
        <w:t>2009 (1) N</w:t>
      </w:r>
      <w:r w:rsidR="00706A2B">
        <w:rPr>
          <w:rFonts w:ascii="Times New Roman" w:hAnsi="Times New Roman" w:cs="Times New Roman"/>
        </w:rPr>
        <w:t>R 127 (SC) at 131A-B;</w:t>
      </w:r>
      <w:r w:rsidR="00706A2B" w:rsidRPr="00706A2B">
        <w:rPr>
          <w:rFonts w:ascii="Times New Roman" w:hAnsi="Times New Roman" w:cs="Times New Roman"/>
          <w:i/>
          <w:iCs/>
        </w:rPr>
        <w:t xml:space="preserve">S v Mpetha and Others </w:t>
      </w:r>
      <w:r w:rsidR="00706A2B" w:rsidRPr="00706A2B">
        <w:rPr>
          <w:rFonts w:ascii="Times New Roman" w:hAnsi="Times New Roman" w:cs="Times New Roman"/>
        </w:rPr>
        <w:t xml:space="preserve">1983 (4) SA 262 (C) at 265; </w:t>
      </w:r>
      <w:r w:rsidR="00706A2B" w:rsidRPr="00706A2B">
        <w:rPr>
          <w:rFonts w:ascii="Times New Roman" w:hAnsi="Times New Roman" w:cs="Times New Roman"/>
          <w:i/>
          <w:iCs/>
        </w:rPr>
        <w:t>S v Nakale</w:t>
      </w:r>
      <w:r w:rsidR="00706A2B" w:rsidRPr="00706A2B">
        <w:rPr>
          <w:rFonts w:ascii="Times New Roman" w:hAnsi="Times New Roman" w:cs="Times New Roman"/>
        </w:rPr>
        <w:t>supra at 458).</w:t>
      </w:r>
    </w:p>
    <w:p w:rsidR="008344B0" w:rsidRDefault="008344B0" w:rsidP="00706A2B">
      <w:pPr>
        <w:pStyle w:val="Default"/>
        <w:spacing w:line="360" w:lineRule="auto"/>
        <w:jc w:val="both"/>
        <w:rPr>
          <w:rFonts w:ascii="Times New Roman" w:hAnsi="Times New Roman" w:cs="Times New Roman"/>
          <w:color w:val="auto"/>
        </w:rPr>
      </w:pPr>
    </w:p>
    <w:p w:rsidR="00706A2B" w:rsidRDefault="00706A2B" w:rsidP="00706A2B">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 xml:space="preserve">In </w:t>
      </w:r>
      <w:r w:rsidRPr="00706A2B">
        <w:rPr>
          <w:rFonts w:ascii="Times New Roman" w:hAnsi="Times New Roman" w:cs="Times New Roman"/>
          <w:i/>
          <w:color w:val="auto"/>
        </w:rPr>
        <w:t>casu</w:t>
      </w:r>
      <w:r w:rsidR="00BA15B6">
        <w:rPr>
          <w:rFonts w:ascii="Times New Roman" w:hAnsi="Times New Roman" w:cs="Times New Roman"/>
          <w:color w:val="auto"/>
        </w:rPr>
        <w:t>, t</w:t>
      </w:r>
      <w:r>
        <w:rPr>
          <w:rFonts w:ascii="Times New Roman" w:hAnsi="Times New Roman" w:cs="Times New Roman"/>
          <w:color w:val="auto"/>
        </w:rPr>
        <w:t xml:space="preserve">he accused is charged with the crime of murder </w:t>
      </w:r>
      <w:r w:rsidR="00821298">
        <w:rPr>
          <w:rFonts w:ascii="Times New Roman" w:hAnsi="Times New Roman" w:cs="Times New Roman"/>
          <w:color w:val="auto"/>
        </w:rPr>
        <w:t xml:space="preserve">as defined in section 47 of the Criminal Law [Codification and Reform] Act. It being alleged that on the 26 May 2019, at M.H. Bottle Store, Lonely Mine, Inyathi the accused unlawfully struck Hero Mkandla (deceased) with an axe on the head and once on the thigh, intending to kill him or realising that there is a real possibility that his conduct may cause the death but continued to engage in that conduct despite the risk or possibility. </w:t>
      </w:r>
    </w:p>
    <w:p w:rsidR="00821298" w:rsidRDefault="00821298" w:rsidP="00706A2B">
      <w:pPr>
        <w:pStyle w:val="Default"/>
        <w:spacing w:line="360" w:lineRule="auto"/>
        <w:ind w:firstLine="720"/>
        <w:jc w:val="both"/>
        <w:rPr>
          <w:rFonts w:ascii="Times New Roman" w:hAnsi="Times New Roman" w:cs="Times New Roman"/>
          <w:color w:val="auto"/>
        </w:rPr>
      </w:pPr>
    </w:p>
    <w:p w:rsidR="00A84094" w:rsidRDefault="00821298" w:rsidP="00706A2B">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lastRenderedPageBreak/>
        <w:t>There is evidence before court, i.e. the post mortem report which show</w:t>
      </w:r>
      <w:r w:rsidR="003B5C30">
        <w:rPr>
          <w:rFonts w:ascii="Times New Roman" w:hAnsi="Times New Roman" w:cs="Times New Roman"/>
          <w:color w:val="auto"/>
        </w:rPr>
        <w:t>s that the</w:t>
      </w:r>
      <w:r>
        <w:rPr>
          <w:rFonts w:ascii="Times New Roman" w:hAnsi="Times New Roman" w:cs="Times New Roman"/>
          <w:color w:val="auto"/>
        </w:rPr>
        <w:t xml:space="preserve"> </w:t>
      </w:r>
      <w:r w:rsidR="003F0D5A">
        <w:rPr>
          <w:rFonts w:ascii="Times New Roman" w:hAnsi="Times New Roman" w:cs="Times New Roman"/>
          <w:color w:val="auto"/>
        </w:rPr>
        <w:t xml:space="preserve">deceased sustained </w:t>
      </w:r>
      <w:r>
        <w:rPr>
          <w:rFonts w:ascii="Times New Roman" w:hAnsi="Times New Roman" w:cs="Times New Roman"/>
          <w:color w:val="auto"/>
        </w:rPr>
        <w:t>head trauma on 26 May 2019</w:t>
      </w:r>
      <w:r w:rsidR="003B5C30">
        <w:rPr>
          <w:rFonts w:ascii="Times New Roman" w:hAnsi="Times New Roman" w:cs="Times New Roman"/>
          <w:color w:val="auto"/>
        </w:rPr>
        <w:t>,</w:t>
      </w:r>
      <w:r>
        <w:rPr>
          <w:rFonts w:ascii="Times New Roman" w:hAnsi="Times New Roman" w:cs="Times New Roman"/>
          <w:color w:val="auto"/>
        </w:rPr>
        <w:t xml:space="preserve"> and was admitted at the hospital</w:t>
      </w:r>
      <w:r w:rsidR="003B5C30">
        <w:rPr>
          <w:rFonts w:ascii="Times New Roman" w:hAnsi="Times New Roman" w:cs="Times New Roman"/>
          <w:color w:val="auto"/>
        </w:rPr>
        <w:t xml:space="preserve"> and discharged. He later died o</w:t>
      </w:r>
      <w:r>
        <w:rPr>
          <w:rFonts w:ascii="Times New Roman" w:hAnsi="Times New Roman" w:cs="Times New Roman"/>
          <w:color w:val="auto"/>
        </w:rPr>
        <w:t xml:space="preserve">n the 6 September 2019. The pathologist who examined the remains of the deceased concluded that the cause of death was, subdural haematoma; skull bones fracture and severe head trauma. </w:t>
      </w:r>
    </w:p>
    <w:p w:rsidR="00A84094" w:rsidRDefault="00A84094" w:rsidP="00706A2B">
      <w:pPr>
        <w:pStyle w:val="Default"/>
        <w:spacing w:line="360" w:lineRule="auto"/>
        <w:ind w:firstLine="720"/>
        <w:jc w:val="both"/>
        <w:rPr>
          <w:rFonts w:ascii="Times New Roman" w:hAnsi="Times New Roman" w:cs="Times New Roman"/>
          <w:color w:val="auto"/>
        </w:rPr>
      </w:pPr>
    </w:p>
    <w:p w:rsidR="00821298" w:rsidRDefault="00A84094" w:rsidP="00706A2B">
      <w:pPr>
        <w:pStyle w:val="Default"/>
        <w:spacing w:line="360" w:lineRule="auto"/>
        <w:ind w:firstLine="720"/>
        <w:jc w:val="both"/>
        <w:rPr>
          <w:rFonts w:ascii="Times New Roman" w:hAnsi="Times New Roman" w:cs="Times New Roman"/>
          <w:color w:val="auto"/>
        </w:rPr>
      </w:pPr>
      <w:r w:rsidRPr="00223BF4">
        <w:rPr>
          <w:rFonts w:ascii="Times New Roman" w:hAnsi="Times New Roman" w:cs="Times New Roman"/>
        </w:rPr>
        <w:t>The sta</w:t>
      </w:r>
      <w:r>
        <w:rPr>
          <w:rFonts w:ascii="Times New Roman" w:hAnsi="Times New Roman" w:cs="Times New Roman"/>
        </w:rPr>
        <w:t>te led oral testimony from two</w:t>
      </w:r>
      <w:r w:rsidRPr="00223BF4">
        <w:rPr>
          <w:rFonts w:ascii="Times New Roman" w:hAnsi="Times New Roman" w:cs="Times New Roman"/>
        </w:rPr>
        <w:t xml:space="preserve"> witnesses.</w:t>
      </w:r>
      <w:r w:rsidR="00B46165">
        <w:rPr>
          <w:rFonts w:ascii="Times New Roman" w:hAnsi="Times New Roman" w:cs="Times New Roman"/>
        </w:rPr>
        <w:t xml:space="preserve"> </w:t>
      </w:r>
      <w:r>
        <w:rPr>
          <w:rFonts w:ascii="Times New Roman" w:hAnsi="Times New Roman" w:cs="Times New Roman"/>
          <w:color w:val="auto"/>
        </w:rPr>
        <w:t>The first to testify was Nkanyiso</w:t>
      </w:r>
      <w:r w:rsidR="00B46165">
        <w:rPr>
          <w:rFonts w:ascii="Times New Roman" w:hAnsi="Times New Roman" w:cs="Times New Roman"/>
          <w:color w:val="auto"/>
        </w:rPr>
        <w:t xml:space="preserve"> </w:t>
      </w:r>
      <w:r>
        <w:rPr>
          <w:rFonts w:ascii="Times New Roman" w:hAnsi="Times New Roman" w:cs="Times New Roman"/>
          <w:color w:val="auto"/>
        </w:rPr>
        <w:t>Mpofu</w:t>
      </w:r>
      <w:r w:rsidR="00A640C4">
        <w:rPr>
          <w:rFonts w:ascii="Times New Roman" w:hAnsi="Times New Roman" w:cs="Times New Roman"/>
          <w:color w:val="auto"/>
        </w:rPr>
        <w:t xml:space="preserve"> (1</w:t>
      </w:r>
      <w:r w:rsidR="00A640C4" w:rsidRPr="00A640C4">
        <w:rPr>
          <w:rFonts w:ascii="Times New Roman" w:hAnsi="Times New Roman" w:cs="Times New Roman"/>
          <w:color w:val="auto"/>
          <w:vertAlign w:val="superscript"/>
        </w:rPr>
        <w:t>st</w:t>
      </w:r>
      <w:r w:rsidR="00A640C4">
        <w:rPr>
          <w:rFonts w:ascii="Times New Roman" w:hAnsi="Times New Roman" w:cs="Times New Roman"/>
          <w:color w:val="auto"/>
        </w:rPr>
        <w:t xml:space="preserve"> witness)</w:t>
      </w:r>
      <w:r>
        <w:rPr>
          <w:rFonts w:ascii="Times New Roman" w:hAnsi="Times New Roman" w:cs="Times New Roman"/>
          <w:color w:val="auto"/>
        </w:rPr>
        <w:t>. His evidence is that:</w:t>
      </w:r>
    </w:p>
    <w:p w:rsidR="00A84094" w:rsidRPr="00CB088B" w:rsidRDefault="00A84094" w:rsidP="00CB088B">
      <w:pPr>
        <w:pStyle w:val="Default"/>
        <w:spacing w:line="360" w:lineRule="auto"/>
        <w:ind w:left="720"/>
        <w:jc w:val="both"/>
        <w:rPr>
          <w:rFonts w:ascii="Times New Roman" w:hAnsi="Times New Roman" w:cs="Times New Roman"/>
          <w:color w:val="auto"/>
          <w:sz w:val="22"/>
          <w:szCs w:val="22"/>
        </w:rPr>
      </w:pPr>
      <w:r w:rsidRPr="00CB088B">
        <w:rPr>
          <w:rFonts w:ascii="Times New Roman" w:hAnsi="Times New Roman" w:cs="Times New Roman"/>
          <w:color w:val="auto"/>
          <w:sz w:val="22"/>
          <w:szCs w:val="22"/>
        </w:rPr>
        <w:t xml:space="preserve">On the 26 May 2019, I left home with Hero Mkandla. We went to the shops, at M.H. Bar. The shop keeper said it was 9 p.m. time to close. She said she was closing one door, those with drinks should finish their drinks and leave the bar. </w:t>
      </w:r>
      <w:r w:rsidR="003B5C30">
        <w:rPr>
          <w:rFonts w:ascii="Times New Roman" w:hAnsi="Times New Roman" w:cs="Times New Roman"/>
          <w:color w:val="auto"/>
          <w:sz w:val="22"/>
          <w:szCs w:val="22"/>
        </w:rPr>
        <w:t>I was seated on top of the Slu</w:t>
      </w:r>
      <w:r w:rsidR="00CB088B" w:rsidRPr="00CB088B">
        <w:rPr>
          <w:rFonts w:ascii="Times New Roman" w:hAnsi="Times New Roman" w:cs="Times New Roman"/>
          <w:color w:val="auto"/>
          <w:sz w:val="22"/>
          <w:szCs w:val="22"/>
        </w:rPr>
        <w:t xml:space="preserve">g (mini soccer machine), and Hero Mkandla was standing at the door. The accused came into the bar, looked at all directions, produced an axe and struck Hero Mkandla on the head and the thigh. He opened the door and left the bar. Other patrons in the bar left running. </w:t>
      </w:r>
    </w:p>
    <w:p w:rsidR="00CB088B" w:rsidRDefault="00CB088B" w:rsidP="00CB088B">
      <w:pPr>
        <w:pStyle w:val="Default"/>
        <w:spacing w:line="360" w:lineRule="auto"/>
        <w:ind w:left="720"/>
        <w:jc w:val="both"/>
        <w:rPr>
          <w:rFonts w:ascii="Times New Roman" w:hAnsi="Times New Roman" w:cs="Times New Roman"/>
          <w:color w:val="auto"/>
        </w:rPr>
      </w:pPr>
    </w:p>
    <w:p w:rsidR="00793591" w:rsidRPr="00793591" w:rsidRDefault="00CB088B" w:rsidP="00793591">
      <w:pPr>
        <w:pStyle w:val="Default"/>
        <w:spacing w:line="360" w:lineRule="auto"/>
        <w:ind w:firstLine="720"/>
        <w:jc w:val="both"/>
        <w:rPr>
          <w:rFonts w:ascii="Times New Roman" w:hAnsi="Times New Roman" w:cs="Times New Roman"/>
          <w:color w:val="auto"/>
        </w:rPr>
      </w:pPr>
      <w:r>
        <w:rPr>
          <w:rFonts w:ascii="Times New Roman" w:hAnsi="Times New Roman" w:cs="Times New Roman"/>
          <w:color w:val="auto"/>
        </w:rPr>
        <w:t>This witness testified that after the attack, he remained at the bar for the purposes of helping the deceased who was his friend.</w:t>
      </w:r>
      <w:r w:rsidR="003F0D5A">
        <w:rPr>
          <w:rFonts w:ascii="Times New Roman" w:hAnsi="Times New Roman" w:cs="Times New Roman"/>
          <w:color w:val="auto"/>
        </w:rPr>
        <w:t xml:space="preserve">  </w:t>
      </w:r>
      <w:r>
        <w:rPr>
          <w:rFonts w:ascii="Times New Roman" w:hAnsi="Times New Roman" w:cs="Times New Roman"/>
          <w:color w:val="auto"/>
        </w:rPr>
        <w:t xml:space="preserve">He noticed that the deceased could not wake up. He then started looking for assistance. </w:t>
      </w:r>
      <w:r w:rsidRPr="000F03BD">
        <w:rPr>
          <w:rFonts w:ascii="Times New Roman" w:hAnsi="Times New Roman" w:cs="Times New Roman"/>
        </w:rPr>
        <w:t>The next witness for</w:t>
      </w:r>
      <w:r>
        <w:rPr>
          <w:rFonts w:ascii="Times New Roman" w:hAnsi="Times New Roman" w:cs="Times New Roman"/>
        </w:rPr>
        <w:t xml:space="preserve"> the state was Trust Jim Pandeni</w:t>
      </w:r>
      <w:r w:rsidR="00A640C4">
        <w:rPr>
          <w:rFonts w:ascii="Times New Roman" w:hAnsi="Times New Roman" w:cs="Times New Roman"/>
        </w:rPr>
        <w:t xml:space="preserve"> (2</w:t>
      </w:r>
      <w:r w:rsidR="00A640C4" w:rsidRPr="00A640C4">
        <w:rPr>
          <w:rFonts w:ascii="Times New Roman" w:hAnsi="Times New Roman" w:cs="Times New Roman"/>
          <w:vertAlign w:val="superscript"/>
        </w:rPr>
        <w:t>nd</w:t>
      </w:r>
      <w:r w:rsidR="00A640C4">
        <w:rPr>
          <w:rFonts w:ascii="Times New Roman" w:hAnsi="Times New Roman" w:cs="Times New Roman"/>
        </w:rPr>
        <w:t xml:space="preserve"> witness)</w:t>
      </w:r>
      <w:r w:rsidRPr="000F03BD">
        <w:rPr>
          <w:rFonts w:ascii="Times New Roman" w:hAnsi="Times New Roman" w:cs="Times New Roman"/>
        </w:rPr>
        <w:t>.</w:t>
      </w:r>
      <w:r>
        <w:rPr>
          <w:rFonts w:ascii="Times New Roman" w:hAnsi="Times New Roman" w:cs="Times New Roman"/>
        </w:rPr>
        <w:t xml:space="preserve"> He left the bar before the axing took place. He </w:t>
      </w:r>
      <w:r w:rsidR="00BA2513">
        <w:rPr>
          <w:rFonts w:ascii="Times New Roman" w:hAnsi="Times New Roman" w:cs="Times New Roman"/>
        </w:rPr>
        <w:t>does not know who axed the deceased</w:t>
      </w:r>
      <w:r>
        <w:rPr>
          <w:rFonts w:ascii="Times New Roman" w:hAnsi="Times New Roman" w:cs="Times New Roman"/>
        </w:rPr>
        <w:t xml:space="preserve">. </w:t>
      </w:r>
    </w:p>
    <w:p w:rsidR="00793591" w:rsidRDefault="00793591" w:rsidP="00793591">
      <w:pPr>
        <w:pStyle w:val="Default"/>
        <w:spacing w:line="360" w:lineRule="auto"/>
        <w:ind w:firstLine="720"/>
        <w:jc w:val="both"/>
        <w:rPr>
          <w:rFonts w:ascii="Times New Roman" w:hAnsi="Times New Roman" w:cs="Times New Roman"/>
        </w:rPr>
      </w:pPr>
    </w:p>
    <w:p w:rsidR="00793591" w:rsidRPr="0045124D" w:rsidRDefault="00793591" w:rsidP="00793591">
      <w:pPr>
        <w:pStyle w:val="Default"/>
        <w:spacing w:line="360" w:lineRule="auto"/>
        <w:ind w:firstLine="720"/>
        <w:jc w:val="both"/>
        <w:rPr>
          <w:rFonts w:ascii="Times New Roman" w:hAnsi="Times New Roman" w:cs="Times New Roman"/>
        </w:rPr>
      </w:pPr>
      <w:r w:rsidRPr="0045124D">
        <w:rPr>
          <w:rFonts w:ascii="Times New Roman" w:hAnsi="Times New Roman" w:cs="Times New Roman"/>
        </w:rPr>
        <w:t>The prosecutor sought admissions from the accused in terms of s 314 of the Criminal Procedure &amp; Evidence Act [</w:t>
      </w:r>
      <w:r w:rsidRPr="0045124D">
        <w:rPr>
          <w:rFonts w:ascii="Times New Roman" w:hAnsi="Times New Roman" w:cs="Times New Roman"/>
          <w:i/>
          <w:iCs/>
        </w:rPr>
        <w:t>Chapter 9:07</w:t>
      </w:r>
      <w:r w:rsidRPr="0045124D">
        <w:rPr>
          <w:rFonts w:ascii="Times New Roman" w:hAnsi="Times New Roman" w:cs="Times New Roman"/>
        </w:rPr>
        <w:t>]. The accused admitted the evidence of certain witnesses as contained in the summary of the state case. That is, the evidence of Dr Gregori, who examined the remains of the deceased and recorded a post mortem report. The evidence of</w:t>
      </w:r>
      <w:r w:rsidR="00B46165">
        <w:rPr>
          <w:rFonts w:ascii="Times New Roman" w:hAnsi="Times New Roman" w:cs="Times New Roman"/>
        </w:rPr>
        <w:t xml:space="preserve"> </w:t>
      </w:r>
      <w:r w:rsidR="003B5C30">
        <w:rPr>
          <w:rFonts w:ascii="Times New Roman" w:hAnsi="Times New Roman" w:cs="Times New Roman"/>
        </w:rPr>
        <w:t>Nokuthaba</w:t>
      </w:r>
      <w:r w:rsidR="00B46165">
        <w:rPr>
          <w:rFonts w:ascii="Times New Roman" w:hAnsi="Times New Roman" w:cs="Times New Roman"/>
        </w:rPr>
        <w:t xml:space="preserve"> </w:t>
      </w:r>
      <w:r w:rsidR="003B5C30">
        <w:rPr>
          <w:rFonts w:ascii="Times New Roman" w:hAnsi="Times New Roman" w:cs="Times New Roman"/>
        </w:rPr>
        <w:t>Mpofu, the bar lady</w:t>
      </w:r>
      <w:r w:rsidRPr="0045124D">
        <w:rPr>
          <w:rFonts w:ascii="Times New Roman" w:hAnsi="Times New Roman" w:cs="Times New Roman"/>
        </w:rPr>
        <w:t xml:space="preserve"> at MH Bottle store, the scene of crime. </w:t>
      </w:r>
      <w:r w:rsidR="003A51B5">
        <w:rPr>
          <w:rFonts w:ascii="Times New Roman" w:hAnsi="Times New Roman" w:cs="Times New Roman"/>
        </w:rPr>
        <w:t>According to her evidence, on</w:t>
      </w:r>
      <w:r w:rsidR="00B15C6C" w:rsidRPr="0045124D">
        <w:rPr>
          <w:rFonts w:ascii="Times New Roman" w:hAnsi="Times New Roman" w:cs="Times New Roman"/>
        </w:rPr>
        <w:t xml:space="preserve"> the 26 May 2019, at around 2000 hours, she advised all patrons to leave the bar, because it was time to close. The patrons refused to move out. The deceased said she should not close the bar but let them continue drinking.  She proceeded to close the door, switch off the radio and the lights and allowed those who needed to finish their drinks to do so. The following morning she learnt that there was violence at the bar and she observed blood stains on the veranda. The evidence of Constable Mushanyu, the investigating officer in this case</w:t>
      </w:r>
      <w:r w:rsidR="003A51B5">
        <w:rPr>
          <w:rFonts w:ascii="Times New Roman" w:hAnsi="Times New Roman" w:cs="Times New Roman"/>
        </w:rPr>
        <w:t xml:space="preserve"> was admitted in terms of section 314 of the Act</w:t>
      </w:r>
      <w:r w:rsidR="00B15C6C" w:rsidRPr="0045124D">
        <w:rPr>
          <w:rFonts w:ascii="Times New Roman" w:hAnsi="Times New Roman" w:cs="Times New Roman"/>
        </w:rPr>
        <w:t>. He visited the s</w:t>
      </w:r>
      <w:r w:rsidR="003B5C30">
        <w:rPr>
          <w:rFonts w:ascii="Times New Roman" w:hAnsi="Times New Roman" w:cs="Times New Roman"/>
        </w:rPr>
        <w:t xml:space="preserve">cene of crime on the 30 May </w:t>
      </w:r>
      <w:r w:rsidR="003B5C30">
        <w:rPr>
          <w:rFonts w:ascii="Times New Roman" w:hAnsi="Times New Roman" w:cs="Times New Roman"/>
        </w:rPr>
        <w:lastRenderedPageBreak/>
        <w:t>2019</w:t>
      </w:r>
      <w:r w:rsidR="00B15C6C" w:rsidRPr="0045124D">
        <w:rPr>
          <w:rFonts w:ascii="Times New Roman" w:hAnsi="Times New Roman" w:cs="Times New Roman"/>
        </w:rPr>
        <w:t>. He interviewed the witness Nkanyiso</w:t>
      </w:r>
      <w:r w:rsidR="00B46165">
        <w:rPr>
          <w:rFonts w:ascii="Times New Roman" w:hAnsi="Times New Roman" w:cs="Times New Roman"/>
        </w:rPr>
        <w:t xml:space="preserve"> </w:t>
      </w:r>
      <w:r w:rsidR="00B15C6C" w:rsidRPr="0045124D">
        <w:rPr>
          <w:rFonts w:ascii="Times New Roman" w:hAnsi="Times New Roman" w:cs="Times New Roman"/>
        </w:rPr>
        <w:t xml:space="preserve">Mpofu. He arrested the accused. The witness failed to recover the murder weapon, i.e. the axe. In June 2019, the witness visited the deceased at his home, and observed that he had a deep cut on the head and on the left thigh. </w:t>
      </w:r>
      <w:r w:rsidR="0045124D" w:rsidRPr="0045124D">
        <w:rPr>
          <w:rFonts w:ascii="Times New Roman" w:hAnsi="Times New Roman" w:cs="Times New Roman"/>
        </w:rPr>
        <w:t>The</w:t>
      </w:r>
      <w:r w:rsidR="003A51B5">
        <w:rPr>
          <w:rFonts w:ascii="Times New Roman" w:hAnsi="Times New Roman" w:cs="Times New Roman"/>
        </w:rPr>
        <w:t xml:space="preserve"> last to be admitted was the</w:t>
      </w:r>
      <w:r w:rsidR="0045124D" w:rsidRPr="0045124D">
        <w:rPr>
          <w:rFonts w:ascii="Times New Roman" w:hAnsi="Times New Roman" w:cs="Times New Roman"/>
        </w:rPr>
        <w:t xml:space="preserve"> evidence of Sergeant Ndlovu, who recorded a warned and cautioned statement from the accused. </w:t>
      </w:r>
    </w:p>
    <w:p w:rsidR="004B595B" w:rsidRDefault="004B595B" w:rsidP="00CB088B">
      <w:pPr>
        <w:pStyle w:val="Default"/>
        <w:spacing w:line="360" w:lineRule="auto"/>
        <w:ind w:left="720" w:firstLine="720"/>
        <w:jc w:val="both"/>
        <w:rPr>
          <w:rFonts w:ascii="Times New Roman" w:hAnsi="Times New Roman" w:cs="Times New Roman"/>
        </w:rPr>
      </w:pPr>
    </w:p>
    <w:p w:rsidR="004B595B" w:rsidRDefault="004B595B" w:rsidP="00EB101D">
      <w:pPr>
        <w:pStyle w:val="Default"/>
        <w:spacing w:line="360" w:lineRule="auto"/>
        <w:ind w:firstLine="720"/>
        <w:jc w:val="both"/>
        <w:rPr>
          <w:rFonts w:ascii="Times New Roman" w:hAnsi="Times New Roman" w:cs="Times New Roman"/>
        </w:rPr>
      </w:pPr>
      <w:r w:rsidRPr="00026AA5">
        <w:rPr>
          <w:rFonts w:ascii="Times New Roman" w:hAnsi="Times New Roman" w:cs="Times New Roman"/>
          <w:i/>
        </w:rPr>
        <w:t>Ms</w:t>
      </w:r>
      <w:r w:rsidRPr="004B595B">
        <w:rPr>
          <w:rFonts w:ascii="Times New Roman" w:hAnsi="Times New Roman" w:cs="Times New Roman"/>
        </w:rPr>
        <w:t xml:space="preserve"> </w:t>
      </w:r>
      <w:r w:rsidRPr="004B595B">
        <w:rPr>
          <w:rFonts w:ascii="Times New Roman" w:hAnsi="Times New Roman" w:cs="Times New Roman"/>
          <w:i/>
        </w:rPr>
        <w:t>Mthombeni</w:t>
      </w:r>
      <w:r w:rsidRPr="004B595B">
        <w:rPr>
          <w:rFonts w:ascii="Times New Roman" w:hAnsi="Times New Roman" w:cs="Times New Roman"/>
        </w:rPr>
        <w:t xml:space="preserve"> for the accused argued that the state case is riddled with inconsistences. </w:t>
      </w:r>
      <w:r>
        <w:rPr>
          <w:rFonts w:ascii="Times New Roman" w:hAnsi="Times New Roman" w:cs="Times New Roman"/>
        </w:rPr>
        <w:t>It is contended that there are differences in the sequence</w:t>
      </w:r>
      <w:r w:rsidR="003A51B5">
        <w:rPr>
          <w:rFonts w:ascii="Times New Roman" w:hAnsi="Times New Roman" w:cs="Times New Roman"/>
        </w:rPr>
        <w:t xml:space="preserve"> of events as testified by the Mpofu (1</w:t>
      </w:r>
      <w:r w:rsidR="003A51B5" w:rsidRPr="003A51B5">
        <w:rPr>
          <w:rFonts w:ascii="Times New Roman" w:hAnsi="Times New Roman" w:cs="Times New Roman"/>
          <w:vertAlign w:val="superscript"/>
        </w:rPr>
        <w:t>st</w:t>
      </w:r>
      <w:r w:rsidR="003A51B5">
        <w:rPr>
          <w:rFonts w:ascii="Times New Roman" w:hAnsi="Times New Roman" w:cs="Times New Roman"/>
        </w:rPr>
        <w:t xml:space="preserve"> witness) and Pandeni (2</w:t>
      </w:r>
      <w:r w:rsidR="003A51B5" w:rsidRPr="003A51B5">
        <w:rPr>
          <w:rFonts w:ascii="Times New Roman" w:hAnsi="Times New Roman" w:cs="Times New Roman"/>
          <w:vertAlign w:val="superscript"/>
        </w:rPr>
        <w:t>nd</w:t>
      </w:r>
      <w:r w:rsidR="003A51B5">
        <w:rPr>
          <w:rFonts w:ascii="Times New Roman" w:hAnsi="Times New Roman" w:cs="Times New Roman"/>
        </w:rPr>
        <w:t xml:space="preserve"> witness).</w:t>
      </w:r>
      <w:r>
        <w:rPr>
          <w:rFonts w:ascii="Times New Roman" w:hAnsi="Times New Roman" w:cs="Times New Roman"/>
        </w:rPr>
        <w:t xml:space="preserve"> It is said the 1</w:t>
      </w:r>
      <w:r w:rsidRPr="004B595B">
        <w:rPr>
          <w:rFonts w:ascii="Times New Roman" w:hAnsi="Times New Roman" w:cs="Times New Roman"/>
          <w:vertAlign w:val="superscript"/>
        </w:rPr>
        <w:t>st</w:t>
      </w:r>
      <w:r>
        <w:rPr>
          <w:rFonts w:ascii="Times New Roman" w:hAnsi="Times New Roman" w:cs="Times New Roman"/>
        </w:rPr>
        <w:t xml:space="preserve"> witnesses narrated events in a contradictory manner. He is criticised for saying he did not see the deceased carrying a knife, when the 2</w:t>
      </w:r>
      <w:r w:rsidRPr="004B595B">
        <w:rPr>
          <w:rFonts w:ascii="Times New Roman" w:hAnsi="Times New Roman" w:cs="Times New Roman"/>
          <w:vertAlign w:val="superscript"/>
        </w:rPr>
        <w:t>nd</w:t>
      </w:r>
      <w:r>
        <w:rPr>
          <w:rFonts w:ascii="Times New Roman" w:hAnsi="Times New Roman" w:cs="Times New Roman"/>
        </w:rPr>
        <w:t xml:space="preserve"> witness says the deceased had an Okapi knife. The 1</w:t>
      </w:r>
      <w:r w:rsidRPr="004B595B">
        <w:rPr>
          <w:rFonts w:ascii="Times New Roman" w:hAnsi="Times New Roman" w:cs="Times New Roman"/>
          <w:vertAlign w:val="superscript"/>
        </w:rPr>
        <w:t>st</w:t>
      </w:r>
      <w:r>
        <w:rPr>
          <w:rFonts w:ascii="Times New Roman" w:hAnsi="Times New Roman" w:cs="Times New Roman"/>
        </w:rPr>
        <w:t xml:space="preserve"> witness is further criticised for denying the allegation that him and the deceased insulted the patrons at the bar. It is said he testified to issues tha</w:t>
      </w:r>
      <w:r w:rsidR="00F50823">
        <w:rPr>
          <w:rFonts w:ascii="Times New Roman" w:hAnsi="Times New Roman" w:cs="Times New Roman"/>
        </w:rPr>
        <w:t>t are not in the outline of the state case. The state is criticised for having presented the oral testimony of one witness</w:t>
      </w:r>
      <w:r w:rsidR="003B5C30">
        <w:rPr>
          <w:rFonts w:ascii="Times New Roman" w:hAnsi="Times New Roman" w:cs="Times New Roman"/>
        </w:rPr>
        <w:t xml:space="preserve"> (who witnesses the axing)</w:t>
      </w:r>
      <w:r w:rsidR="00F50823">
        <w:rPr>
          <w:rFonts w:ascii="Times New Roman" w:hAnsi="Times New Roman" w:cs="Times New Roman"/>
        </w:rPr>
        <w:t>, when they were many patrons in the bar at the material time. It is contended that the fact that t</w:t>
      </w:r>
      <w:r w:rsidR="003F0D5A">
        <w:rPr>
          <w:rFonts w:ascii="Times New Roman" w:hAnsi="Times New Roman" w:cs="Times New Roman"/>
        </w:rPr>
        <w:t xml:space="preserve">he state had one witness cast </w:t>
      </w:r>
      <w:r w:rsidR="00F50823">
        <w:rPr>
          <w:rFonts w:ascii="Times New Roman" w:hAnsi="Times New Roman" w:cs="Times New Roman"/>
        </w:rPr>
        <w:t>strong doubt and suspicion on the state case. It is argued that the 1</w:t>
      </w:r>
      <w:r w:rsidR="00F50823" w:rsidRPr="00F50823">
        <w:rPr>
          <w:rFonts w:ascii="Times New Roman" w:hAnsi="Times New Roman" w:cs="Times New Roman"/>
          <w:vertAlign w:val="superscript"/>
        </w:rPr>
        <w:t>st</w:t>
      </w:r>
      <w:r w:rsidR="00F50823">
        <w:rPr>
          <w:rFonts w:ascii="Times New Roman" w:hAnsi="Times New Roman" w:cs="Times New Roman"/>
        </w:rPr>
        <w:t xml:space="preserve"> witness is not reliable and credible. </w:t>
      </w:r>
    </w:p>
    <w:p w:rsidR="00F50823" w:rsidRDefault="00F50823" w:rsidP="00CB088B">
      <w:pPr>
        <w:pStyle w:val="Default"/>
        <w:spacing w:line="360" w:lineRule="auto"/>
        <w:ind w:left="720" w:firstLine="720"/>
        <w:jc w:val="both"/>
        <w:rPr>
          <w:rFonts w:ascii="Times New Roman" w:hAnsi="Times New Roman" w:cs="Times New Roman"/>
        </w:rPr>
      </w:pPr>
    </w:p>
    <w:p w:rsidR="00F50823" w:rsidRPr="004B595B" w:rsidRDefault="00F50823" w:rsidP="00EB101D">
      <w:pPr>
        <w:pStyle w:val="Default"/>
        <w:spacing w:line="360" w:lineRule="auto"/>
        <w:ind w:firstLine="720"/>
        <w:jc w:val="both"/>
        <w:rPr>
          <w:rFonts w:ascii="Times New Roman" w:hAnsi="Times New Roman" w:cs="Times New Roman"/>
        </w:rPr>
      </w:pPr>
      <w:r w:rsidRPr="00026AA5">
        <w:rPr>
          <w:rFonts w:ascii="Times New Roman" w:hAnsi="Times New Roman" w:cs="Times New Roman"/>
          <w:i/>
        </w:rPr>
        <w:t>Mr</w:t>
      </w:r>
      <w:r>
        <w:rPr>
          <w:rFonts w:ascii="Times New Roman" w:hAnsi="Times New Roman" w:cs="Times New Roman"/>
        </w:rPr>
        <w:t xml:space="preserve"> </w:t>
      </w:r>
      <w:r w:rsidRPr="00F50823">
        <w:rPr>
          <w:rFonts w:ascii="Times New Roman" w:hAnsi="Times New Roman" w:cs="Times New Roman"/>
          <w:i/>
        </w:rPr>
        <w:t>Tshabalala</w:t>
      </w:r>
      <w:r w:rsidR="00B46165">
        <w:rPr>
          <w:rFonts w:ascii="Times New Roman" w:hAnsi="Times New Roman" w:cs="Times New Roman"/>
          <w:i/>
        </w:rPr>
        <w:t xml:space="preserve"> </w:t>
      </w:r>
      <w:r>
        <w:rPr>
          <w:rFonts w:ascii="Times New Roman" w:hAnsi="Times New Roman" w:cs="Times New Roman"/>
        </w:rPr>
        <w:t xml:space="preserve">for the state, made a concession that the state has not established a </w:t>
      </w:r>
      <w:r w:rsidRPr="003A51B5">
        <w:rPr>
          <w:rFonts w:ascii="Times New Roman" w:hAnsi="Times New Roman" w:cs="Times New Roman"/>
          <w:i/>
        </w:rPr>
        <w:t>prima facie</w:t>
      </w:r>
      <w:r>
        <w:rPr>
          <w:rFonts w:ascii="Times New Roman" w:hAnsi="Times New Roman" w:cs="Times New Roman"/>
        </w:rPr>
        <w:t xml:space="preserve"> case against the accused, he is therefore entitled to a discharge. It is contended that the prosecution hoped to anchor it</w:t>
      </w:r>
      <w:r w:rsidR="00A640C4">
        <w:rPr>
          <w:rFonts w:ascii="Times New Roman" w:hAnsi="Times New Roman" w:cs="Times New Roman"/>
        </w:rPr>
        <w:t>s case on the testimony of the Trust Jim Pandeni</w:t>
      </w:r>
      <w:r>
        <w:rPr>
          <w:rFonts w:ascii="Times New Roman" w:hAnsi="Times New Roman" w:cs="Times New Roman"/>
        </w:rPr>
        <w:t xml:space="preserve">, however, he has not given the evidence the state hoped he would place before court. It is argued that the concession is anchored on the following: </w:t>
      </w:r>
      <w:r w:rsidR="00A004DD">
        <w:rPr>
          <w:rFonts w:ascii="Times New Roman" w:hAnsi="Times New Roman" w:cs="Times New Roman"/>
        </w:rPr>
        <w:t>the evidence of the 1</w:t>
      </w:r>
      <w:r w:rsidR="00A004DD" w:rsidRPr="00A004DD">
        <w:rPr>
          <w:rFonts w:ascii="Times New Roman" w:hAnsi="Times New Roman" w:cs="Times New Roman"/>
          <w:vertAlign w:val="superscript"/>
        </w:rPr>
        <w:t>st</w:t>
      </w:r>
      <w:r w:rsidR="00A004DD">
        <w:rPr>
          <w:rFonts w:ascii="Times New Roman" w:hAnsi="Times New Roman" w:cs="Times New Roman"/>
        </w:rPr>
        <w:t xml:space="preserve"> state witness is not corroborated; the 2</w:t>
      </w:r>
      <w:r w:rsidR="00A004DD" w:rsidRPr="00A004DD">
        <w:rPr>
          <w:rFonts w:ascii="Times New Roman" w:hAnsi="Times New Roman" w:cs="Times New Roman"/>
          <w:vertAlign w:val="superscript"/>
        </w:rPr>
        <w:t>nd</w:t>
      </w:r>
      <w:r w:rsidR="0079220F">
        <w:rPr>
          <w:rFonts w:ascii="Times New Roman" w:hAnsi="Times New Roman" w:cs="Times New Roman"/>
        </w:rPr>
        <w:t>witness deviated from what the state expected he would testify o</w:t>
      </w:r>
      <w:r w:rsidR="00A640C4">
        <w:rPr>
          <w:rFonts w:ascii="Times New Roman" w:hAnsi="Times New Roman" w:cs="Times New Roman"/>
        </w:rPr>
        <w:t>n; the only oral evidence is of</w:t>
      </w:r>
      <w:r w:rsidR="0079220F">
        <w:rPr>
          <w:rFonts w:ascii="Times New Roman" w:hAnsi="Times New Roman" w:cs="Times New Roman"/>
        </w:rPr>
        <w:t xml:space="preserve"> the 1</w:t>
      </w:r>
      <w:r w:rsidR="0079220F" w:rsidRPr="0079220F">
        <w:rPr>
          <w:rFonts w:ascii="Times New Roman" w:hAnsi="Times New Roman" w:cs="Times New Roman"/>
          <w:vertAlign w:val="superscript"/>
        </w:rPr>
        <w:t>st</w:t>
      </w:r>
      <w:r w:rsidR="0079220F">
        <w:rPr>
          <w:rFonts w:ascii="Times New Roman" w:hAnsi="Times New Roman" w:cs="Times New Roman"/>
        </w:rPr>
        <w:t xml:space="preserve"> witness who is himself implicated by the accused; and that there is no independent evidence that supports the evidence of the 1</w:t>
      </w:r>
      <w:r w:rsidR="0079220F" w:rsidRPr="0079220F">
        <w:rPr>
          <w:rFonts w:ascii="Times New Roman" w:hAnsi="Times New Roman" w:cs="Times New Roman"/>
          <w:vertAlign w:val="superscript"/>
        </w:rPr>
        <w:t>st</w:t>
      </w:r>
      <w:r w:rsidR="0079220F">
        <w:rPr>
          <w:rFonts w:ascii="Times New Roman" w:hAnsi="Times New Roman" w:cs="Times New Roman"/>
        </w:rPr>
        <w:t xml:space="preserve"> witness. </w:t>
      </w:r>
    </w:p>
    <w:p w:rsidR="00CB088B" w:rsidRDefault="00CB088B" w:rsidP="00CB088B">
      <w:pPr>
        <w:pStyle w:val="Default"/>
        <w:spacing w:line="360" w:lineRule="auto"/>
        <w:ind w:left="720" w:firstLine="720"/>
        <w:jc w:val="both"/>
        <w:rPr>
          <w:rFonts w:ascii="Times New Roman" w:hAnsi="Times New Roman" w:cs="Times New Roman"/>
          <w:color w:val="auto"/>
        </w:rPr>
      </w:pPr>
    </w:p>
    <w:p w:rsidR="0079220F" w:rsidRDefault="0079220F" w:rsidP="00EB101D">
      <w:pPr>
        <w:pStyle w:val="Default"/>
        <w:spacing w:line="360" w:lineRule="auto"/>
        <w:ind w:firstLine="720"/>
        <w:jc w:val="both"/>
        <w:rPr>
          <w:rFonts w:ascii="Times New Roman" w:hAnsi="Times New Roman" w:cs="Times New Roman"/>
        </w:rPr>
      </w:pPr>
      <w:r w:rsidRPr="00706A2B">
        <w:rPr>
          <w:rFonts w:ascii="Times New Roman" w:hAnsi="Times New Roman" w:cs="Times New Roman"/>
        </w:rPr>
        <w:t>At this stage of the proceedings</w:t>
      </w:r>
      <w:r w:rsidR="003F0D5A">
        <w:rPr>
          <w:rFonts w:ascii="Times New Roman" w:hAnsi="Times New Roman" w:cs="Times New Roman"/>
        </w:rPr>
        <w:t>,</w:t>
      </w:r>
      <w:r w:rsidRPr="00706A2B">
        <w:rPr>
          <w:rFonts w:ascii="Times New Roman" w:hAnsi="Times New Roman" w:cs="Times New Roman"/>
        </w:rPr>
        <w:t xml:space="preserve"> the issue is certainly not whether the St</w:t>
      </w:r>
      <w:r w:rsidR="00A640C4">
        <w:rPr>
          <w:rFonts w:ascii="Times New Roman" w:hAnsi="Times New Roman" w:cs="Times New Roman"/>
        </w:rPr>
        <w:t>ate has proved its case beyond</w:t>
      </w:r>
      <w:r w:rsidRPr="00706A2B">
        <w:rPr>
          <w:rFonts w:ascii="Times New Roman" w:hAnsi="Times New Roman" w:cs="Times New Roman"/>
        </w:rPr>
        <w:t xml:space="preserve"> reasonable doubt as to justify a conviction.</w:t>
      </w:r>
      <w:r>
        <w:rPr>
          <w:rFonts w:ascii="Times New Roman" w:hAnsi="Times New Roman" w:cs="Times New Roman"/>
        </w:rPr>
        <w:t xml:space="preserve"> The issues of corroboration, the unavailability of what </w:t>
      </w:r>
      <w:r w:rsidRPr="00026AA5">
        <w:rPr>
          <w:rFonts w:ascii="Times New Roman" w:hAnsi="Times New Roman" w:cs="Times New Roman"/>
          <w:i/>
        </w:rPr>
        <w:t>Mr</w:t>
      </w:r>
      <w:r>
        <w:rPr>
          <w:rFonts w:ascii="Times New Roman" w:hAnsi="Times New Roman" w:cs="Times New Roman"/>
        </w:rPr>
        <w:t xml:space="preserve"> </w:t>
      </w:r>
      <w:r w:rsidRPr="0079220F">
        <w:rPr>
          <w:rFonts w:ascii="Times New Roman" w:hAnsi="Times New Roman" w:cs="Times New Roman"/>
          <w:i/>
        </w:rPr>
        <w:t>Tshabalala</w:t>
      </w:r>
      <w:r>
        <w:rPr>
          <w:rFonts w:ascii="Times New Roman" w:hAnsi="Times New Roman" w:cs="Times New Roman"/>
        </w:rPr>
        <w:t xml:space="preserve"> calls an independent witness; </w:t>
      </w:r>
      <w:r w:rsidR="0067373A">
        <w:rPr>
          <w:rFonts w:ascii="Times New Roman" w:hAnsi="Times New Roman" w:cs="Times New Roman"/>
        </w:rPr>
        <w:t>the reli</w:t>
      </w:r>
      <w:r w:rsidR="00A640C4">
        <w:rPr>
          <w:rFonts w:ascii="Times New Roman" w:hAnsi="Times New Roman" w:cs="Times New Roman"/>
        </w:rPr>
        <w:t>ability and credibility of the Nkanyiso</w:t>
      </w:r>
      <w:r w:rsidR="00B46165">
        <w:rPr>
          <w:rFonts w:ascii="Times New Roman" w:hAnsi="Times New Roman" w:cs="Times New Roman"/>
        </w:rPr>
        <w:t xml:space="preserve"> </w:t>
      </w:r>
      <w:r w:rsidR="00A640C4">
        <w:rPr>
          <w:rFonts w:ascii="Times New Roman" w:hAnsi="Times New Roman" w:cs="Times New Roman"/>
        </w:rPr>
        <w:t>Mpofu</w:t>
      </w:r>
      <w:r w:rsidR="0067373A">
        <w:rPr>
          <w:rFonts w:ascii="Times New Roman" w:hAnsi="Times New Roman" w:cs="Times New Roman"/>
        </w:rPr>
        <w:t xml:space="preserve"> are not of concern to this court at this stage. This court will not at this stage analyse the probative value of the evidence adduced by the state. </w:t>
      </w:r>
      <w:r w:rsidR="00201B88">
        <w:rPr>
          <w:rFonts w:ascii="Times New Roman" w:hAnsi="Times New Roman" w:cs="Times New Roman"/>
        </w:rPr>
        <w:t>I take the view that counsel for the state and counsel for the accused, dr</w:t>
      </w:r>
      <w:r w:rsidR="00164497">
        <w:rPr>
          <w:rFonts w:ascii="Times New Roman" w:hAnsi="Times New Roman" w:cs="Times New Roman"/>
        </w:rPr>
        <w:t xml:space="preserve">ifted and argued as if the issue </w:t>
      </w:r>
      <w:r w:rsidR="00A640C4">
        <w:rPr>
          <w:rFonts w:ascii="Times New Roman" w:hAnsi="Times New Roman" w:cs="Times New Roman"/>
        </w:rPr>
        <w:lastRenderedPageBreak/>
        <w:t>before court is the guilt of the accused beyond</w:t>
      </w:r>
      <w:r w:rsidR="00201B88">
        <w:rPr>
          <w:rFonts w:ascii="Times New Roman" w:hAnsi="Times New Roman" w:cs="Times New Roman"/>
        </w:rPr>
        <w:t xml:space="preserve"> reasonable doubt. The proceedings are not at that stage yet. The issues they raised</w:t>
      </w:r>
      <w:r w:rsidR="0067373A">
        <w:rPr>
          <w:rFonts w:ascii="Times New Roman" w:hAnsi="Times New Roman" w:cs="Times New Roman"/>
        </w:rPr>
        <w:t xml:space="preserve"> might </w:t>
      </w:r>
      <w:r w:rsidR="00164497">
        <w:rPr>
          <w:rFonts w:ascii="Times New Roman" w:hAnsi="Times New Roman" w:cs="Times New Roman"/>
        </w:rPr>
        <w:t xml:space="preserve">well </w:t>
      </w:r>
      <w:r w:rsidR="0067373A">
        <w:rPr>
          <w:rFonts w:ascii="Times New Roman" w:hAnsi="Times New Roman" w:cs="Times New Roman"/>
        </w:rPr>
        <w:t xml:space="preserve">be argued at the end of the trial. </w:t>
      </w:r>
    </w:p>
    <w:p w:rsidR="0067373A" w:rsidRDefault="0067373A" w:rsidP="00CB088B">
      <w:pPr>
        <w:pStyle w:val="Default"/>
        <w:spacing w:line="360" w:lineRule="auto"/>
        <w:ind w:left="720" w:firstLine="720"/>
        <w:jc w:val="both"/>
        <w:rPr>
          <w:rFonts w:ascii="Times New Roman" w:hAnsi="Times New Roman" w:cs="Times New Roman"/>
        </w:rPr>
      </w:pPr>
    </w:p>
    <w:p w:rsidR="00AB4545" w:rsidRDefault="0067373A" w:rsidP="00B02389">
      <w:pPr>
        <w:pStyle w:val="Default"/>
        <w:spacing w:line="360" w:lineRule="auto"/>
        <w:ind w:firstLine="720"/>
        <w:jc w:val="both"/>
        <w:rPr>
          <w:rFonts w:ascii="Times New Roman" w:hAnsi="Times New Roman" w:cs="Times New Roman"/>
        </w:rPr>
      </w:pPr>
      <w:r>
        <w:rPr>
          <w:rFonts w:ascii="Times New Roman" w:hAnsi="Times New Roman" w:cs="Times New Roman"/>
        </w:rPr>
        <w:t>At this stag</w:t>
      </w:r>
      <w:r w:rsidR="009E0142">
        <w:rPr>
          <w:rFonts w:ascii="Times New Roman" w:hAnsi="Times New Roman" w:cs="Times New Roman"/>
        </w:rPr>
        <w:t>e of the proceedings, the simple</w:t>
      </w:r>
      <w:r>
        <w:rPr>
          <w:rFonts w:ascii="Times New Roman" w:hAnsi="Times New Roman" w:cs="Times New Roman"/>
        </w:rPr>
        <w:t xml:space="preserve"> question is</w:t>
      </w:r>
      <w:r w:rsidR="00201B88">
        <w:rPr>
          <w:rFonts w:ascii="Times New Roman" w:hAnsi="Times New Roman" w:cs="Times New Roman"/>
        </w:rPr>
        <w:t xml:space="preserve">; on the record is there </w:t>
      </w:r>
      <w:r w:rsidR="00201B88" w:rsidRPr="00706A2B">
        <w:rPr>
          <w:rFonts w:ascii="Times New Roman" w:hAnsi="Times New Roman" w:cs="Times New Roman"/>
        </w:rPr>
        <w:t xml:space="preserve">evidence against the accused person </w:t>
      </w:r>
      <w:r w:rsidR="00201B88">
        <w:rPr>
          <w:rFonts w:ascii="Times New Roman" w:hAnsi="Times New Roman" w:cs="Times New Roman"/>
        </w:rPr>
        <w:t>which requires</w:t>
      </w:r>
      <w:r w:rsidR="00201B88" w:rsidRPr="00706A2B">
        <w:rPr>
          <w:rFonts w:ascii="Times New Roman" w:hAnsi="Times New Roman" w:cs="Times New Roman"/>
        </w:rPr>
        <w:t xml:space="preserve"> a reply from him.</w:t>
      </w:r>
      <w:r w:rsidR="00A640C4">
        <w:rPr>
          <w:rFonts w:ascii="Times New Roman" w:hAnsi="Times New Roman" w:cs="Times New Roman"/>
        </w:rPr>
        <w:t xml:space="preserve"> I take the view that indeed t</w:t>
      </w:r>
      <w:r>
        <w:rPr>
          <w:rFonts w:ascii="Times New Roman" w:hAnsi="Times New Roman" w:cs="Times New Roman"/>
        </w:rPr>
        <w:t>here is evidence before court, i.e</w:t>
      </w:r>
      <w:r w:rsidR="00A640C4">
        <w:rPr>
          <w:rFonts w:ascii="Times New Roman" w:hAnsi="Times New Roman" w:cs="Times New Roman"/>
        </w:rPr>
        <w:t xml:space="preserve">. the post mortem report, which </w:t>
      </w:r>
      <w:r>
        <w:rPr>
          <w:rFonts w:ascii="Times New Roman" w:hAnsi="Times New Roman" w:cs="Times New Roman"/>
        </w:rPr>
        <w:t>shows that the deceased died as a result of the injuries he suffered on the 26 May 2019, at M.H. Bottle Store, Lonely Mine, Inyathi. There is evi</w:t>
      </w:r>
      <w:r w:rsidR="00A640C4">
        <w:rPr>
          <w:rFonts w:ascii="Times New Roman" w:hAnsi="Times New Roman" w:cs="Times New Roman"/>
        </w:rPr>
        <w:t>dence that places the accused at</w:t>
      </w:r>
      <w:r>
        <w:rPr>
          <w:rFonts w:ascii="Times New Roman" w:hAnsi="Times New Roman" w:cs="Times New Roman"/>
        </w:rPr>
        <w:t xml:space="preserve"> the scene</w:t>
      </w:r>
      <w:r w:rsidR="00A640C4">
        <w:rPr>
          <w:rFonts w:ascii="Times New Roman" w:hAnsi="Times New Roman" w:cs="Times New Roman"/>
        </w:rPr>
        <w:t xml:space="preserve"> of the</w:t>
      </w:r>
      <w:r w:rsidR="00201B88">
        <w:rPr>
          <w:rFonts w:ascii="Times New Roman" w:hAnsi="Times New Roman" w:cs="Times New Roman"/>
        </w:rPr>
        <w:t xml:space="preserve"> crime</w:t>
      </w:r>
      <w:r>
        <w:rPr>
          <w:rFonts w:ascii="Times New Roman" w:hAnsi="Times New Roman" w:cs="Times New Roman"/>
        </w:rPr>
        <w:t xml:space="preserve">. </w:t>
      </w:r>
      <w:r w:rsidR="00201B88">
        <w:rPr>
          <w:rFonts w:ascii="Times New Roman" w:hAnsi="Times New Roman" w:cs="Times New Roman"/>
        </w:rPr>
        <w:t xml:space="preserve"> There is evidence that implicates the accused in the commission of the offence of murder. </w:t>
      </w:r>
      <w:r w:rsidR="00A640C4">
        <w:rPr>
          <w:rFonts w:ascii="Times New Roman" w:hAnsi="Times New Roman" w:cs="Times New Roman"/>
        </w:rPr>
        <w:t>According to Nkanyiso</w:t>
      </w:r>
      <w:r w:rsidR="00B46165">
        <w:rPr>
          <w:rFonts w:ascii="Times New Roman" w:hAnsi="Times New Roman" w:cs="Times New Roman"/>
        </w:rPr>
        <w:t xml:space="preserve"> </w:t>
      </w:r>
      <w:r w:rsidR="00A640C4">
        <w:rPr>
          <w:rFonts w:ascii="Times New Roman" w:hAnsi="Times New Roman" w:cs="Times New Roman"/>
        </w:rPr>
        <w:t>Mpofu</w:t>
      </w:r>
      <w:r w:rsidR="003F0D5A">
        <w:rPr>
          <w:rFonts w:ascii="Times New Roman" w:hAnsi="Times New Roman" w:cs="Times New Roman"/>
        </w:rPr>
        <w:t>,</w:t>
      </w:r>
      <w:r>
        <w:rPr>
          <w:rFonts w:ascii="Times New Roman" w:hAnsi="Times New Roman" w:cs="Times New Roman"/>
        </w:rPr>
        <w:t xml:space="preserve"> it is the accused who axed the deceased. </w:t>
      </w:r>
      <w:r w:rsidR="002D1C51">
        <w:rPr>
          <w:rFonts w:ascii="Times New Roman" w:hAnsi="Times New Roman" w:cs="Times New Roman"/>
        </w:rPr>
        <w:t xml:space="preserve"> It cannot be said at this stage</w:t>
      </w:r>
      <w:r w:rsidR="00A640C4">
        <w:rPr>
          <w:rFonts w:ascii="Times New Roman" w:hAnsi="Times New Roman" w:cs="Times New Roman"/>
        </w:rPr>
        <w:t xml:space="preserve"> that the evidence of the Nkanyiso</w:t>
      </w:r>
      <w:r w:rsidR="00B46165">
        <w:rPr>
          <w:rFonts w:ascii="Times New Roman" w:hAnsi="Times New Roman" w:cs="Times New Roman"/>
        </w:rPr>
        <w:t xml:space="preserve"> </w:t>
      </w:r>
      <w:r w:rsidR="00A640C4">
        <w:rPr>
          <w:rFonts w:ascii="Times New Roman" w:hAnsi="Times New Roman" w:cs="Times New Roman"/>
        </w:rPr>
        <w:t>Mpofu</w:t>
      </w:r>
      <w:r w:rsidR="00B02389">
        <w:rPr>
          <w:rFonts w:ascii="Times New Roman" w:hAnsi="Times New Roman" w:cs="Times New Roman"/>
        </w:rPr>
        <w:t xml:space="preserve"> is</w:t>
      </w:r>
      <w:r w:rsidR="00AB4545">
        <w:rPr>
          <w:rFonts w:ascii="Times New Roman" w:hAnsi="Times New Roman" w:cs="Times New Roman"/>
        </w:rPr>
        <w:t xml:space="preserve"> of </w:t>
      </w:r>
      <w:r w:rsidR="002D1C51">
        <w:rPr>
          <w:rFonts w:ascii="Times New Roman" w:hAnsi="Times New Roman" w:cs="Times New Roman"/>
        </w:rPr>
        <w:t xml:space="preserve">such </w:t>
      </w:r>
      <w:r w:rsidR="00AB4545">
        <w:rPr>
          <w:rFonts w:ascii="Times New Roman" w:hAnsi="Times New Roman" w:cs="Times New Roman"/>
        </w:rPr>
        <w:t>poor quality</w:t>
      </w:r>
      <w:r w:rsidR="00B02389">
        <w:rPr>
          <w:rFonts w:ascii="Times New Roman" w:hAnsi="Times New Roman" w:cs="Times New Roman"/>
        </w:rPr>
        <w:t xml:space="preserve"> or manifestly unreliable </w:t>
      </w:r>
      <w:r w:rsidR="002D1C51">
        <w:rPr>
          <w:rFonts w:ascii="Times New Roman" w:hAnsi="Times New Roman" w:cs="Times New Roman"/>
        </w:rPr>
        <w:t>as required by case law for it to be</w:t>
      </w:r>
      <w:r w:rsidR="00AB4545">
        <w:rPr>
          <w:rFonts w:ascii="Times New Roman" w:hAnsi="Times New Roman" w:cs="Times New Roman"/>
        </w:rPr>
        <w:t xml:space="preserve"> rejected outright. </w:t>
      </w:r>
      <w:r w:rsidR="00201B88">
        <w:rPr>
          <w:rFonts w:ascii="Times New Roman" w:hAnsi="Times New Roman" w:cs="Times New Roman"/>
        </w:rPr>
        <w:t xml:space="preserve">This court cannot ignore this evidence at this stage of the proceedings. It is on record. Simply put, this evidence calls for a reply from the accused. </w:t>
      </w:r>
      <w:r w:rsidR="00316F6C">
        <w:rPr>
          <w:rFonts w:ascii="Times New Roman" w:hAnsi="Times New Roman" w:cs="Times New Roman"/>
        </w:rPr>
        <w:t xml:space="preserve">There is a </w:t>
      </w:r>
      <w:r w:rsidR="00316F6C" w:rsidRPr="00316F6C">
        <w:rPr>
          <w:rFonts w:ascii="Times New Roman" w:hAnsi="Times New Roman" w:cs="Times New Roman"/>
          <w:i/>
        </w:rPr>
        <w:t>prima facie</w:t>
      </w:r>
      <w:r w:rsidR="00316F6C">
        <w:rPr>
          <w:rFonts w:ascii="Times New Roman" w:hAnsi="Times New Roman" w:cs="Times New Roman"/>
        </w:rPr>
        <w:t xml:space="preserve"> </w:t>
      </w:r>
      <w:r w:rsidR="003F0D5A">
        <w:rPr>
          <w:rFonts w:ascii="Times New Roman" w:hAnsi="Times New Roman" w:cs="Times New Roman"/>
        </w:rPr>
        <w:t xml:space="preserve">case </w:t>
      </w:r>
      <w:r w:rsidR="00316F6C">
        <w:rPr>
          <w:rFonts w:ascii="Times New Roman" w:hAnsi="Times New Roman" w:cs="Times New Roman"/>
        </w:rPr>
        <w:t xml:space="preserve">against the accused, which requires an answer.  </w:t>
      </w:r>
    </w:p>
    <w:p w:rsidR="00B02389" w:rsidRDefault="00B02389" w:rsidP="00B02389">
      <w:pPr>
        <w:pStyle w:val="Default"/>
        <w:spacing w:line="360" w:lineRule="auto"/>
        <w:ind w:firstLine="720"/>
        <w:jc w:val="both"/>
        <w:rPr>
          <w:rFonts w:ascii="Times New Roman" w:hAnsi="Times New Roman" w:cs="Times New Roman"/>
        </w:rPr>
      </w:pPr>
    </w:p>
    <w:p w:rsidR="00EB101D" w:rsidRPr="00EB101D" w:rsidRDefault="00EB101D" w:rsidP="00EB101D">
      <w:pPr>
        <w:pStyle w:val="Default"/>
        <w:spacing w:line="360" w:lineRule="auto"/>
        <w:ind w:firstLine="720"/>
        <w:jc w:val="both"/>
        <w:rPr>
          <w:rFonts w:ascii="Times New Roman" w:hAnsi="Times New Roman" w:cs="Times New Roman"/>
        </w:rPr>
      </w:pPr>
      <w:r>
        <w:rPr>
          <w:rFonts w:ascii="Times New Roman" w:hAnsi="Times New Roman" w:cs="Times New Roman"/>
          <w:color w:val="auto"/>
        </w:rPr>
        <w:t>In conclusion</w:t>
      </w:r>
      <w:r w:rsidR="00EF0873">
        <w:rPr>
          <w:rFonts w:ascii="Times New Roman" w:hAnsi="Times New Roman" w:cs="Times New Roman"/>
          <w:color w:val="auto"/>
        </w:rPr>
        <w:t>,</w:t>
      </w:r>
      <w:r>
        <w:rPr>
          <w:rFonts w:ascii="Times New Roman" w:hAnsi="Times New Roman" w:cs="Times New Roman"/>
          <w:color w:val="auto"/>
        </w:rPr>
        <w:t xml:space="preserve"> I take the view that the conces</w:t>
      </w:r>
      <w:r w:rsidR="00146ACC">
        <w:rPr>
          <w:rFonts w:ascii="Times New Roman" w:hAnsi="Times New Roman" w:cs="Times New Roman"/>
          <w:color w:val="auto"/>
        </w:rPr>
        <w:t>sion made by the prosecution was</w:t>
      </w:r>
      <w:r w:rsidR="009E0142">
        <w:rPr>
          <w:rFonts w:ascii="Times New Roman" w:hAnsi="Times New Roman" w:cs="Times New Roman"/>
          <w:color w:val="auto"/>
        </w:rPr>
        <w:t xml:space="preserve"> not </w:t>
      </w:r>
      <w:r>
        <w:rPr>
          <w:rFonts w:ascii="Times New Roman" w:hAnsi="Times New Roman" w:cs="Times New Roman"/>
          <w:color w:val="auto"/>
        </w:rPr>
        <w:t xml:space="preserve">properly taken. </w:t>
      </w:r>
    </w:p>
    <w:p w:rsidR="00EB101D" w:rsidRDefault="00EB101D" w:rsidP="00EB101D">
      <w:pPr>
        <w:pStyle w:val="Default"/>
        <w:spacing w:line="360" w:lineRule="auto"/>
        <w:jc w:val="both"/>
        <w:rPr>
          <w:rFonts w:ascii="Times New Roman" w:hAnsi="Times New Roman" w:cs="Times New Roman"/>
          <w:color w:val="auto"/>
        </w:rPr>
      </w:pPr>
    </w:p>
    <w:p w:rsidR="00213FB7" w:rsidRPr="00EB101D" w:rsidRDefault="00EB101D" w:rsidP="00EB101D">
      <w:pPr>
        <w:pStyle w:val="Default"/>
        <w:spacing w:line="360" w:lineRule="auto"/>
        <w:ind w:firstLine="720"/>
        <w:jc w:val="both"/>
        <w:rPr>
          <w:rFonts w:ascii="Times New Roman" w:hAnsi="Times New Roman" w:cs="Times New Roman"/>
          <w:color w:val="auto"/>
        </w:rPr>
      </w:pPr>
      <w:r>
        <w:rPr>
          <w:rFonts w:ascii="Times New Roman" w:hAnsi="Times New Roman" w:cs="Times New Roman"/>
        </w:rPr>
        <w:t>In the result; t</w:t>
      </w:r>
      <w:r w:rsidRPr="00EB101D">
        <w:rPr>
          <w:rFonts w:ascii="Times New Roman" w:hAnsi="Times New Roman" w:cs="Times New Roman"/>
        </w:rPr>
        <w:t>his applicatio</w:t>
      </w:r>
      <w:r w:rsidR="0045124D">
        <w:rPr>
          <w:rFonts w:ascii="Times New Roman" w:hAnsi="Times New Roman" w:cs="Times New Roman"/>
        </w:rPr>
        <w:t>n for a discharge is</w:t>
      </w:r>
      <w:r w:rsidR="003F0D5A">
        <w:rPr>
          <w:rFonts w:ascii="Times New Roman" w:hAnsi="Times New Roman" w:cs="Times New Roman"/>
        </w:rPr>
        <w:t xml:space="preserve"> </w:t>
      </w:r>
      <w:r w:rsidR="00316F6C">
        <w:rPr>
          <w:rFonts w:ascii="Times New Roman" w:hAnsi="Times New Roman" w:cs="Times New Roman"/>
        </w:rPr>
        <w:t xml:space="preserve">accordingly </w:t>
      </w:r>
      <w:r w:rsidRPr="00EB101D">
        <w:rPr>
          <w:rFonts w:ascii="Times New Roman" w:hAnsi="Times New Roman" w:cs="Times New Roman"/>
        </w:rPr>
        <w:t>refused.</w:t>
      </w:r>
    </w:p>
    <w:p w:rsidR="00213FB7" w:rsidRDefault="00213FB7" w:rsidP="00213FB7">
      <w:pPr>
        <w:pStyle w:val="NoSpacing"/>
        <w:jc w:val="both"/>
        <w:rPr>
          <w:rFonts w:cs="Times New Roman"/>
          <w:i/>
          <w:szCs w:val="24"/>
        </w:rPr>
      </w:pPr>
    </w:p>
    <w:p w:rsidR="00316F6C" w:rsidRDefault="00316F6C" w:rsidP="00213FB7">
      <w:pPr>
        <w:pStyle w:val="NoSpacing"/>
        <w:jc w:val="both"/>
        <w:rPr>
          <w:rFonts w:cs="Times New Roman"/>
          <w:i/>
          <w:szCs w:val="24"/>
        </w:rPr>
      </w:pPr>
    </w:p>
    <w:p w:rsidR="00316F6C" w:rsidRPr="00EB101D" w:rsidRDefault="00316F6C" w:rsidP="00213FB7">
      <w:pPr>
        <w:pStyle w:val="NoSpacing"/>
        <w:jc w:val="both"/>
        <w:rPr>
          <w:rFonts w:cs="Times New Roman"/>
          <w:i/>
          <w:szCs w:val="24"/>
        </w:rPr>
      </w:pPr>
    </w:p>
    <w:p w:rsidR="00213FB7" w:rsidRDefault="00213FB7" w:rsidP="00213FB7">
      <w:pPr>
        <w:pStyle w:val="NoSpacing"/>
        <w:jc w:val="both"/>
      </w:pPr>
      <w:r w:rsidRPr="00153DE8">
        <w:rPr>
          <w:i/>
        </w:rPr>
        <w:t>National Prosecuting Authority,</w:t>
      </w:r>
      <w:r>
        <w:t xml:space="preserve"> state’s legal practitioners</w:t>
      </w:r>
    </w:p>
    <w:p w:rsidR="00213FB7" w:rsidRPr="00196D07" w:rsidRDefault="00213FB7" w:rsidP="00213FB7">
      <w:pPr>
        <w:pStyle w:val="NoSpacing"/>
        <w:jc w:val="both"/>
      </w:pPr>
      <w:r>
        <w:rPr>
          <w:i/>
        </w:rPr>
        <w:t>Dube, Nkala and Company</w:t>
      </w:r>
      <w:r>
        <w:t>, accused’s legal practitioners</w:t>
      </w:r>
    </w:p>
    <w:p w:rsidR="00213FB7" w:rsidRPr="00706A2B" w:rsidRDefault="00213FB7" w:rsidP="00CB088B">
      <w:pPr>
        <w:pStyle w:val="Default"/>
        <w:spacing w:line="360" w:lineRule="auto"/>
        <w:ind w:left="720" w:firstLine="720"/>
        <w:jc w:val="both"/>
        <w:rPr>
          <w:rFonts w:ascii="Times New Roman" w:hAnsi="Times New Roman" w:cs="Times New Roman"/>
          <w:color w:val="auto"/>
        </w:rPr>
      </w:pPr>
      <w:bookmarkStart w:id="0" w:name="_GoBack"/>
      <w:bookmarkEnd w:id="0"/>
    </w:p>
    <w:sectPr w:rsidR="00213FB7" w:rsidRPr="00706A2B" w:rsidSect="00B32C5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BD9" w:rsidRDefault="00F55BD9" w:rsidP="00B46165">
      <w:pPr>
        <w:spacing w:after="0" w:line="240" w:lineRule="auto"/>
      </w:pPr>
      <w:r>
        <w:separator/>
      </w:r>
    </w:p>
  </w:endnote>
  <w:endnote w:type="continuationSeparator" w:id="1">
    <w:p w:rsidR="00F55BD9" w:rsidRDefault="00F55BD9" w:rsidP="00B46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OldStyle">
    <w:panose1 w:val="00000000000000000000"/>
    <w:charset w:val="00"/>
    <w:family w:val="roman"/>
    <w:notTrueType/>
    <w:pitch w:val="default"/>
    <w:sig w:usb0="00000003" w:usb1="00000000" w:usb2="00000000" w:usb3="00000000" w:csb0="00000001" w:csb1="00000000"/>
  </w:font>
  <w:font w:name="BookmanOldStyle-Italic">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BD9" w:rsidRDefault="00F55BD9" w:rsidP="00B46165">
      <w:pPr>
        <w:spacing w:after="0" w:line="240" w:lineRule="auto"/>
      </w:pPr>
      <w:r>
        <w:separator/>
      </w:r>
    </w:p>
  </w:footnote>
  <w:footnote w:type="continuationSeparator" w:id="1">
    <w:p w:rsidR="00F55BD9" w:rsidRDefault="00F55BD9" w:rsidP="00B46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5048"/>
      <w:docPartObj>
        <w:docPartGallery w:val="Page Numbers (Top of Page)"/>
        <w:docPartUnique/>
      </w:docPartObj>
    </w:sdtPr>
    <w:sdtContent>
      <w:p w:rsidR="00B46165" w:rsidRDefault="008B3917">
        <w:pPr>
          <w:pStyle w:val="Header"/>
          <w:jc w:val="right"/>
        </w:pPr>
        <w:fldSimple w:instr=" PAGE   \* MERGEFORMAT ">
          <w:r w:rsidR="00F310D6">
            <w:rPr>
              <w:noProof/>
            </w:rPr>
            <w:t>1</w:t>
          </w:r>
        </w:fldSimple>
      </w:p>
      <w:p w:rsidR="00B46165" w:rsidRDefault="00B46165">
        <w:pPr>
          <w:pStyle w:val="Header"/>
          <w:jc w:val="right"/>
        </w:pPr>
        <w:r>
          <w:t>HB 251/20</w:t>
        </w:r>
      </w:p>
      <w:p w:rsidR="00B46165" w:rsidRDefault="00B46165">
        <w:pPr>
          <w:pStyle w:val="Header"/>
          <w:jc w:val="right"/>
        </w:pPr>
        <w:r>
          <w:t>HC (CRB) 100/20</w:t>
        </w:r>
      </w:p>
    </w:sdtContent>
  </w:sdt>
  <w:p w:rsidR="00B46165" w:rsidRDefault="00B461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2B07"/>
    <w:rsid w:val="00026AA5"/>
    <w:rsid w:val="00082B07"/>
    <w:rsid w:val="000C3F4B"/>
    <w:rsid w:val="000D6B7C"/>
    <w:rsid w:val="00146ACC"/>
    <w:rsid w:val="00164497"/>
    <w:rsid w:val="00201B88"/>
    <w:rsid w:val="00213FB7"/>
    <w:rsid w:val="002D1C51"/>
    <w:rsid w:val="00316F6C"/>
    <w:rsid w:val="003A51B5"/>
    <w:rsid w:val="003B5C30"/>
    <w:rsid w:val="003F0D5A"/>
    <w:rsid w:val="0045124D"/>
    <w:rsid w:val="004B595B"/>
    <w:rsid w:val="0067373A"/>
    <w:rsid w:val="006B2153"/>
    <w:rsid w:val="00706A2B"/>
    <w:rsid w:val="0079220F"/>
    <w:rsid w:val="00793591"/>
    <w:rsid w:val="00803C02"/>
    <w:rsid w:val="00821298"/>
    <w:rsid w:val="008344B0"/>
    <w:rsid w:val="008B3917"/>
    <w:rsid w:val="008F0F73"/>
    <w:rsid w:val="009D3B31"/>
    <w:rsid w:val="009E0142"/>
    <w:rsid w:val="00A004DD"/>
    <w:rsid w:val="00A640C4"/>
    <w:rsid w:val="00A84094"/>
    <w:rsid w:val="00AB4545"/>
    <w:rsid w:val="00B02389"/>
    <w:rsid w:val="00B15C6C"/>
    <w:rsid w:val="00B27290"/>
    <w:rsid w:val="00B32C5E"/>
    <w:rsid w:val="00B448C1"/>
    <w:rsid w:val="00B46165"/>
    <w:rsid w:val="00BA15B6"/>
    <w:rsid w:val="00BA2513"/>
    <w:rsid w:val="00C1514F"/>
    <w:rsid w:val="00CB088B"/>
    <w:rsid w:val="00E26150"/>
    <w:rsid w:val="00E761EB"/>
    <w:rsid w:val="00E940A8"/>
    <w:rsid w:val="00EB101D"/>
    <w:rsid w:val="00EF0873"/>
    <w:rsid w:val="00F310D6"/>
    <w:rsid w:val="00F50823"/>
    <w:rsid w:val="00F55BD9"/>
    <w:rsid w:val="00F574B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44B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13FB7"/>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16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97"/>
    <w:rPr>
      <w:rFonts w:ascii="Segoe UI" w:hAnsi="Segoe UI" w:cs="Segoe UI"/>
      <w:sz w:val="18"/>
      <w:szCs w:val="18"/>
    </w:rPr>
  </w:style>
  <w:style w:type="paragraph" w:styleId="Header">
    <w:name w:val="header"/>
    <w:basedOn w:val="Normal"/>
    <w:link w:val="HeaderChar"/>
    <w:uiPriority w:val="99"/>
    <w:unhideWhenUsed/>
    <w:rsid w:val="00B4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165"/>
  </w:style>
  <w:style w:type="paragraph" w:styleId="Footer">
    <w:name w:val="footer"/>
    <w:basedOn w:val="Normal"/>
    <w:link w:val="FooterChar"/>
    <w:uiPriority w:val="99"/>
    <w:semiHidden/>
    <w:unhideWhenUsed/>
    <w:rsid w:val="00B461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1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MAKONESEJ</cp:lastModifiedBy>
  <cp:revision>2</cp:revision>
  <cp:lastPrinted>2020-11-03T12:16:00Z</cp:lastPrinted>
  <dcterms:created xsi:type="dcterms:W3CDTF">2020-11-06T08:18:00Z</dcterms:created>
  <dcterms:modified xsi:type="dcterms:W3CDTF">2020-11-06T08:18:00Z</dcterms:modified>
</cp:coreProperties>
</file>