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9C35C" w14:textId="77777777" w:rsidR="00864E0D" w:rsidRDefault="00864E0D" w:rsidP="00864E0D">
      <w:pPr>
        <w:spacing w:after="0" w:line="240" w:lineRule="auto"/>
        <w:ind w:left="0"/>
        <w:rPr>
          <w:lang w:val="en-US"/>
        </w:rPr>
      </w:pPr>
      <w:bookmarkStart w:id="0" w:name="_GoBack"/>
      <w:bookmarkEnd w:id="0"/>
      <w:r>
        <w:rPr>
          <w:lang w:val="en-US"/>
        </w:rPr>
        <w:t xml:space="preserve">THE STATE </w:t>
      </w:r>
    </w:p>
    <w:p w14:paraId="2A6881AE" w14:textId="77777777" w:rsidR="00864E0D" w:rsidRDefault="00864E0D" w:rsidP="00864E0D">
      <w:pPr>
        <w:spacing w:after="0" w:line="240" w:lineRule="auto"/>
        <w:ind w:left="0"/>
        <w:rPr>
          <w:lang w:val="en-US"/>
        </w:rPr>
      </w:pPr>
      <w:r>
        <w:rPr>
          <w:lang w:val="en-US"/>
        </w:rPr>
        <w:t>versus</w:t>
      </w:r>
    </w:p>
    <w:p w14:paraId="0643C136" w14:textId="425FA55D" w:rsidR="00864E0D" w:rsidRDefault="00864E0D" w:rsidP="00864E0D">
      <w:pPr>
        <w:spacing w:after="0" w:line="240" w:lineRule="auto"/>
        <w:ind w:left="0"/>
        <w:rPr>
          <w:lang w:val="en-US"/>
        </w:rPr>
      </w:pPr>
      <w:r>
        <w:rPr>
          <w:lang w:val="en-US"/>
        </w:rPr>
        <w:t xml:space="preserve">WALLACE KUFANDADA </w:t>
      </w:r>
    </w:p>
    <w:p w14:paraId="44BBC57C" w14:textId="64EF7618" w:rsidR="00602CB4" w:rsidRDefault="004D43EE" w:rsidP="00864E0D">
      <w:pPr>
        <w:spacing w:after="0" w:line="240" w:lineRule="auto"/>
        <w:ind w:left="0"/>
        <w:rPr>
          <w:lang w:val="en-US"/>
        </w:rPr>
      </w:pPr>
      <w:r>
        <w:rPr>
          <w:lang w:val="en-US"/>
        </w:rPr>
        <w:t>a</w:t>
      </w:r>
      <w:r w:rsidR="00602CB4">
        <w:rPr>
          <w:lang w:val="en-US"/>
        </w:rPr>
        <w:t>nd</w:t>
      </w:r>
    </w:p>
    <w:p w14:paraId="2E635EE9" w14:textId="431A8E2A" w:rsidR="00602CB4" w:rsidRDefault="00602CB4" w:rsidP="00864E0D">
      <w:pPr>
        <w:spacing w:after="0" w:line="240" w:lineRule="auto"/>
        <w:ind w:left="0"/>
        <w:rPr>
          <w:lang w:val="en-US"/>
        </w:rPr>
      </w:pPr>
      <w:r>
        <w:rPr>
          <w:lang w:val="en-US"/>
        </w:rPr>
        <w:t>TAKUDZWA PEPUKAI</w:t>
      </w:r>
    </w:p>
    <w:p w14:paraId="7057F5A7" w14:textId="73553BA1" w:rsidR="00864E0D" w:rsidRDefault="00864E0D" w:rsidP="00864E0D">
      <w:pPr>
        <w:spacing w:after="0" w:line="240" w:lineRule="auto"/>
        <w:rPr>
          <w:rFonts w:cs="Times New Roman"/>
          <w:szCs w:val="24"/>
        </w:rPr>
      </w:pPr>
    </w:p>
    <w:p w14:paraId="27DD96E3" w14:textId="77777777" w:rsidR="00BD6106" w:rsidRDefault="00BD6106" w:rsidP="00864E0D">
      <w:pPr>
        <w:spacing w:after="0" w:line="240" w:lineRule="auto"/>
        <w:rPr>
          <w:rFonts w:cs="Times New Roman"/>
          <w:szCs w:val="24"/>
        </w:rPr>
      </w:pPr>
    </w:p>
    <w:p w14:paraId="7977FAFB" w14:textId="77777777" w:rsidR="00864E0D" w:rsidRDefault="00864E0D" w:rsidP="00864E0D">
      <w:pPr>
        <w:spacing w:after="0" w:line="240" w:lineRule="auto"/>
        <w:ind w:left="0"/>
        <w:rPr>
          <w:rFonts w:cs="Times New Roman"/>
          <w:szCs w:val="24"/>
        </w:rPr>
      </w:pPr>
      <w:r>
        <w:rPr>
          <w:rFonts w:cs="Times New Roman"/>
          <w:szCs w:val="24"/>
        </w:rPr>
        <w:t>HIGH COURT OF ZIMBABWE</w:t>
      </w:r>
    </w:p>
    <w:p w14:paraId="0AE45E02" w14:textId="6F0774A3" w:rsidR="00864E0D" w:rsidRDefault="00864E0D" w:rsidP="00864E0D">
      <w:pPr>
        <w:spacing w:after="0" w:line="240" w:lineRule="auto"/>
        <w:ind w:hanging="720"/>
        <w:rPr>
          <w:rFonts w:cs="Times New Roman"/>
          <w:szCs w:val="24"/>
        </w:rPr>
      </w:pPr>
      <w:r>
        <w:rPr>
          <w:rFonts w:cs="Times New Roman"/>
          <w:szCs w:val="24"/>
        </w:rPr>
        <w:t>MUREMBA</w:t>
      </w:r>
      <w:r w:rsidR="008C5554">
        <w:rPr>
          <w:rFonts w:cs="Times New Roman"/>
          <w:szCs w:val="24"/>
        </w:rPr>
        <w:t xml:space="preserve"> &amp; MUTEVEDZI J</w:t>
      </w:r>
      <w:r>
        <w:rPr>
          <w:rFonts w:cs="Times New Roman"/>
          <w:szCs w:val="24"/>
        </w:rPr>
        <w:t>J</w:t>
      </w:r>
    </w:p>
    <w:p w14:paraId="75F718B6" w14:textId="7C97BCBB" w:rsidR="00864E0D" w:rsidRDefault="00864E0D" w:rsidP="00864E0D">
      <w:pPr>
        <w:spacing w:after="0" w:line="240" w:lineRule="auto"/>
        <w:ind w:hanging="720"/>
        <w:rPr>
          <w:lang w:val="en-US"/>
        </w:rPr>
      </w:pPr>
      <w:r>
        <w:rPr>
          <w:rFonts w:cs="Times New Roman"/>
          <w:szCs w:val="24"/>
        </w:rPr>
        <w:t xml:space="preserve">HARARE, </w:t>
      </w:r>
      <w:r w:rsidR="00497963">
        <w:rPr>
          <w:lang w:val="en-US"/>
        </w:rPr>
        <w:t>6 June</w:t>
      </w:r>
      <w:r>
        <w:rPr>
          <w:lang w:val="en-US"/>
        </w:rPr>
        <w:t xml:space="preserve"> 2024</w:t>
      </w:r>
    </w:p>
    <w:p w14:paraId="237C01D8" w14:textId="77777777" w:rsidR="00864E0D" w:rsidRDefault="00864E0D" w:rsidP="00864E0D">
      <w:pPr>
        <w:spacing w:after="0" w:line="240" w:lineRule="auto"/>
        <w:ind w:hanging="720"/>
        <w:rPr>
          <w:lang w:val="en-US"/>
        </w:rPr>
      </w:pPr>
    </w:p>
    <w:p w14:paraId="675F7B88" w14:textId="77777777" w:rsidR="00864E0D" w:rsidRDefault="00864E0D" w:rsidP="00864E0D">
      <w:pPr>
        <w:spacing w:after="0" w:line="240" w:lineRule="auto"/>
        <w:ind w:hanging="720"/>
        <w:rPr>
          <w:lang w:val="en-US"/>
        </w:rPr>
      </w:pPr>
    </w:p>
    <w:p w14:paraId="5512F5DC" w14:textId="291FDB27" w:rsidR="00864E0D" w:rsidRDefault="00864E0D" w:rsidP="00864E0D">
      <w:pPr>
        <w:spacing w:after="0" w:line="240" w:lineRule="auto"/>
        <w:ind w:left="0"/>
        <w:rPr>
          <w:b/>
          <w:bCs/>
          <w:lang w:val="en-US"/>
        </w:rPr>
      </w:pPr>
      <w:r>
        <w:rPr>
          <w:b/>
          <w:bCs/>
          <w:lang w:val="en-US"/>
        </w:rPr>
        <w:t>Criminal Review Judgment</w:t>
      </w:r>
    </w:p>
    <w:p w14:paraId="536ED083" w14:textId="77777777" w:rsidR="00864E0D" w:rsidRDefault="00864E0D" w:rsidP="00864E0D">
      <w:pPr>
        <w:spacing w:after="0" w:line="240" w:lineRule="auto"/>
        <w:ind w:left="0"/>
        <w:rPr>
          <w:b/>
          <w:bCs/>
          <w:lang w:val="en-US"/>
        </w:rPr>
      </w:pPr>
    </w:p>
    <w:p w14:paraId="103E0FA2" w14:textId="77777777" w:rsidR="00864E0D" w:rsidRDefault="00864E0D" w:rsidP="00864E0D">
      <w:pPr>
        <w:spacing w:after="0" w:line="240" w:lineRule="auto"/>
        <w:ind w:left="0"/>
        <w:rPr>
          <w:lang w:val="en-US"/>
        </w:rPr>
      </w:pPr>
    </w:p>
    <w:p w14:paraId="093C73DF" w14:textId="5F61CB06" w:rsidR="009A4BDB" w:rsidRDefault="00864E0D" w:rsidP="004D43EE">
      <w:pPr>
        <w:spacing w:after="0"/>
        <w:ind w:left="0"/>
      </w:pPr>
      <w:r>
        <w:rPr>
          <w:lang w:val="en-US"/>
        </w:rPr>
        <w:tab/>
      </w:r>
      <w:r w:rsidRPr="006A3E3C">
        <w:rPr>
          <w:b/>
          <w:bCs/>
          <w:lang w:val="en-US"/>
        </w:rPr>
        <w:t>MUREMBA J</w:t>
      </w:r>
      <w:r w:rsidRPr="0026264E">
        <w:rPr>
          <w:lang w:val="en-US"/>
        </w:rPr>
        <w:t>:</w:t>
      </w:r>
      <w:r>
        <w:rPr>
          <w:lang w:val="en-US"/>
        </w:rPr>
        <w:t xml:space="preserve"> The </w:t>
      </w:r>
      <w:r w:rsidR="003E7D87">
        <w:rPr>
          <w:lang w:val="en-US"/>
        </w:rPr>
        <w:t xml:space="preserve">two accused </w:t>
      </w:r>
      <w:r w:rsidR="002739DE">
        <w:rPr>
          <w:lang w:val="en-US"/>
        </w:rPr>
        <w:t xml:space="preserve">persons </w:t>
      </w:r>
      <w:r w:rsidR="002739DE" w:rsidRPr="008C5554">
        <w:rPr>
          <w:lang w:val="en-US"/>
        </w:rPr>
        <w:t xml:space="preserve">Wallace </w:t>
      </w:r>
      <w:proofErr w:type="spellStart"/>
      <w:r w:rsidR="002739DE" w:rsidRPr="008C5554">
        <w:rPr>
          <w:lang w:val="en-US"/>
        </w:rPr>
        <w:t>Kufandada</w:t>
      </w:r>
      <w:proofErr w:type="spellEnd"/>
      <w:r w:rsidR="002739DE" w:rsidRPr="008C5554">
        <w:rPr>
          <w:lang w:val="en-US"/>
        </w:rPr>
        <w:t xml:space="preserve"> and </w:t>
      </w:r>
      <w:proofErr w:type="spellStart"/>
      <w:r w:rsidR="002739DE" w:rsidRPr="008C5554">
        <w:rPr>
          <w:lang w:val="en-US"/>
        </w:rPr>
        <w:t>Takudzwa</w:t>
      </w:r>
      <w:proofErr w:type="spellEnd"/>
      <w:r w:rsidR="002739DE" w:rsidRPr="008C5554">
        <w:rPr>
          <w:lang w:val="en-US"/>
        </w:rPr>
        <w:t xml:space="preserve"> </w:t>
      </w:r>
      <w:proofErr w:type="spellStart"/>
      <w:r w:rsidR="002739DE" w:rsidRPr="008C5554">
        <w:rPr>
          <w:lang w:val="en-US"/>
        </w:rPr>
        <w:t>Pepukai</w:t>
      </w:r>
      <w:proofErr w:type="spellEnd"/>
      <w:r w:rsidR="002739DE" w:rsidRPr="008C5554">
        <w:rPr>
          <w:lang w:val="en-US"/>
        </w:rPr>
        <w:t xml:space="preserve"> </w:t>
      </w:r>
      <w:r w:rsidR="003E7D87">
        <w:rPr>
          <w:lang w:val="en-US"/>
        </w:rPr>
        <w:t>who are</w:t>
      </w:r>
      <w:r w:rsidR="009A4BDB">
        <w:rPr>
          <w:lang w:val="en-US"/>
        </w:rPr>
        <w:t xml:space="preserve"> male persons</w:t>
      </w:r>
      <w:r w:rsidR="003E7D87">
        <w:rPr>
          <w:lang w:val="en-US"/>
        </w:rPr>
        <w:t xml:space="preserve"> aged 21 years and 18 years respectively were </w:t>
      </w:r>
      <w:r w:rsidRPr="00BE0403">
        <w:t>charged with</w:t>
      </w:r>
      <w:r w:rsidR="003E7D87">
        <w:t xml:space="preserve"> robbery </w:t>
      </w:r>
      <w:r w:rsidR="005C6540" w:rsidRPr="00BE0403">
        <w:t xml:space="preserve">as defined </w:t>
      </w:r>
      <w:r w:rsidR="005C6540">
        <w:t xml:space="preserve">in </w:t>
      </w:r>
      <w:r w:rsidR="005C6540" w:rsidRPr="00BE0403">
        <w:t xml:space="preserve">section </w:t>
      </w:r>
      <w:r w:rsidR="005C6540">
        <w:t xml:space="preserve">126 </w:t>
      </w:r>
      <w:r w:rsidR="005C6540" w:rsidRPr="00BE0403">
        <w:t>(1)</w:t>
      </w:r>
      <w:r w:rsidR="005C6540">
        <w:t xml:space="preserve"> </w:t>
      </w:r>
      <w:r w:rsidR="003E7D87">
        <w:t xml:space="preserve">and rape </w:t>
      </w:r>
      <w:bookmarkStart w:id="1" w:name="_Hlk168296799"/>
      <w:r w:rsidRPr="00BE0403">
        <w:t xml:space="preserve">as defined </w:t>
      </w:r>
      <w:r w:rsidR="003E7D87">
        <w:t xml:space="preserve">in </w:t>
      </w:r>
      <w:r w:rsidRPr="00BE0403">
        <w:t xml:space="preserve">section </w:t>
      </w:r>
      <w:bookmarkEnd w:id="1"/>
      <w:r w:rsidR="0066648F">
        <w:t>65</w:t>
      </w:r>
      <w:r w:rsidRPr="00BE0403">
        <w:t xml:space="preserve"> of the Criminal Law </w:t>
      </w:r>
      <w:r w:rsidR="00315527">
        <w:t>(</w:t>
      </w:r>
      <w:r w:rsidRPr="00BE0403">
        <w:t>Cod</w:t>
      </w:r>
      <w:r w:rsidR="00315527">
        <w:t>ification and Reform) Act [</w:t>
      </w:r>
      <w:r w:rsidR="00315527" w:rsidRPr="001808BD">
        <w:rPr>
          <w:i/>
          <w:iCs/>
        </w:rPr>
        <w:t>Chapter 9:</w:t>
      </w:r>
      <w:r w:rsidR="00315527" w:rsidRPr="00A82C1A">
        <w:rPr>
          <w:i/>
          <w:iCs/>
        </w:rPr>
        <w:t>23</w:t>
      </w:r>
      <w:r w:rsidR="00315527" w:rsidRPr="00A82C1A">
        <w:t>]</w:t>
      </w:r>
      <w:r w:rsidR="00315527">
        <w:t xml:space="preserve"> (The</w:t>
      </w:r>
      <w:r w:rsidR="001808BD">
        <w:t xml:space="preserve"> Criminal Law</w:t>
      </w:r>
      <w:r w:rsidR="00315527">
        <w:t xml:space="preserve"> Code)</w:t>
      </w:r>
      <w:r w:rsidRPr="00BE0403">
        <w:t xml:space="preserve">. </w:t>
      </w:r>
      <w:r w:rsidR="009A4BDB" w:rsidRPr="008C5554">
        <w:t>The</w:t>
      </w:r>
      <w:r w:rsidR="00315527" w:rsidRPr="008C5554">
        <w:t>y both</w:t>
      </w:r>
      <w:r w:rsidR="009A4BDB" w:rsidRPr="008C5554">
        <w:t xml:space="preserve"> </w:t>
      </w:r>
      <w:r w:rsidR="009A4BDB">
        <w:t xml:space="preserve">pleaded not guilty to the charges. Despite their </w:t>
      </w:r>
      <w:r w:rsidR="00315527" w:rsidRPr="008C5554">
        <w:t>protestations</w:t>
      </w:r>
      <w:r w:rsidR="009A4BDB" w:rsidRPr="008C5554">
        <w:t>, the</w:t>
      </w:r>
      <w:r w:rsidR="00315527" w:rsidRPr="008C5554">
        <w:t xml:space="preserve">y </w:t>
      </w:r>
      <w:r w:rsidR="009A4BDB" w:rsidRPr="008C5554">
        <w:t xml:space="preserve">were </w:t>
      </w:r>
      <w:r w:rsidR="00315527" w:rsidRPr="008C5554">
        <w:t xml:space="preserve">both </w:t>
      </w:r>
      <w:r w:rsidR="009A4BDB">
        <w:t xml:space="preserve">convicted of the first count of robbery. The first accused was </w:t>
      </w:r>
      <w:r w:rsidR="00315527">
        <w:t xml:space="preserve">also </w:t>
      </w:r>
      <w:r w:rsidR="009A4BDB">
        <w:t>convicted of the second count of rape, whilst the second accused was acquitted of th</w:t>
      </w:r>
      <w:r w:rsidR="00315527">
        <w:t>at</w:t>
      </w:r>
      <w:r w:rsidR="009A4BDB">
        <w:t xml:space="preserve"> count. </w:t>
      </w:r>
    </w:p>
    <w:p w14:paraId="0265A96C" w14:textId="7C629E08" w:rsidR="001749A6" w:rsidRPr="00802E6C" w:rsidRDefault="00E91C3F" w:rsidP="004D43EE">
      <w:pPr>
        <w:spacing w:after="0"/>
        <w:ind w:left="0" w:firstLine="720"/>
      </w:pPr>
      <w:r w:rsidRPr="00802E6C">
        <w:t xml:space="preserve">Clearly, what befell the complainant in this case cannot be wished on anybody. </w:t>
      </w:r>
      <w:r w:rsidR="00864E0D" w:rsidRPr="00802E6C">
        <w:t xml:space="preserve">The </w:t>
      </w:r>
      <w:r w:rsidR="009A4BDB" w:rsidRPr="00802E6C">
        <w:t xml:space="preserve">facts of the matter are </w:t>
      </w:r>
      <w:r w:rsidRPr="00802E6C">
        <w:t>horrendous</w:t>
      </w:r>
      <w:r w:rsidR="00782088" w:rsidRPr="00802E6C">
        <w:t xml:space="preserve">. </w:t>
      </w:r>
      <w:r w:rsidRPr="00802E6C">
        <w:t>They are that t</w:t>
      </w:r>
      <w:r w:rsidR="00782088" w:rsidRPr="00802E6C">
        <w:t xml:space="preserve">he complainant and the accused persons </w:t>
      </w:r>
      <w:r w:rsidRPr="00802E6C">
        <w:t xml:space="preserve">all resided in the neighbourhood of </w:t>
      </w:r>
      <w:proofErr w:type="spellStart"/>
      <w:r w:rsidRPr="00802E6C">
        <w:t>Nyatsime</w:t>
      </w:r>
      <w:proofErr w:type="spellEnd"/>
      <w:r w:rsidRPr="00802E6C">
        <w:t xml:space="preserve"> in </w:t>
      </w:r>
      <w:proofErr w:type="spellStart"/>
      <w:r w:rsidRPr="00802E6C">
        <w:t>Chitungwiza</w:t>
      </w:r>
      <w:proofErr w:type="spellEnd"/>
      <w:r w:rsidRPr="00802E6C">
        <w:t>. At the material time, the</w:t>
      </w:r>
      <w:r w:rsidR="00B82120" w:rsidRPr="00802E6C">
        <w:t xml:space="preserve"> complainant was </w:t>
      </w:r>
      <w:r w:rsidRPr="00802E6C">
        <w:t xml:space="preserve">a young woman of </w:t>
      </w:r>
      <w:r w:rsidR="00B82120" w:rsidRPr="00802E6C">
        <w:t xml:space="preserve">27 years. </w:t>
      </w:r>
      <w:r w:rsidRPr="00802E6C">
        <w:t>After peacefully retiring to bed with her husband and their six children, she could have never imagined the hell which the night became. It was on 7</w:t>
      </w:r>
      <w:r w:rsidR="00864E0D" w:rsidRPr="00802E6C">
        <w:t xml:space="preserve"> </w:t>
      </w:r>
      <w:r w:rsidR="009A4BDB" w:rsidRPr="00802E6C">
        <w:t>September</w:t>
      </w:r>
      <w:r w:rsidR="00864E0D" w:rsidRPr="00802E6C">
        <w:t xml:space="preserve"> 2023</w:t>
      </w:r>
      <w:r w:rsidR="009A4BDB" w:rsidRPr="00802E6C">
        <w:t xml:space="preserve"> around 2200 hours</w:t>
      </w:r>
      <w:r w:rsidRPr="00802E6C">
        <w:t xml:space="preserve">. </w:t>
      </w:r>
      <w:r w:rsidR="009A4BDB" w:rsidRPr="00802E6C">
        <w:t xml:space="preserve"> </w:t>
      </w:r>
      <w:r w:rsidRPr="00802E6C">
        <w:t>T</w:t>
      </w:r>
      <w:r w:rsidR="00381089" w:rsidRPr="00802E6C">
        <w:t xml:space="preserve">he </w:t>
      </w:r>
      <w:r w:rsidR="00730486" w:rsidRPr="00802E6C">
        <w:t xml:space="preserve">two </w:t>
      </w:r>
      <w:r w:rsidR="00381089" w:rsidRPr="00802E6C">
        <w:t xml:space="preserve">accused persons in the company of </w:t>
      </w:r>
      <w:r w:rsidR="00730486" w:rsidRPr="00802E6C">
        <w:t>one Eddy N</w:t>
      </w:r>
      <w:r w:rsidR="00683173" w:rsidRPr="00802E6C">
        <w:t xml:space="preserve">FPK and three </w:t>
      </w:r>
      <w:r w:rsidR="000836C7" w:rsidRPr="00802E6C">
        <w:t xml:space="preserve">other male </w:t>
      </w:r>
      <w:r w:rsidR="001A0099" w:rsidRPr="00802E6C">
        <w:t>hoodlums</w:t>
      </w:r>
      <w:r w:rsidR="000836C7" w:rsidRPr="00802E6C">
        <w:t xml:space="preserve"> </w:t>
      </w:r>
      <w:r w:rsidR="00683173" w:rsidRPr="00802E6C">
        <w:t>whom the complainant did not know</w:t>
      </w:r>
      <w:r w:rsidR="001A0099" w:rsidRPr="00802E6C">
        <w:t xml:space="preserve"> descended on her residence and stormed into the house by</w:t>
      </w:r>
      <w:r w:rsidR="00683173" w:rsidRPr="00802E6C">
        <w:t xml:space="preserve"> </w:t>
      </w:r>
      <w:r w:rsidR="00381089" w:rsidRPr="00802E6C">
        <w:t>forcibly open</w:t>
      </w:r>
      <w:r w:rsidR="001A0099" w:rsidRPr="00802E6C">
        <w:t>ing</w:t>
      </w:r>
      <w:r w:rsidR="00381089" w:rsidRPr="00802E6C">
        <w:t xml:space="preserve"> the door to the cabin </w:t>
      </w:r>
      <w:r w:rsidR="001A0099" w:rsidRPr="00802E6C">
        <w:t xml:space="preserve">which </w:t>
      </w:r>
      <w:r w:rsidR="0080362A" w:rsidRPr="00802E6C">
        <w:t>the family</w:t>
      </w:r>
      <w:r w:rsidR="001A0099" w:rsidRPr="00802E6C">
        <w:t xml:space="preserve"> used as their </w:t>
      </w:r>
      <w:r w:rsidR="00381089" w:rsidRPr="00802E6C">
        <w:t>house</w:t>
      </w:r>
      <w:r w:rsidR="001A0099" w:rsidRPr="00802E6C">
        <w:t xml:space="preserve">. The occupants were all asleep. </w:t>
      </w:r>
      <w:r w:rsidR="00381089" w:rsidRPr="00802E6C">
        <w:t xml:space="preserve"> </w:t>
      </w:r>
      <w:r w:rsidR="001A0099" w:rsidRPr="00802E6C">
        <w:t xml:space="preserve">The ages of the couple’s </w:t>
      </w:r>
      <w:r w:rsidR="005241C1" w:rsidRPr="00802E6C">
        <w:t>six</w:t>
      </w:r>
      <w:r w:rsidR="00381089" w:rsidRPr="00802E6C">
        <w:t xml:space="preserve"> children </w:t>
      </w:r>
      <w:r w:rsidR="00541A55" w:rsidRPr="00802E6C">
        <w:t>ranged from</w:t>
      </w:r>
      <w:r w:rsidR="00381089" w:rsidRPr="00802E6C">
        <w:t xml:space="preserve"> two</w:t>
      </w:r>
      <w:r w:rsidR="005241C1" w:rsidRPr="00802E6C">
        <w:t xml:space="preserve"> and half</w:t>
      </w:r>
      <w:r w:rsidR="00381089" w:rsidRPr="00802E6C">
        <w:t xml:space="preserve"> years </w:t>
      </w:r>
      <w:r w:rsidR="00541A55" w:rsidRPr="00802E6C">
        <w:t>to</w:t>
      </w:r>
      <w:r w:rsidR="00381089" w:rsidRPr="00802E6C">
        <w:t xml:space="preserve"> nine years.</w:t>
      </w:r>
      <w:r w:rsidR="00782088" w:rsidRPr="00802E6C">
        <w:t xml:space="preserve"> </w:t>
      </w:r>
      <w:r w:rsidR="000836C7" w:rsidRPr="00802E6C">
        <w:t>The accused persons and the</w:t>
      </w:r>
      <w:r w:rsidR="001A0099" w:rsidRPr="00802E6C">
        <w:t>ir marauding</w:t>
      </w:r>
      <w:r w:rsidR="000836C7" w:rsidRPr="00802E6C">
        <w:t xml:space="preserve"> accomplices demanded cash from the complainant and her husband. </w:t>
      </w:r>
      <w:r w:rsidR="00541A55" w:rsidRPr="00802E6C">
        <w:t>In order to induce submission</w:t>
      </w:r>
      <w:r w:rsidR="000836C7" w:rsidRPr="00802E6C">
        <w:t>, they assaulted th</w:t>
      </w:r>
      <w:r w:rsidR="001A0099" w:rsidRPr="00802E6C">
        <w:t>e</w:t>
      </w:r>
      <w:r w:rsidR="000836C7" w:rsidRPr="00802E6C">
        <w:t xml:space="preserve"> husband. Whilst </w:t>
      </w:r>
      <w:r w:rsidR="001A0099" w:rsidRPr="00802E6C">
        <w:t xml:space="preserve">the </w:t>
      </w:r>
      <w:r w:rsidR="000836C7" w:rsidRPr="00802E6C">
        <w:t xml:space="preserve">others </w:t>
      </w:r>
      <w:r w:rsidR="001A0099" w:rsidRPr="00802E6C">
        <w:t>used</w:t>
      </w:r>
      <w:r w:rsidR="000836C7" w:rsidRPr="00802E6C">
        <w:t xml:space="preserve"> open hands to assault the complainant’s husband, the first accused wield</w:t>
      </w:r>
      <w:r w:rsidR="0080362A" w:rsidRPr="00802E6C">
        <w:t>ed</w:t>
      </w:r>
      <w:r w:rsidR="000836C7" w:rsidRPr="00802E6C">
        <w:t xml:space="preserve"> an axe</w:t>
      </w:r>
      <w:r w:rsidR="001A0099" w:rsidRPr="00802E6C">
        <w:t xml:space="preserve"> with which he</w:t>
      </w:r>
      <w:r w:rsidR="000836C7" w:rsidRPr="00802E6C">
        <w:t xml:space="preserve"> </w:t>
      </w:r>
      <w:r w:rsidR="008D1993" w:rsidRPr="00802E6C">
        <w:t xml:space="preserve">attempted to </w:t>
      </w:r>
      <w:r w:rsidR="000836C7" w:rsidRPr="00802E6C">
        <w:t>str</w:t>
      </w:r>
      <w:r w:rsidR="008D1993" w:rsidRPr="00802E6C">
        <w:t>i</w:t>
      </w:r>
      <w:r w:rsidR="000836C7" w:rsidRPr="00802E6C">
        <w:t>k</w:t>
      </w:r>
      <w:r w:rsidR="008D1993" w:rsidRPr="00802E6C">
        <w:t>e</w:t>
      </w:r>
      <w:r w:rsidR="000836C7" w:rsidRPr="00802E6C">
        <w:t xml:space="preserve"> him</w:t>
      </w:r>
      <w:r w:rsidR="00541A55" w:rsidRPr="00802E6C">
        <w:t>. At that point, t</w:t>
      </w:r>
      <w:r w:rsidR="005019D1" w:rsidRPr="00802E6C">
        <w:t>he complainant’s husband</w:t>
      </w:r>
      <w:r w:rsidR="001A0099" w:rsidRPr="00802E6C">
        <w:t xml:space="preserve"> in an act of shameless and unmitigated cowardice bolted</w:t>
      </w:r>
      <w:r w:rsidR="000836C7" w:rsidRPr="00802E6C">
        <w:t xml:space="preserve"> </w:t>
      </w:r>
      <w:r w:rsidR="00541A55" w:rsidRPr="00802E6C">
        <w:t>out of the</w:t>
      </w:r>
      <w:r w:rsidR="000836C7" w:rsidRPr="00802E6C">
        <w:t xml:space="preserve"> </w:t>
      </w:r>
      <w:r w:rsidR="008D1993" w:rsidRPr="00802E6C">
        <w:t>house</w:t>
      </w:r>
      <w:r w:rsidR="0080362A" w:rsidRPr="00802E6C">
        <w:t xml:space="preserve"> leaving his family at the mercy of the thugs</w:t>
      </w:r>
      <w:r w:rsidR="000836C7" w:rsidRPr="00802E6C">
        <w:t xml:space="preserve">. </w:t>
      </w:r>
      <w:r w:rsidR="001A0099" w:rsidRPr="00802E6C">
        <w:t>He fled into a</w:t>
      </w:r>
      <w:r w:rsidR="00BC2326" w:rsidRPr="00802E6C">
        <w:t xml:space="preserve"> nearby</w:t>
      </w:r>
      <w:r w:rsidR="001A0099" w:rsidRPr="00802E6C">
        <w:t xml:space="preserve"> mountain where he hid for hours on end. In his own testimony he said he only returned after </w:t>
      </w:r>
      <w:r w:rsidR="001A0099" w:rsidRPr="00802E6C">
        <w:lastRenderedPageBreak/>
        <w:t xml:space="preserve">more than four hours. </w:t>
      </w:r>
      <w:r w:rsidR="00BC2326" w:rsidRPr="00802E6C">
        <w:t>Meanwhile, in the house</w:t>
      </w:r>
      <w:r w:rsidR="0080362A" w:rsidRPr="00802E6C">
        <w:t>,</w:t>
      </w:r>
      <w:r w:rsidR="00BC2326" w:rsidRPr="00802E6C">
        <w:t xml:space="preserve"> the robbers assaulted t</w:t>
      </w:r>
      <w:r w:rsidR="000836C7" w:rsidRPr="00802E6C">
        <w:t>he complainant</w:t>
      </w:r>
      <w:r w:rsidR="00BC2326" w:rsidRPr="00802E6C">
        <w:t xml:space="preserve">. She was forced to also flee the house. </w:t>
      </w:r>
      <w:r w:rsidR="000836C7" w:rsidRPr="00802E6C">
        <w:t xml:space="preserve"> </w:t>
      </w:r>
      <w:r w:rsidR="004D7C39" w:rsidRPr="00802E6C">
        <w:t>She</w:t>
      </w:r>
      <w:r w:rsidR="000836C7" w:rsidRPr="00802E6C">
        <w:t xml:space="preserve"> </w:t>
      </w:r>
      <w:r w:rsidR="00AD6EA6" w:rsidRPr="00802E6C">
        <w:t xml:space="preserve">vainly </w:t>
      </w:r>
      <w:r w:rsidR="00541A55" w:rsidRPr="00802E6C">
        <w:t>sought</w:t>
      </w:r>
      <w:r w:rsidR="000836C7" w:rsidRPr="00802E6C">
        <w:t xml:space="preserve"> help from a neighbour</w:t>
      </w:r>
      <w:r w:rsidR="00745BE9" w:rsidRPr="00802E6C">
        <w:t xml:space="preserve">. She </w:t>
      </w:r>
      <w:r w:rsidR="008D1993" w:rsidRPr="00802E6C">
        <w:t>was worried about the safety of</w:t>
      </w:r>
      <w:r w:rsidR="00745BE9" w:rsidRPr="00802E6C">
        <w:t xml:space="preserve"> her children. </w:t>
      </w:r>
      <w:r w:rsidR="008D1993" w:rsidRPr="00802E6C">
        <w:t xml:space="preserve">She </w:t>
      </w:r>
      <w:r w:rsidR="00BC2326" w:rsidRPr="00802E6C">
        <w:t>rushed</w:t>
      </w:r>
      <w:r w:rsidR="008D1993" w:rsidRPr="00802E6C">
        <w:t xml:space="preserve"> to the house of a</w:t>
      </w:r>
      <w:r w:rsidR="00102CE9" w:rsidRPr="00802E6C">
        <w:t xml:space="preserve"> member of the neighbourhood watch committee to whom she narrated her ordeal. </w:t>
      </w:r>
      <w:r w:rsidR="008D1993" w:rsidRPr="00802E6C">
        <w:t>Unfortunately, th</w:t>
      </w:r>
      <w:r w:rsidR="00BC2326" w:rsidRPr="00802E6C">
        <w:t>e</w:t>
      </w:r>
      <w:r w:rsidR="008D1993" w:rsidRPr="00802E6C">
        <w:t xml:space="preserve"> member was </w:t>
      </w:r>
      <w:r w:rsidR="00BC2326" w:rsidRPr="00802E6C">
        <w:t>preoccupied</w:t>
      </w:r>
      <w:r w:rsidR="008D1993" w:rsidRPr="00802E6C">
        <w:t xml:space="preserve"> with another matter that had just been reported to him and his colleagues. </w:t>
      </w:r>
      <w:r w:rsidR="00BC2326" w:rsidRPr="00802E6C">
        <w:t xml:space="preserve">It involved a boy who was </w:t>
      </w:r>
      <w:r w:rsidR="008D1993" w:rsidRPr="00802E6C">
        <w:t>suspected of being a thief</w:t>
      </w:r>
      <w:r w:rsidR="00BC2326" w:rsidRPr="00802E6C">
        <w:t xml:space="preserve">. </w:t>
      </w:r>
      <w:r w:rsidR="00393EA5" w:rsidRPr="00802E6C">
        <w:t>He had</w:t>
      </w:r>
      <w:r w:rsidR="008D1993" w:rsidRPr="00802E6C">
        <w:t xml:space="preserve"> been apprehended by members of the public. </w:t>
      </w:r>
      <w:r w:rsidR="005910D9" w:rsidRPr="00802E6C">
        <w:t>To compound her woes</w:t>
      </w:r>
      <w:r w:rsidR="00393EA5" w:rsidRPr="00802E6C">
        <w:t xml:space="preserve"> and in a move which turned tragic, </w:t>
      </w:r>
      <w:r w:rsidR="005910D9" w:rsidRPr="00802E6C">
        <w:t xml:space="preserve">the </w:t>
      </w:r>
      <w:r w:rsidR="00393EA5" w:rsidRPr="00802E6C">
        <w:t>neighbourhood</w:t>
      </w:r>
      <w:r w:rsidR="005910D9" w:rsidRPr="00802E6C">
        <w:t xml:space="preserve"> watch committee member </w:t>
      </w:r>
      <w:r w:rsidR="00102CE9" w:rsidRPr="00802E6C">
        <w:t>advised</w:t>
      </w:r>
      <w:r w:rsidR="008D1993" w:rsidRPr="00802E6C">
        <w:t xml:space="preserve"> the complainant</w:t>
      </w:r>
      <w:r w:rsidR="00102CE9" w:rsidRPr="00802E6C">
        <w:t xml:space="preserve"> to go </w:t>
      </w:r>
      <w:r w:rsidR="00393EA5" w:rsidRPr="00802E6C">
        <w:t xml:space="preserve">back to her </w:t>
      </w:r>
      <w:r w:rsidR="00102CE9" w:rsidRPr="00802E6C">
        <w:t xml:space="preserve">home </w:t>
      </w:r>
      <w:r w:rsidR="00393EA5" w:rsidRPr="00802E6C">
        <w:t xml:space="preserve">with promises that they would attend at her place soon after dealing with the suspected thief. </w:t>
      </w:r>
    </w:p>
    <w:p w14:paraId="04B51A6A" w14:textId="56BBB269" w:rsidR="009A115D" w:rsidRPr="00802E6C" w:rsidRDefault="005019D1" w:rsidP="009A4BDB">
      <w:pPr>
        <w:ind w:left="0" w:firstLine="720"/>
      </w:pPr>
      <w:r w:rsidRPr="00802E6C">
        <w:t xml:space="preserve">The complainant </w:t>
      </w:r>
      <w:r w:rsidR="00393EA5" w:rsidRPr="00802E6C">
        <w:t>complied</w:t>
      </w:r>
      <w:r w:rsidRPr="00802E6C">
        <w:t xml:space="preserve">. </w:t>
      </w:r>
      <w:r w:rsidR="001749A6" w:rsidRPr="00802E6C">
        <w:t xml:space="preserve">When </w:t>
      </w:r>
      <w:r w:rsidRPr="00802E6C">
        <w:t>she</w:t>
      </w:r>
      <w:r w:rsidR="001749A6" w:rsidRPr="00802E6C">
        <w:t xml:space="preserve"> arrived home</w:t>
      </w:r>
      <w:r w:rsidR="00AD6EA6" w:rsidRPr="00802E6C">
        <w:t xml:space="preserve"> </w:t>
      </w:r>
      <w:r w:rsidR="00745BE9" w:rsidRPr="00802E6C">
        <w:t xml:space="preserve">the intruders </w:t>
      </w:r>
      <w:r w:rsidR="00AD6EA6" w:rsidRPr="00802E6C">
        <w:t>had</w:t>
      </w:r>
      <w:r w:rsidR="00745BE9" w:rsidRPr="00802E6C">
        <w:t xml:space="preserve"> left</w:t>
      </w:r>
      <w:r w:rsidR="00AD6EA6" w:rsidRPr="00802E6C">
        <w:t xml:space="preserve"> but a</w:t>
      </w:r>
      <w:r w:rsidR="00745BE9" w:rsidRPr="00802E6C">
        <w:t xml:space="preserve">s soon as she entered the house, </w:t>
      </w:r>
      <w:r w:rsidR="008D1993" w:rsidRPr="00802E6C">
        <w:t xml:space="preserve">three of </w:t>
      </w:r>
      <w:r w:rsidR="00745BE9" w:rsidRPr="00802E6C">
        <w:t>the</w:t>
      </w:r>
      <w:r w:rsidR="00393EA5" w:rsidRPr="00802E6C">
        <w:t>m</w:t>
      </w:r>
      <w:r w:rsidR="00745BE9" w:rsidRPr="00802E6C">
        <w:t xml:space="preserve"> </w:t>
      </w:r>
      <w:r w:rsidR="00AD6EA6" w:rsidRPr="00802E6C">
        <w:t>returned</w:t>
      </w:r>
      <w:r w:rsidR="00745BE9" w:rsidRPr="00802E6C">
        <w:t xml:space="preserve">. </w:t>
      </w:r>
      <w:r w:rsidR="008D1993" w:rsidRPr="00802E6C">
        <w:t>The</w:t>
      </w:r>
      <w:r w:rsidR="00393EA5" w:rsidRPr="00802E6C">
        <w:t>y</w:t>
      </w:r>
      <w:r w:rsidR="008D1993" w:rsidRPr="00802E6C">
        <w:t xml:space="preserve"> were the first accused</w:t>
      </w:r>
      <w:r w:rsidR="00E958FE" w:rsidRPr="00802E6C">
        <w:t xml:space="preserve">, Eddy NFPK and another who was not known to the complainant and her children. The second accused was not with them. </w:t>
      </w:r>
      <w:r w:rsidR="00CD5ADD" w:rsidRPr="00802E6C">
        <w:t xml:space="preserve">What followed was heart-rending. </w:t>
      </w:r>
      <w:r w:rsidR="00C54F66" w:rsidRPr="00802E6C">
        <w:t>The three</w:t>
      </w:r>
      <w:r w:rsidR="00CD5ADD" w:rsidRPr="00802E6C">
        <w:t xml:space="preserve"> robbers not only all raped her but did so in barbaric fashion.  In her testimony,</w:t>
      </w:r>
      <w:r w:rsidR="00C54F66" w:rsidRPr="00802E6C">
        <w:t xml:space="preserve"> the complainant</w:t>
      </w:r>
      <w:r w:rsidR="00CD5ADD" w:rsidRPr="00802E6C">
        <w:t xml:space="preserve"> narrated</w:t>
      </w:r>
      <w:r w:rsidR="00C54F66" w:rsidRPr="00802E6C">
        <w:t xml:space="preserve"> that t</w:t>
      </w:r>
      <w:r w:rsidR="00745BE9" w:rsidRPr="00802E6C">
        <w:t>he first accused ordered her to take off all her clothes</w:t>
      </w:r>
      <w:r w:rsidR="00CD5ADD" w:rsidRPr="00802E6C">
        <w:t>. S</w:t>
      </w:r>
      <w:r w:rsidR="00745BE9" w:rsidRPr="00802E6C">
        <w:t xml:space="preserve">he complied. </w:t>
      </w:r>
      <w:r w:rsidR="00CD5ADD" w:rsidRPr="00802E6C">
        <w:t xml:space="preserve">She said he had brought with him condoms which he </w:t>
      </w:r>
      <w:r w:rsidR="00E958FE" w:rsidRPr="00802E6C">
        <w:t>distributed to his colleague</w:t>
      </w:r>
      <w:r w:rsidR="00CD5ADD" w:rsidRPr="00802E6C">
        <w:t>s. He warned them</w:t>
      </w:r>
      <w:r w:rsidR="00E958FE" w:rsidRPr="00802E6C">
        <w:t xml:space="preserve"> to prepare </w:t>
      </w:r>
      <w:r w:rsidR="00AD6EA6" w:rsidRPr="00802E6C">
        <w:t>for</w:t>
      </w:r>
      <w:r w:rsidR="00E958FE" w:rsidRPr="00802E6C">
        <w:t xml:space="preserve"> sexual intercourse with </w:t>
      </w:r>
      <w:r w:rsidR="00C54F66" w:rsidRPr="00802E6C">
        <w:t>her.</w:t>
      </w:r>
      <w:r w:rsidR="00E958FE" w:rsidRPr="00802E6C">
        <w:t xml:space="preserve"> He then </w:t>
      </w:r>
      <w:r w:rsidR="00745BE9" w:rsidRPr="00802E6C">
        <w:t>lowered his trousers</w:t>
      </w:r>
      <w:r w:rsidR="00CD5ADD" w:rsidRPr="00802E6C">
        <w:t>, put on the condom</w:t>
      </w:r>
      <w:r w:rsidR="00745BE9" w:rsidRPr="00802E6C">
        <w:t xml:space="preserve"> and had sexual intercourse with her in full view of</w:t>
      </w:r>
      <w:r w:rsidR="00E958FE" w:rsidRPr="00802E6C">
        <w:t xml:space="preserve"> his two colleagues and </w:t>
      </w:r>
      <w:r w:rsidR="00AD6EA6" w:rsidRPr="00802E6C">
        <w:t xml:space="preserve">the </w:t>
      </w:r>
      <w:r w:rsidR="0066648F" w:rsidRPr="00802E6C">
        <w:t>glare of all the</w:t>
      </w:r>
      <w:r w:rsidR="00E958FE" w:rsidRPr="00802E6C">
        <w:t xml:space="preserve"> </w:t>
      </w:r>
      <w:r w:rsidR="00745BE9" w:rsidRPr="00802E6C">
        <w:t xml:space="preserve">children. As the first accused was raping </w:t>
      </w:r>
      <w:r w:rsidR="00C54F66" w:rsidRPr="00802E6C">
        <w:t>her,</w:t>
      </w:r>
      <w:r w:rsidR="00745BE9" w:rsidRPr="00802E6C">
        <w:t xml:space="preserve"> </w:t>
      </w:r>
      <w:r w:rsidR="00E958FE" w:rsidRPr="00802E6C">
        <w:t xml:space="preserve">one of his colleagues was </w:t>
      </w:r>
      <w:r w:rsidR="00BC76E2" w:rsidRPr="00802E6C">
        <w:t>holding a torch</w:t>
      </w:r>
      <w:r w:rsidR="00E958FE" w:rsidRPr="00802E6C">
        <w:t xml:space="preserve"> illuminating the scene</w:t>
      </w:r>
      <w:r w:rsidR="00BC76E2" w:rsidRPr="00802E6C">
        <w:t xml:space="preserve">. </w:t>
      </w:r>
      <w:r w:rsidR="00102CE9" w:rsidRPr="00802E6C">
        <w:t xml:space="preserve">When the first accused was done raping </w:t>
      </w:r>
      <w:r w:rsidR="00AD6EA6" w:rsidRPr="00802E6C">
        <w:t>the complainant</w:t>
      </w:r>
      <w:r w:rsidR="00102CE9" w:rsidRPr="00802E6C">
        <w:t xml:space="preserve">, </w:t>
      </w:r>
      <w:r w:rsidR="00114621" w:rsidRPr="00802E6C">
        <w:t xml:space="preserve">he ordered Eddy NFPK to take his turn to rape </w:t>
      </w:r>
      <w:r w:rsidR="00C54F66" w:rsidRPr="00802E6C">
        <w:t>her</w:t>
      </w:r>
      <w:r w:rsidR="0080362A" w:rsidRPr="00802E6C">
        <w:t>. Eddy gleefully took his turn. Once again, the hideous act was perpetrated in</w:t>
      </w:r>
      <w:r w:rsidR="00102CE9" w:rsidRPr="00802E6C">
        <w:t xml:space="preserve"> full view of the children and the other accomplices.</w:t>
      </w:r>
      <w:r w:rsidR="001749A6" w:rsidRPr="00802E6C">
        <w:t xml:space="preserve"> </w:t>
      </w:r>
      <w:r w:rsidR="00102CE9" w:rsidRPr="00802E6C">
        <w:t xml:space="preserve"> </w:t>
      </w:r>
      <w:r w:rsidR="001749A6" w:rsidRPr="00802E6C">
        <w:t>After Eddy NF</w:t>
      </w:r>
      <w:r w:rsidR="004D7C39" w:rsidRPr="00802E6C">
        <w:t>P</w:t>
      </w:r>
      <w:r w:rsidR="001749A6" w:rsidRPr="00802E6C">
        <w:t>K was done</w:t>
      </w:r>
      <w:r w:rsidRPr="00802E6C">
        <w:t>,</w:t>
      </w:r>
      <w:r w:rsidR="001749A6" w:rsidRPr="00802E6C">
        <w:t xml:space="preserve"> the </w:t>
      </w:r>
      <w:r w:rsidR="00952964" w:rsidRPr="00802E6C">
        <w:t xml:space="preserve">unknown </w:t>
      </w:r>
      <w:r w:rsidR="00C54F66" w:rsidRPr="00802E6C">
        <w:t xml:space="preserve">accomplice also took his turn to rape her. </w:t>
      </w:r>
      <w:r w:rsidR="00464BA5" w:rsidRPr="00802E6C">
        <w:t>Needless to state,</w:t>
      </w:r>
      <w:r w:rsidR="00C3004D" w:rsidRPr="00802E6C">
        <w:t xml:space="preserve"> the </w:t>
      </w:r>
      <w:r w:rsidR="00464BA5" w:rsidRPr="00802E6C">
        <w:t>unconscionable</w:t>
      </w:r>
      <w:r w:rsidR="00C3004D" w:rsidRPr="00802E6C">
        <w:t xml:space="preserve"> act was </w:t>
      </w:r>
      <w:r w:rsidR="00464BA5" w:rsidRPr="00802E6C">
        <w:t xml:space="preserve">again </w:t>
      </w:r>
      <w:r w:rsidR="00C3004D" w:rsidRPr="00802E6C">
        <w:t xml:space="preserve">spectated by the children. </w:t>
      </w:r>
      <w:r w:rsidR="00C54F66" w:rsidRPr="00802E6C">
        <w:t>All in all, the</w:t>
      </w:r>
      <w:r w:rsidR="00952964" w:rsidRPr="00802E6C">
        <w:t xml:space="preserve"> complainant </w:t>
      </w:r>
      <w:r w:rsidR="00464BA5" w:rsidRPr="00802E6C">
        <w:t xml:space="preserve">was raped </w:t>
      </w:r>
      <w:r w:rsidR="00C54F66" w:rsidRPr="00802E6C">
        <w:t xml:space="preserve">seven times as they took turns. </w:t>
      </w:r>
      <w:r w:rsidR="00464BA5" w:rsidRPr="00802E6C">
        <w:t>During the various rape episodes, none</w:t>
      </w:r>
      <w:r w:rsidR="00C54F66" w:rsidRPr="00802E6C">
        <w:t xml:space="preserve"> of the</w:t>
      </w:r>
      <w:r w:rsidR="00464BA5" w:rsidRPr="00802E6C">
        <w:t xml:space="preserve"> rapists </w:t>
      </w:r>
      <w:r w:rsidR="00C54F66" w:rsidRPr="00802E6C">
        <w:t xml:space="preserve">would finish </w:t>
      </w:r>
      <w:r w:rsidR="00952964" w:rsidRPr="00802E6C">
        <w:t>the sexual act</w:t>
      </w:r>
      <w:r w:rsidR="00464BA5" w:rsidRPr="00802E6C">
        <w:t xml:space="preserve">. They interrupted each other now and again with the two spectator accomplices </w:t>
      </w:r>
      <w:r w:rsidR="008372AE" w:rsidRPr="00802E6C">
        <w:t>ordering the</w:t>
      </w:r>
      <w:r w:rsidR="00464BA5" w:rsidRPr="00802E6C">
        <w:t xml:space="preserve"> one in the act to </w:t>
      </w:r>
      <w:r w:rsidR="008372AE" w:rsidRPr="00802E6C">
        <w:t>dismount to afford them opportunity to also pleasure themselves</w:t>
      </w:r>
      <w:r w:rsidR="00952964" w:rsidRPr="00802E6C">
        <w:t xml:space="preserve">. </w:t>
      </w:r>
      <w:r w:rsidR="008372AE" w:rsidRPr="00802E6C">
        <w:t>Things then turned w</w:t>
      </w:r>
      <w:r w:rsidR="00186CC0" w:rsidRPr="00802E6C">
        <w:t xml:space="preserve">hen the </w:t>
      </w:r>
      <w:r w:rsidR="001749A6" w:rsidRPr="00802E6C">
        <w:t>first accused</w:t>
      </w:r>
      <w:r w:rsidR="00186CC0" w:rsidRPr="00802E6C">
        <w:t xml:space="preserve"> had just </w:t>
      </w:r>
      <w:r w:rsidR="00952964" w:rsidRPr="00802E6C">
        <w:t xml:space="preserve">mounted </w:t>
      </w:r>
      <w:r w:rsidR="008372AE" w:rsidRPr="00802E6C">
        <w:t>the complainant</w:t>
      </w:r>
      <w:r w:rsidR="00186CC0" w:rsidRPr="00802E6C">
        <w:t xml:space="preserve"> and was</w:t>
      </w:r>
      <w:r w:rsidR="008372AE" w:rsidRPr="00802E6C">
        <w:t xml:space="preserve"> </w:t>
      </w:r>
      <w:r w:rsidR="00186CC0" w:rsidRPr="00802E6C">
        <w:t xml:space="preserve">raping her for </w:t>
      </w:r>
      <w:r w:rsidR="008372AE" w:rsidRPr="00802E6C">
        <w:t>his</w:t>
      </w:r>
      <w:r w:rsidR="00186CC0" w:rsidRPr="00802E6C">
        <w:t xml:space="preserve"> third time</w:t>
      </w:r>
      <w:r w:rsidR="00BF3492" w:rsidRPr="00802E6C">
        <w:t>.</w:t>
      </w:r>
      <w:r w:rsidR="001749A6" w:rsidRPr="00802E6C">
        <w:t xml:space="preserve"> </w:t>
      </w:r>
      <w:r w:rsidR="00BF3492" w:rsidRPr="00802E6C">
        <w:t>T</w:t>
      </w:r>
      <w:r w:rsidR="00CD2678" w:rsidRPr="00802E6C">
        <w:t xml:space="preserve">wo </w:t>
      </w:r>
      <w:r w:rsidR="001749A6" w:rsidRPr="00802E6C">
        <w:t>members of the neighbourhood watch committee</w:t>
      </w:r>
      <w:r w:rsidR="00952964" w:rsidRPr="00802E6C">
        <w:t xml:space="preserve"> who had promised to</w:t>
      </w:r>
      <w:r w:rsidR="008372AE" w:rsidRPr="00802E6C">
        <w:t xml:space="preserve"> </w:t>
      </w:r>
      <w:r w:rsidR="00952964" w:rsidRPr="00802E6C">
        <w:t xml:space="preserve">attend </w:t>
      </w:r>
      <w:r w:rsidR="00BF3492" w:rsidRPr="00802E6C">
        <w:t>at</w:t>
      </w:r>
      <w:r w:rsidR="00952964" w:rsidRPr="00802E6C">
        <w:t xml:space="preserve"> the complainant</w:t>
      </w:r>
      <w:r w:rsidR="00BF3492" w:rsidRPr="00802E6C">
        <w:t>’s place</w:t>
      </w:r>
      <w:r w:rsidR="001749A6" w:rsidRPr="00802E6C">
        <w:t xml:space="preserve"> arrived</w:t>
      </w:r>
      <w:r w:rsidR="00186CC0" w:rsidRPr="00802E6C">
        <w:t>.</w:t>
      </w:r>
      <w:r w:rsidR="001749A6" w:rsidRPr="00802E6C">
        <w:t xml:space="preserve"> </w:t>
      </w:r>
      <w:r w:rsidR="00186CC0" w:rsidRPr="00802E6C">
        <w:t>T</w:t>
      </w:r>
      <w:r w:rsidR="001749A6" w:rsidRPr="00802E6C">
        <w:t xml:space="preserve">he </w:t>
      </w:r>
      <w:r w:rsidR="00B82120" w:rsidRPr="00802E6C">
        <w:t xml:space="preserve">first </w:t>
      </w:r>
      <w:r w:rsidR="001749A6" w:rsidRPr="00802E6C">
        <w:t xml:space="preserve">accused and </w:t>
      </w:r>
      <w:r w:rsidR="00B82120" w:rsidRPr="00802E6C">
        <w:t xml:space="preserve">his </w:t>
      </w:r>
      <w:r w:rsidR="001749A6" w:rsidRPr="00802E6C">
        <w:t>accomplice</w:t>
      </w:r>
      <w:r w:rsidR="00B82120" w:rsidRPr="00802E6C">
        <w:t>s</w:t>
      </w:r>
      <w:r w:rsidR="001749A6" w:rsidRPr="00802E6C">
        <w:t xml:space="preserve"> fled from the scene</w:t>
      </w:r>
      <w:r w:rsidR="00186CC0" w:rsidRPr="00802E6C">
        <w:t xml:space="preserve"> </w:t>
      </w:r>
      <w:r w:rsidR="00952964" w:rsidRPr="00802E6C">
        <w:t>upon hearing the</w:t>
      </w:r>
      <w:r w:rsidR="00186CC0" w:rsidRPr="00802E6C">
        <w:t xml:space="preserve"> voices</w:t>
      </w:r>
      <w:r w:rsidR="00EB60D7" w:rsidRPr="00802E6C">
        <w:t xml:space="preserve"> of members of the neighbourhood watch committee</w:t>
      </w:r>
      <w:r w:rsidR="009A115D" w:rsidRPr="00802E6C">
        <w:t xml:space="preserve">. </w:t>
      </w:r>
      <w:r w:rsidR="00186CC0" w:rsidRPr="00802E6C">
        <w:t xml:space="preserve">The complainant who only knew the second accused’s place of residence led the </w:t>
      </w:r>
      <w:r w:rsidR="00CD2678" w:rsidRPr="00802E6C">
        <w:t xml:space="preserve">members of the neighbourhood watch </w:t>
      </w:r>
      <w:r w:rsidR="00186CC0" w:rsidRPr="00802E6C">
        <w:t xml:space="preserve">committee to </w:t>
      </w:r>
      <w:r w:rsidR="00BF3492" w:rsidRPr="00802E6C">
        <w:t>that place</w:t>
      </w:r>
      <w:r w:rsidR="00186CC0" w:rsidRPr="00802E6C">
        <w:t>. When the second accused was arrested</w:t>
      </w:r>
      <w:r w:rsidR="009A115D" w:rsidRPr="00802E6C">
        <w:t>,</w:t>
      </w:r>
      <w:r w:rsidR="00186CC0" w:rsidRPr="00802E6C">
        <w:t xml:space="preserve"> </w:t>
      </w:r>
      <w:r w:rsidR="00BF3492" w:rsidRPr="00802E6C">
        <w:t>he in turn</w:t>
      </w:r>
      <w:r w:rsidR="00186CC0" w:rsidRPr="00802E6C">
        <w:t xml:space="preserve"> led to the arrest of </w:t>
      </w:r>
      <w:r w:rsidR="00CD2678" w:rsidRPr="00802E6C">
        <w:t xml:space="preserve">the first </w:t>
      </w:r>
      <w:r w:rsidR="00602CB4" w:rsidRPr="00802E6C">
        <w:t>accused</w:t>
      </w:r>
      <w:r w:rsidR="009A115D" w:rsidRPr="00802E6C">
        <w:t xml:space="preserve">. </w:t>
      </w:r>
      <w:r w:rsidR="00602CB4" w:rsidRPr="00802E6C">
        <w:t xml:space="preserve"> </w:t>
      </w:r>
    </w:p>
    <w:p w14:paraId="37EA67A2" w14:textId="23FCF729" w:rsidR="00864E0D" w:rsidRDefault="009A115D" w:rsidP="004D43EE">
      <w:pPr>
        <w:spacing w:after="0"/>
        <w:ind w:left="0" w:firstLine="720"/>
      </w:pPr>
      <w:r>
        <w:lastRenderedPageBreak/>
        <w:t xml:space="preserve">It was the evidence </w:t>
      </w:r>
      <w:r w:rsidR="004D7C39">
        <w:t>of the complainant and her husban</w:t>
      </w:r>
      <w:r w:rsidR="002D7A17">
        <w:t xml:space="preserve">d </w:t>
      </w:r>
      <w:r>
        <w:t xml:space="preserve">that </w:t>
      </w:r>
      <w:r w:rsidR="00EB60D7">
        <w:t>after the whole ordeal</w:t>
      </w:r>
      <w:r w:rsidR="00B82120">
        <w:t>,</w:t>
      </w:r>
      <w:r w:rsidR="00EB60D7">
        <w:t xml:space="preserve"> </w:t>
      </w:r>
      <w:r>
        <w:t>they discovered that the accused persons and their accomplices had stolen from the</w:t>
      </w:r>
      <w:r w:rsidR="00EB60D7">
        <w:t>ir</w:t>
      </w:r>
      <w:r>
        <w:t xml:space="preserve"> house, </w:t>
      </w:r>
      <w:r w:rsidRPr="009A115D">
        <w:t>two cell phones</w:t>
      </w:r>
      <w:r w:rsidR="00316797">
        <w:t xml:space="preserve"> namely</w:t>
      </w:r>
      <w:r w:rsidRPr="009A115D">
        <w:t xml:space="preserve"> a </w:t>
      </w:r>
      <w:r w:rsidRPr="00316797">
        <w:rPr>
          <w:i/>
          <w:iCs/>
        </w:rPr>
        <w:t>Huawei Honour</w:t>
      </w:r>
      <w:r w:rsidRPr="009A115D">
        <w:t xml:space="preserve"> and an </w:t>
      </w:r>
      <w:proofErr w:type="spellStart"/>
      <w:r w:rsidRPr="00316797">
        <w:rPr>
          <w:i/>
          <w:iCs/>
        </w:rPr>
        <w:t>Itel</w:t>
      </w:r>
      <w:proofErr w:type="spellEnd"/>
      <w:r w:rsidRPr="00316797">
        <w:rPr>
          <w:i/>
          <w:iCs/>
        </w:rPr>
        <w:t>,</w:t>
      </w:r>
      <w:r>
        <w:t xml:space="preserve"> the complainant’s birth certificate, the complainant’s husband’s birth certificate and national </w:t>
      </w:r>
      <w:r w:rsidR="004D7C39">
        <w:t>identity document</w:t>
      </w:r>
      <w:r w:rsidRPr="009A115D">
        <w:t xml:space="preserve">.  </w:t>
      </w:r>
      <w:r w:rsidR="004D7C39">
        <w:t xml:space="preserve">The </w:t>
      </w:r>
      <w:proofErr w:type="spellStart"/>
      <w:r w:rsidR="00602CB4" w:rsidRPr="00316797">
        <w:rPr>
          <w:i/>
          <w:iCs/>
        </w:rPr>
        <w:t>Itel</w:t>
      </w:r>
      <w:proofErr w:type="spellEnd"/>
      <w:r w:rsidR="00602CB4" w:rsidRPr="00316797">
        <w:rPr>
          <w:i/>
          <w:iCs/>
        </w:rPr>
        <w:t xml:space="preserve"> </w:t>
      </w:r>
      <w:r w:rsidR="00602CB4">
        <w:t>cell phone</w:t>
      </w:r>
      <w:r w:rsidR="004D7C39">
        <w:t xml:space="preserve"> was later recovered at </w:t>
      </w:r>
      <w:r w:rsidR="00602CB4">
        <w:t>Eddy N</w:t>
      </w:r>
      <w:r w:rsidR="004D7C39">
        <w:t>FP</w:t>
      </w:r>
      <w:r w:rsidR="00602CB4">
        <w:t>K</w:t>
      </w:r>
      <w:r w:rsidR="004D7C39">
        <w:t xml:space="preserve">’s place of residence, but </w:t>
      </w:r>
      <w:r w:rsidR="00316797">
        <w:t>he</w:t>
      </w:r>
      <w:r w:rsidR="004D7C39">
        <w:t xml:space="preserve"> </w:t>
      </w:r>
      <w:r w:rsidR="00602CB4">
        <w:t xml:space="preserve">was not located. The value of the </w:t>
      </w:r>
      <w:r w:rsidR="00316797">
        <w:t>stolen cell phones</w:t>
      </w:r>
      <w:r w:rsidR="004D7C39">
        <w:t xml:space="preserve"> </w:t>
      </w:r>
      <w:r w:rsidR="00316797">
        <w:t>was</w:t>
      </w:r>
      <w:r w:rsidR="00602CB4">
        <w:t xml:space="preserve"> USD108.00 and the value of the </w:t>
      </w:r>
      <w:proofErr w:type="spellStart"/>
      <w:r w:rsidR="00602CB4">
        <w:t>Itel</w:t>
      </w:r>
      <w:proofErr w:type="spellEnd"/>
      <w:r w:rsidR="00602CB4">
        <w:t xml:space="preserve"> cell phone that was recovered is USD</w:t>
      </w:r>
      <w:r w:rsidR="00316797">
        <w:t xml:space="preserve"> $</w:t>
      </w:r>
      <w:r w:rsidR="00602CB4">
        <w:t xml:space="preserve">8.00. </w:t>
      </w:r>
      <w:r w:rsidR="002D7A17">
        <w:t xml:space="preserve">The complainant said that the accused persons stole these items at the time both herself and her husband </w:t>
      </w:r>
      <w:r w:rsidR="00EB60D7">
        <w:t xml:space="preserve">had </w:t>
      </w:r>
      <w:r w:rsidR="00AC493D">
        <w:t>r</w:t>
      </w:r>
      <w:r w:rsidR="00EB60D7">
        <w:t>u</w:t>
      </w:r>
      <w:r w:rsidR="00AC493D">
        <w:t xml:space="preserve">n away from their house after they had been assaulted. This explains why the learned regional magistrate convicted both accused persons of robbery and acquitted the second accused person of rape. </w:t>
      </w:r>
      <w:r w:rsidR="00EB60D7">
        <w:t xml:space="preserve">The second accused had been present at the time the items </w:t>
      </w:r>
      <w:r w:rsidR="00E1462C">
        <w:t>were</w:t>
      </w:r>
      <w:r w:rsidR="00EB60D7">
        <w:t xml:space="preserve"> stolen. </w:t>
      </w:r>
      <w:r w:rsidR="00E1462C">
        <w:t xml:space="preserve">However, after </w:t>
      </w:r>
      <w:r w:rsidR="00316797">
        <w:t xml:space="preserve">the robbery and after </w:t>
      </w:r>
      <w:r w:rsidR="00E1462C">
        <w:t xml:space="preserve">leaving the </w:t>
      </w:r>
      <w:r w:rsidR="00316797">
        <w:t>complainant’s residence</w:t>
      </w:r>
      <w:r w:rsidR="00E1462C">
        <w:t>, t</w:t>
      </w:r>
      <w:r w:rsidR="00AC493D">
        <w:t>he second accused</w:t>
      </w:r>
      <w:r w:rsidR="00EB60D7">
        <w:t xml:space="preserve"> </w:t>
      </w:r>
      <w:r w:rsidR="00AC493D">
        <w:t>did not return</w:t>
      </w:r>
      <w:r w:rsidR="00EB60D7">
        <w:t xml:space="preserve"> </w:t>
      </w:r>
      <w:r w:rsidR="00E1462C">
        <w:t>with</w:t>
      </w:r>
      <w:r w:rsidR="00AC493D">
        <w:t xml:space="preserve"> the </w:t>
      </w:r>
      <w:r w:rsidR="001C493E">
        <w:t xml:space="preserve">gang. That fact distanced him from the </w:t>
      </w:r>
      <w:r w:rsidR="00AC493D">
        <w:t>first accused and the other accomplices</w:t>
      </w:r>
      <w:r w:rsidR="001C493E">
        <w:t>’ rape</w:t>
      </w:r>
      <w:r w:rsidR="00AC493D">
        <w:t xml:space="preserve"> </w:t>
      </w:r>
      <w:r w:rsidR="001C493E">
        <w:t xml:space="preserve">of </w:t>
      </w:r>
      <w:r w:rsidR="00AC493D">
        <w:t xml:space="preserve">the complainant. I am satisfied that the convictions of </w:t>
      </w:r>
      <w:r w:rsidR="001C493E">
        <w:t>both</w:t>
      </w:r>
      <w:r w:rsidR="00AC493D">
        <w:t xml:space="preserve"> accused persons </w:t>
      </w:r>
      <w:r w:rsidR="001C493E">
        <w:t xml:space="preserve">of robbery; the conviction of the first accused of rape and the acquittal of the second accused of that charge </w:t>
      </w:r>
      <w:r w:rsidR="00EB60D7">
        <w:t>we</w:t>
      </w:r>
      <w:r w:rsidR="00AC493D">
        <w:t>re proper</w:t>
      </w:r>
      <w:r w:rsidR="001C493E">
        <w:t xml:space="preserve">. </w:t>
      </w:r>
      <w:r w:rsidR="00AC493D">
        <w:t xml:space="preserve"> I hereby confirm the</w:t>
      </w:r>
      <w:r w:rsidR="00027030">
        <w:t>m</w:t>
      </w:r>
      <w:r w:rsidR="001C493E">
        <w:t xml:space="preserve"> as being in accordance with real and substantial justice</w:t>
      </w:r>
      <w:r w:rsidR="00AC493D">
        <w:t xml:space="preserve">. </w:t>
      </w:r>
    </w:p>
    <w:p w14:paraId="46087715" w14:textId="0032E05E" w:rsidR="00C05D99" w:rsidRDefault="00052BC8" w:rsidP="004D43EE">
      <w:pPr>
        <w:spacing w:after="0"/>
        <w:ind w:left="0" w:firstLine="720"/>
      </w:pPr>
      <w:r>
        <w:t xml:space="preserve">What causes disquiet are the sentences that were imposed on the accused persons. </w:t>
      </w:r>
      <w:r w:rsidR="002010AB">
        <w:t xml:space="preserve">For the offence of robbery, the accused persons were each sentenced to 10 years’ imprisonment of which 4 years’ imprisonment was suspended on condition of future good behaviour. Each </w:t>
      </w:r>
      <w:r w:rsidR="00AF08B7">
        <w:t>accuse</w:t>
      </w:r>
      <w:r w:rsidR="00C3004D">
        <w:t>d</w:t>
      </w:r>
      <w:r w:rsidR="00AF08B7">
        <w:t xml:space="preserve"> </w:t>
      </w:r>
      <w:r w:rsidR="002010AB">
        <w:t>was left with an effective 6 years</w:t>
      </w:r>
      <w:r w:rsidR="00AF08B7">
        <w:t>’</w:t>
      </w:r>
      <w:r w:rsidR="002010AB">
        <w:t xml:space="preserve"> imprisonment. For the offence of rape, the first accused person was </w:t>
      </w:r>
      <w:bookmarkStart w:id="2" w:name="_Hlk168238722"/>
      <w:r w:rsidR="002010AB">
        <w:t>sentenced to 20 years’ imprisonment of which 4 years’ imprisonment was suspended on condition of future good behaviour, leaving him with an effective 16 years’ imprisonment</w:t>
      </w:r>
      <w:bookmarkEnd w:id="2"/>
      <w:r w:rsidR="002010AB">
        <w:t>. The sentence in count one was then ordered to run concurrently with the sentence in count two. This means that for the two offences the first accused person is serv</w:t>
      </w:r>
      <w:r w:rsidR="00AF08B7">
        <w:t>ing</w:t>
      </w:r>
      <w:r w:rsidR="002010AB">
        <w:t xml:space="preserve"> an effective 16 years’ imprisonment.  </w:t>
      </w:r>
      <w:r w:rsidR="001C493E">
        <w:t xml:space="preserve">The second accused is serving a mere 6 years’ imprisonment. </w:t>
      </w:r>
      <w:r w:rsidR="00C05D99">
        <w:t>The sentence</w:t>
      </w:r>
      <w:r>
        <w:t>s are</w:t>
      </w:r>
      <w:r w:rsidR="00C05D99">
        <w:t xml:space="preserve"> manifestly lenient so as to induce a sense of shock. </w:t>
      </w:r>
    </w:p>
    <w:p w14:paraId="1C8E7917" w14:textId="142ED08D" w:rsidR="00052BC8" w:rsidRDefault="00052BC8" w:rsidP="004D43EE">
      <w:pPr>
        <w:spacing w:after="0"/>
        <w:ind w:left="0" w:firstLine="720"/>
      </w:pPr>
      <w:r>
        <w:t>For the offence of robbery committed in aggravating circumstances, the penalty under s 126 (2) (a) of the C</w:t>
      </w:r>
      <w:r w:rsidR="001B4E4C">
        <w:t>ode</w:t>
      </w:r>
      <w:r>
        <w:t xml:space="preserve"> is imprisonment for life or any definite period of imprisonment</w:t>
      </w:r>
      <w:r w:rsidR="00DA2D34">
        <w:t xml:space="preserve">. In other </w:t>
      </w:r>
      <w:r w:rsidR="001B4E4C">
        <w:t>forms of robbery</w:t>
      </w:r>
      <w:r w:rsidR="00DA2D34">
        <w:t xml:space="preserve">, the penalty is a fine not exceeding level fourteen or not exceeding twice the value of the property that forms the subject of the charge, whichever is the greater; or imprisonment not exceeding 50 years. In terms of the sentencing guidelines in S.I 146/2023, the presumptive penalty is 20 years’ imprisonment if the robbery was committed in aggravating circumstances. In other circumstances the presumptive penalty is 6 months’ imprisonment. </w:t>
      </w:r>
      <w:r w:rsidR="00A21B47">
        <w:t xml:space="preserve">In </w:t>
      </w:r>
      <w:r w:rsidR="00A21B47">
        <w:lastRenderedPageBreak/>
        <w:t>terms of s 126 (3) of t</w:t>
      </w:r>
      <w:r w:rsidR="001B4E4C">
        <w:t>he Code</w:t>
      </w:r>
      <w:r w:rsidR="00A21B47">
        <w:t xml:space="preserve">, a robbery is committed in aggravating circumstances if </w:t>
      </w:r>
      <w:bookmarkStart w:id="3" w:name="_Hlk165710679"/>
      <w:r w:rsidR="00A21B47">
        <w:t>the convict or his or her accomplice possessed a firearm or a dangerous weapon; or inflicted or threatened to inflict serious bodily injury upon any person; or killed a person during the commission of the offence.</w:t>
      </w:r>
      <w:bookmarkEnd w:id="3"/>
      <w:r w:rsidR="000677EC">
        <w:t xml:space="preserve"> In terms of the sentencing guidelines, a robbery is committed in aggravating circumstances if </w:t>
      </w:r>
      <w:r w:rsidR="00886B68">
        <w:t>high value goods or sums</w:t>
      </w:r>
      <w:r w:rsidR="00886B68" w:rsidRPr="00886B68">
        <w:t xml:space="preserve"> </w:t>
      </w:r>
      <w:r w:rsidR="00A82397">
        <w:t xml:space="preserve">were </w:t>
      </w:r>
      <w:r w:rsidR="00A82397" w:rsidRPr="000677EC">
        <w:t>stolen</w:t>
      </w:r>
      <w:r w:rsidR="00886B68">
        <w:t xml:space="preserve"> or targeted</w:t>
      </w:r>
      <w:r w:rsidR="000677EC" w:rsidRPr="000677EC">
        <w:t xml:space="preserve">; or </w:t>
      </w:r>
      <w:r w:rsidR="00886B68">
        <w:t xml:space="preserve">if </w:t>
      </w:r>
      <w:r w:rsidR="000677EC" w:rsidRPr="000677EC">
        <w:t>serious injury</w:t>
      </w:r>
      <w:r w:rsidR="00886B68">
        <w:t xml:space="preserve"> was</w:t>
      </w:r>
      <w:r w:rsidR="000677EC" w:rsidRPr="000677EC">
        <w:t xml:space="preserve"> </w:t>
      </w:r>
      <w:r w:rsidR="00886B68" w:rsidRPr="00886B68">
        <w:t>inflicted or threatened</w:t>
      </w:r>
      <w:r w:rsidR="000677EC" w:rsidRPr="000677EC">
        <w:t xml:space="preserve">; or </w:t>
      </w:r>
      <w:r w:rsidR="00886B68">
        <w:t xml:space="preserve">if </w:t>
      </w:r>
      <w:r w:rsidR="000677EC" w:rsidRPr="000677EC">
        <w:t xml:space="preserve">a person </w:t>
      </w:r>
      <w:r w:rsidR="00886B68">
        <w:t>died.</w:t>
      </w:r>
      <w:r w:rsidR="00A82397">
        <w:t xml:space="preserve"> In the circumstances of the present case the lea</w:t>
      </w:r>
      <w:r w:rsidR="00532516">
        <w:t>r</w:t>
      </w:r>
      <w:r w:rsidR="00A82397">
        <w:t>ned regional magistrate determined that the robbery was committed in aggravating circumstances.</w:t>
      </w:r>
      <w:r w:rsidR="00532516">
        <w:t xml:space="preserve"> Her finding was based on the fact that the accused persons were armed with an axe which is a dangerous weapon and that they</w:t>
      </w:r>
      <w:r w:rsidR="00621D98">
        <w:t xml:space="preserve"> had</w:t>
      </w:r>
      <w:r w:rsidR="00532516">
        <w:t xml:space="preserve"> threatened to inflict serious bod</w:t>
      </w:r>
      <w:r w:rsidR="00A9378F">
        <w:t>il</w:t>
      </w:r>
      <w:r w:rsidR="00532516">
        <w:t xml:space="preserve">y injury </w:t>
      </w:r>
      <w:r w:rsidR="00A9378F">
        <w:t>on the complainant’s husband with the axe. The learned regional magistrate also stated that the assault on the complainant and her husband took place in full view of their children who must have been traumatised to see both their parents who</w:t>
      </w:r>
      <w:r w:rsidR="00621D98">
        <w:t>m</w:t>
      </w:r>
      <w:r w:rsidR="00A9378F">
        <w:t xml:space="preserve"> they look</w:t>
      </w:r>
      <w:r w:rsidR="001B4E4C">
        <w:t>ed</w:t>
      </w:r>
      <w:r w:rsidR="00A9378F">
        <w:t xml:space="preserve"> up to for protection, </w:t>
      </w:r>
      <w:r w:rsidR="001B4E4C">
        <w:t xml:space="preserve">being battered and </w:t>
      </w:r>
      <w:r w:rsidR="00A9378F">
        <w:t xml:space="preserve">defenceless. She also took note that the offence was premeditated as the accused persons proceeded to the complainant’s house at night, armed with a dangerous weapon and attacked her and her husband. The learned regional magistrate said that there </w:t>
      </w:r>
      <w:r w:rsidR="00114558">
        <w:t xml:space="preserve">was not much mitigation in favour of the accused persons except that they were youthful first offenders, 21 years and 18 years old respectively. She said that imprisonment was inescapable in this case, but she indicated that she was going to deduct a portion of the sentence that she was going to </w:t>
      </w:r>
      <w:r w:rsidR="00621D98">
        <w:t xml:space="preserve">impose </w:t>
      </w:r>
      <w:r w:rsidR="00114558">
        <w:t>on the basis of the mitigating factors in favour of the accused persons. It is on th</w:t>
      </w:r>
      <w:r w:rsidR="00621D98">
        <w:t>is</w:t>
      </w:r>
      <w:r w:rsidR="00114558">
        <w:t xml:space="preserve"> basis that she went on to impose 10 years’ imprisonment and suspended 4 years on condition of future good behaviour. </w:t>
      </w:r>
    </w:p>
    <w:p w14:paraId="102F2EDE" w14:textId="4C3C5578" w:rsidR="001A4347" w:rsidRDefault="00ED118A" w:rsidP="004D43EE">
      <w:pPr>
        <w:spacing w:after="0"/>
        <w:ind w:left="0" w:firstLine="720"/>
      </w:pPr>
      <w:r>
        <w:t xml:space="preserve">I queried with the learned regional magistrate why she imposed a sentence of 10 years’ imprisonment and </w:t>
      </w:r>
      <w:r w:rsidR="00AF08B7">
        <w:t>went</w:t>
      </w:r>
      <w:r>
        <w:t xml:space="preserve"> on to suspend almost half of it on condition of future good behaviour in light of the presumptive penalty of 20 years’ imprisonment</w:t>
      </w:r>
      <w:r w:rsidR="00EA3CAB">
        <w:t xml:space="preserve"> for a robbery committed in aggravating circumstances</w:t>
      </w:r>
      <w:r>
        <w:t>. In response she said that in light of her maximum jurisdiction of 12 years</w:t>
      </w:r>
      <w:r w:rsidR="00EA3CAB">
        <w:t>’</w:t>
      </w:r>
      <w:r>
        <w:t xml:space="preserve"> imprisonment in robbery cases as a regional magistrate notwithstanding the presumptive penalty of 20 years imprisonment, she could not sentence the accused persons to a period exceeding 12 years</w:t>
      </w:r>
      <w:r w:rsidR="00EA3CAB">
        <w:t>’</w:t>
      </w:r>
      <w:r>
        <w:t xml:space="preserve"> imprisonment.  </w:t>
      </w:r>
      <w:bookmarkStart w:id="4" w:name="_Hlk165731117"/>
      <w:r>
        <w:t xml:space="preserve">She went on to say that </w:t>
      </w:r>
      <w:r w:rsidR="0005463B">
        <w:t>she settled for 10 years</w:t>
      </w:r>
      <w:r w:rsidR="00192E0A">
        <w:t>’</w:t>
      </w:r>
      <w:r w:rsidR="0005463B">
        <w:t xml:space="preserve"> imprisonment </w:t>
      </w:r>
      <w:r w:rsidR="00192E0A">
        <w:t>because of the principle</w:t>
      </w:r>
      <w:r w:rsidR="0005463B">
        <w:t xml:space="preserve"> that maximum sentence</w:t>
      </w:r>
      <w:r w:rsidR="00192E0A">
        <w:t>s</w:t>
      </w:r>
      <w:r w:rsidR="0005463B">
        <w:t xml:space="preserve"> should be </w:t>
      </w:r>
      <w:r w:rsidR="00192E0A">
        <w:t>reserved</w:t>
      </w:r>
      <w:r w:rsidR="0005463B">
        <w:t xml:space="preserve"> for the worst cases. She said that the present case was not the worst case of robbery</w:t>
      </w:r>
      <w:r w:rsidR="00192E0A">
        <w:t xml:space="preserve"> hence she did not impose her maximum jurisdiction of 12 years’ imprisonment</w:t>
      </w:r>
      <w:r w:rsidR="0005463B">
        <w:t xml:space="preserve">. The learned regional magistrate further </w:t>
      </w:r>
      <w:r w:rsidR="004D157D">
        <w:t xml:space="preserve">stated that she was </w:t>
      </w:r>
      <w:r w:rsidR="0005463B">
        <w:t xml:space="preserve">guided by the sentencing trends from the </w:t>
      </w:r>
      <w:r w:rsidR="00192E0A">
        <w:t xml:space="preserve">decided </w:t>
      </w:r>
      <w:r w:rsidR="0005463B">
        <w:t xml:space="preserve">cases she </w:t>
      </w:r>
      <w:r w:rsidR="00192E0A">
        <w:t>referre</w:t>
      </w:r>
      <w:r w:rsidR="0005463B">
        <w:t>d</w:t>
      </w:r>
      <w:r w:rsidR="00192E0A">
        <w:t xml:space="preserve"> to</w:t>
      </w:r>
      <w:r w:rsidR="0005463B">
        <w:t xml:space="preserve"> in her sentencing judgment. </w:t>
      </w:r>
      <w:bookmarkStart w:id="5" w:name="_Hlk165745618"/>
      <w:bookmarkEnd w:id="4"/>
      <w:r w:rsidR="0005463B">
        <w:t xml:space="preserve">She said that she suspended 4 years of the 10 years’ </w:t>
      </w:r>
      <w:r w:rsidR="0005463B">
        <w:lastRenderedPageBreak/>
        <w:t xml:space="preserve">imprisonment having considered the youthfulness of the accused persons. She </w:t>
      </w:r>
      <w:r w:rsidR="004D157D">
        <w:t>added</w:t>
      </w:r>
      <w:r w:rsidR="0005463B">
        <w:t xml:space="preserve"> that she was of the view that the sentence should be more rehabilitative in light of the accused persons’ tender age</w:t>
      </w:r>
      <w:r w:rsidR="00192E0A">
        <w:t>s</w:t>
      </w:r>
      <w:r w:rsidR="0005463B">
        <w:t xml:space="preserve">. </w:t>
      </w:r>
    </w:p>
    <w:bookmarkEnd w:id="5"/>
    <w:p w14:paraId="22A3007F" w14:textId="7478B18E" w:rsidR="00B56946" w:rsidRPr="004F5702" w:rsidRDefault="001A4347" w:rsidP="004D43EE">
      <w:pPr>
        <w:spacing w:after="0"/>
        <w:ind w:left="0" w:firstLine="720"/>
      </w:pPr>
      <w:r>
        <w:t xml:space="preserve">I hasten to point out that the explanation that the learned regional magistrate gave in response to my query is not contained in her sentencing judgment. </w:t>
      </w:r>
      <w:r w:rsidR="00B56946" w:rsidRPr="00B56946">
        <w:t>In a sentencing judgment, a magistrate should address several key elements regarding the sentence imposed on an accused or offender, especially in relation to the presumptive penalty</w:t>
      </w:r>
      <w:r w:rsidR="00CC59D7">
        <w:t xml:space="preserve">. In the structure of the sentencing judgment as provided for in the sentencing guidelines in S.I 146/2023, a judicial officer should </w:t>
      </w:r>
      <w:r w:rsidR="00CC59D7" w:rsidRPr="00CC59D7">
        <w:t>e</w:t>
      </w:r>
      <w:r w:rsidR="00B56946" w:rsidRPr="00B56946">
        <w:t>xpla</w:t>
      </w:r>
      <w:r w:rsidR="00CC59D7" w:rsidRPr="00CC59D7">
        <w:t>in</w:t>
      </w:r>
      <w:r w:rsidR="00B56946" w:rsidRPr="00B56946">
        <w:t xml:space="preserve"> </w:t>
      </w:r>
      <w:r w:rsidR="00CC59D7" w:rsidRPr="00CC59D7">
        <w:t>his or her s</w:t>
      </w:r>
      <w:r w:rsidR="00B56946" w:rsidRPr="00B56946">
        <w:t>entence</w:t>
      </w:r>
      <w:r w:rsidR="00CC59D7">
        <w:t xml:space="preserve">. </w:t>
      </w:r>
      <w:r w:rsidR="00B56946" w:rsidRPr="00B56946">
        <w:t xml:space="preserve">The </w:t>
      </w:r>
      <w:r w:rsidR="00187689">
        <w:t>judicial officer</w:t>
      </w:r>
      <w:r w:rsidR="00B56946" w:rsidRPr="00B56946">
        <w:t xml:space="preserve"> should clearly articulate the reasons for the sentence imposed, including how it aligns with the legal framework and sentencing guidelines.</w:t>
      </w:r>
      <w:r w:rsidR="00CC59D7">
        <w:t xml:space="preserve"> </w:t>
      </w:r>
      <w:r w:rsidR="004D157D">
        <w:t>He/she must</w:t>
      </w:r>
      <w:r w:rsidR="00B56946" w:rsidRPr="00B56946">
        <w:t xml:space="preserve"> detail the factors that were considered, such as the nature and gravity of the offen</w:t>
      </w:r>
      <w:r w:rsidR="00CC59D7">
        <w:t>c</w:t>
      </w:r>
      <w:r w:rsidR="00B56946" w:rsidRPr="00B56946">
        <w:t xml:space="preserve">e, the circumstances of the offender, </w:t>
      </w:r>
      <w:r w:rsidR="00AC0FB8">
        <w:t xml:space="preserve">the applicable presumptive penalty </w:t>
      </w:r>
      <w:r w:rsidR="00B56946" w:rsidRPr="00B56946">
        <w:t>and any aggravating or mitigating circumstances.</w:t>
      </w:r>
      <w:r w:rsidR="00CC59D7">
        <w:t xml:space="preserve"> </w:t>
      </w:r>
      <w:r w:rsidR="00B56946" w:rsidRPr="00B56946">
        <w:t xml:space="preserve">If the sentence deviates from the presumptive penalty, the </w:t>
      </w:r>
      <w:r w:rsidR="00187689">
        <w:t>judicial officer</w:t>
      </w:r>
      <w:r w:rsidR="00B56946" w:rsidRPr="00B56946">
        <w:t xml:space="preserve"> must provide a thorough justification for the departure.</w:t>
      </w:r>
      <w:r w:rsidR="00CC59D7">
        <w:t xml:space="preserve"> </w:t>
      </w:r>
      <w:r w:rsidR="00187689">
        <w:t>He or she</w:t>
      </w:r>
      <w:r w:rsidR="008B79EF">
        <w:t xml:space="preserve"> must explain </w:t>
      </w:r>
      <w:r w:rsidR="008B79EF" w:rsidRPr="00B56946">
        <w:t>why the presumptive penalty was deemed inappropriate in the specific case, considering the legal and factual context.</w:t>
      </w:r>
      <w:r w:rsidR="008B79EF">
        <w:t xml:space="preserve"> </w:t>
      </w:r>
      <w:r w:rsidR="00B56946" w:rsidRPr="00B56946">
        <w:t xml:space="preserve">This includes explaining </w:t>
      </w:r>
      <w:r w:rsidR="008B79EF">
        <w:t>that the</w:t>
      </w:r>
      <w:r w:rsidR="00187689">
        <w:t xml:space="preserve">y have </w:t>
      </w:r>
      <w:r w:rsidR="008B79EF">
        <w:t xml:space="preserve">no jurisdiction to impose the presumptive penalty. The </w:t>
      </w:r>
      <w:r w:rsidR="00187689">
        <w:t xml:space="preserve">judicial officer </w:t>
      </w:r>
      <w:r w:rsidR="008B79EF">
        <w:t>should not assume that the readers know that they have no jurisdiction to impose the presumptive penalty</w:t>
      </w:r>
      <w:r w:rsidR="00BE0E12">
        <w:t xml:space="preserve"> in the particular matter</w:t>
      </w:r>
      <w:r w:rsidR="008B79EF">
        <w:t>.</w:t>
      </w:r>
      <w:r w:rsidR="00DA4F95">
        <w:t xml:space="preserve"> </w:t>
      </w:r>
      <w:r w:rsidR="004D157D">
        <w:t>He/she must</w:t>
      </w:r>
      <w:r w:rsidR="00B56946" w:rsidRPr="00B56946">
        <w:t xml:space="preserve"> discuss how they balanced the need for punishment, deterrence, rehabilitation, and protection of the public in arriving at the sentence.</w:t>
      </w:r>
      <w:r w:rsidR="00DA4F95">
        <w:t xml:space="preserve"> </w:t>
      </w:r>
      <w:r w:rsidR="00B56946" w:rsidRPr="00B56946">
        <w:t>They should address the proportionality of the sentence in relation to the offen</w:t>
      </w:r>
      <w:r w:rsidR="00DA4F95">
        <w:t>c</w:t>
      </w:r>
      <w:r w:rsidR="00B56946" w:rsidRPr="00B56946">
        <w:t>e and the offender’s role.</w:t>
      </w:r>
      <w:r w:rsidR="00DA4F95">
        <w:t xml:space="preserve"> </w:t>
      </w:r>
      <w:r w:rsidR="00B56946" w:rsidRPr="00B56946">
        <w:t>Specific mention should be made of any mitigating factors (such as youthfulness, first-time offender status, remorse, etc.) and how they influenced the sentence.</w:t>
      </w:r>
      <w:r w:rsidR="00DA4F95">
        <w:t xml:space="preserve"> </w:t>
      </w:r>
      <w:r w:rsidR="00B56946" w:rsidRPr="00B56946">
        <w:t>Similarly, any aggravating factors </w:t>
      </w:r>
      <w:r w:rsidR="00BE0E12">
        <w:t xml:space="preserve">such as </w:t>
      </w:r>
      <w:r w:rsidR="00B56946" w:rsidRPr="00B56946">
        <w:t>use of a weapon, harm to victims, etc</w:t>
      </w:r>
      <w:r w:rsidR="00AF08B7">
        <w:t>,</w:t>
      </w:r>
      <w:r w:rsidR="00B56946" w:rsidRPr="00B56946">
        <w:t xml:space="preserve"> should be detailed and their impact on the sentence explained.</w:t>
      </w:r>
      <w:r w:rsidR="00DA4F95">
        <w:t xml:space="preserve"> </w:t>
      </w:r>
      <w:r w:rsidR="00B56946" w:rsidRPr="00B56946">
        <w:t xml:space="preserve">The </w:t>
      </w:r>
      <w:r w:rsidR="00DA4F95">
        <w:t>judicial officer</w:t>
      </w:r>
      <w:r w:rsidR="00B56946" w:rsidRPr="00B56946">
        <w:t xml:space="preserve"> should ensure that the sentence is consistent with </w:t>
      </w:r>
      <w:r w:rsidR="00DA4F95">
        <w:t>the</w:t>
      </w:r>
      <w:r w:rsidR="00B56946" w:rsidRPr="00B56946">
        <w:t xml:space="preserve"> sentencing </w:t>
      </w:r>
      <w:r w:rsidR="00DA4F95" w:rsidRPr="00B56946">
        <w:t>guidelines.</w:t>
      </w:r>
      <w:r w:rsidR="00DA4F95">
        <w:t xml:space="preserve"> </w:t>
      </w:r>
      <w:r w:rsidR="00B56946" w:rsidRPr="00B56946">
        <w:t>Any deviation from these guidelines should be justified with clear and compelling reasons.</w:t>
      </w:r>
      <w:r w:rsidR="00DA4F95">
        <w:t xml:space="preserve"> </w:t>
      </w:r>
      <w:r w:rsidR="00B56946" w:rsidRPr="00B56946">
        <w:t>In essence, the sentencing judgment should be a comprehensive document that provides transparency and accountability for the sentencing decision, ensuring that justice is not only done but is seen to be done. It should allow anyone reading the</w:t>
      </w:r>
      <w:r w:rsidR="00BE0E12">
        <w:t xml:space="preserve"> sentencing</w:t>
      </w:r>
      <w:r w:rsidR="00B56946" w:rsidRPr="00B56946">
        <w:t xml:space="preserve"> judgment to understand the basis of the sentence and how it fits within the broader legal system.</w:t>
      </w:r>
      <w:r w:rsidR="00CF3676">
        <w:t xml:space="preserve"> </w:t>
      </w:r>
      <w:r w:rsidR="00CF3676" w:rsidRPr="004F5702">
        <w:t>M</w:t>
      </w:r>
      <w:r w:rsidR="004D157D" w:rsidRPr="004F5702">
        <w:t xml:space="preserve">agistrates </w:t>
      </w:r>
      <w:r w:rsidR="00CF3676" w:rsidRPr="004F5702">
        <w:t xml:space="preserve">should not </w:t>
      </w:r>
      <w:r w:rsidR="004D157D" w:rsidRPr="004F5702">
        <w:t xml:space="preserve">believe that they write sentencing judgments to satisfy </w:t>
      </w:r>
      <w:r w:rsidR="006B7860" w:rsidRPr="004F5702">
        <w:t>reviewing</w:t>
      </w:r>
      <w:r w:rsidR="004D157D" w:rsidRPr="004F5702">
        <w:t xml:space="preserve"> judges. The sentencing judgment like any other judgment must benefit </w:t>
      </w:r>
      <w:r w:rsidR="006B7860" w:rsidRPr="004F5702">
        <w:t xml:space="preserve">everyone particularly the parties involved, other people /stakeholders who may have an interest in the case and the general </w:t>
      </w:r>
      <w:r w:rsidR="006B7860" w:rsidRPr="004F5702">
        <w:lastRenderedPageBreak/>
        <w:t>public.</w:t>
      </w:r>
      <w:r w:rsidR="004F5702">
        <w:t xml:space="preserve"> </w:t>
      </w:r>
      <w:r w:rsidR="006B7860" w:rsidRPr="004F5702">
        <w:t xml:space="preserve">Viewed from that narrative, it becomes illogical for a </w:t>
      </w:r>
      <w:r w:rsidR="004F5702" w:rsidRPr="004F5702">
        <w:t>magistrate</w:t>
      </w:r>
      <w:r w:rsidR="006B7860" w:rsidRPr="004F5702">
        <w:t xml:space="preserve"> to explain his/her reasoning for the imposition of a particular penalty to a reviewing judge when such explanation is conspicuous by its absence from the sentencing judgment. </w:t>
      </w:r>
    </w:p>
    <w:p w14:paraId="6BBF535E" w14:textId="7E7B9A14" w:rsidR="003A1E6A" w:rsidRDefault="00FE21BA" w:rsidP="004D43EE">
      <w:pPr>
        <w:tabs>
          <w:tab w:val="num" w:pos="720"/>
        </w:tabs>
        <w:spacing w:after="0"/>
        <w:ind w:left="0" w:firstLine="720"/>
      </w:pPr>
      <w:r>
        <w:t xml:space="preserve">In the present case, the learned regional magistrate was alive to the presumptive penalty of 20 years’ imprisonment </w:t>
      </w:r>
      <w:r w:rsidR="00AF08B7">
        <w:t>for</w:t>
      </w:r>
      <w:r>
        <w:t xml:space="preserve"> a robbery committed in aggravating circumstances</w:t>
      </w:r>
      <w:r w:rsidR="00520D30">
        <w:t>.</w:t>
      </w:r>
      <w:r>
        <w:t xml:space="preserve"> </w:t>
      </w:r>
      <w:r w:rsidR="00520D30">
        <w:t>S</w:t>
      </w:r>
      <w:r>
        <w:t xml:space="preserve">he </w:t>
      </w:r>
      <w:r w:rsidR="00520D30">
        <w:t>however omitted to</w:t>
      </w:r>
      <w:r>
        <w:t xml:space="preserve"> explain her deviation from that presumptive penalty. </w:t>
      </w:r>
      <w:r w:rsidR="00440986">
        <w:t>She</w:t>
      </w:r>
      <w:r w:rsidR="00520D30">
        <w:t xml:space="preserve"> simply</w:t>
      </w:r>
      <w:r w:rsidR="00440986">
        <w:t xml:space="preserve"> made mention of the presumptive penalty and went on to refer to </w:t>
      </w:r>
      <w:r w:rsidR="00520D30">
        <w:t>authorities</w:t>
      </w:r>
      <w:r w:rsidR="00440986">
        <w:t xml:space="preserve"> that were decided before the </w:t>
      </w:r>
      <w:r w:rsidR="00520D30">
        <w:t xml:space="preserve">new </w:t>
      </w:r>
      <w:r w:rsidR="00440986">
        <w:t xml:space="preserve">sentencing </w:t>
      </w:r>
      <w:r w:rsidR="00520D30">
        <w:t>regime came into effect</w:t>
      </w:r>
      <w:r w:rsidR="00440986">
        <w:t xml:space="preserve">. </w:t>
      </w:r>
      <w:r w:rsidR="00520D30">
        <w:t xml:space="preserve">In </w:t>
      </w:r>
      <w:r w:rsidR="00217806">
        <w:t>arbitrary</w:t>
      </w:r>
      <w:r w:rsidR="00520D30">
        <w:t xml:space="preserve"> fashion she proceeded</w:t>
      </w:r>
      <w:r w:rsidR="00440986">
        <w:t xml:space="preserve"> to impose 10 years’ imprisonment</w:t>
      </w:r>
      <w:r w:rsidR="00520D30">
        <w:t>. A regional magistrate</w:t>
      </w:r>
      <w:r w:rsidR="00440986">
        <w:t xml:space="preserve"> has</w:t>
      </w:r>
      <w:r w:rsidR="001A017D" w:rsidRPr="001A017D">
        <w:t xml:space="preserve"> jurisdiction to impose a maximum of 12 years</w:t>
      </w:r>
      <w:r w:rsidR="006D52EC">
        <w:t>’ imprisonment</w:t>
      </w:r>
      <w:r w:rsidR="001A017D" w:rsidRPr="001A017D">
        <w:t xml:space="preserve"> in robbery cases. </w:t>
      </w:r>
      <w:r w:rsidR="00440986">
        <w:t>The question</w:t>
      </w:r>
      <w:r w:rsidR="00520D30">
        <w:t xml:space="preserve"> which begs answers is</w:t>
      </w:r>
      <w:r w:rsidR="00440986">
        <w:t xml:space="preserve"> </w:t>
      </w:r>
      <w:r w:rsidR="001A017D" w:rsidRPr="001A017D">
        <w:t xml:space="preserve">why </w:t>
      </w:r>
      <w:r w:rsidR="00440986">
        <w:t xml:space="preserve">did </w:t>
      </w:r>
      <w:bookmarkStart w:id="6" w:name="_Hlk165746063"/>
      <w:r w:rsidR="001A017D" w:rsidRPr="001A017D">
        <w:t>the magistrate not impose the full 12-year sentence</w:t>
      </w:r>
      <w:r w:rsidR="00354F27">
        <w:t xml:space="preserve"> </w:t>
      </w:r>
      <w:r w:rsidR="001A017D" w:rsidRPr="001A017D">
        <w:t>considering</w:t>
      </w:r>
      <w:r w:rsidR="00354F27">
        <w:t xml:space="preserve"> that</w:t>
      </w:r>
      <w:r w:rsidR="001A017D" w:rsidRPr="001A017D">
        <w:t xml:space="preserve"> the presumptive penalty</w:t>
      </w:r>
      <w:r w:rsidR="006217E0">
        <w:t xml:space="preserve"> is </w:t>
      </w:r>
      <w:r w:rsidR="001A017D" w:rsidRPr="001A017D">
        <w:t>20 years’ imprisonment</w:t>
      </w:r>
      <w:bookmarkEnd w:id="6"/>
      <w:r w:rsidR="001A017D" w:rsidRPr="001A017D">
        <w:t> for robbery committed in aggravating circumstances</w:t>
      </w:r>
      <w:r w:rsidR="0018643E">
        <w:t>?</w:t>
      </w:r>
      <w:r w:rsidR="00A024CF">
        <w:t xml:space="preserve"> </w:t>
      </w:r>
      <w:r w:rsidR="001A017D" w:rsidRPr="001A017D">
        <w:t xml:space="preserve">The </w:t>
      </w:r>
      <w:r w:rsidR="00A024CF">
        <w:t>poin</w:t>
      </w:r>
      <w:r w:rsidR="001A017D" w:rsidRPr="001A017D">
        <w:t xml:space="preserve">t </w:t>
      </w:r>
      <w:r w:rsidR="006217E0">
        <w:t>I make</w:t>
      </w:r>
      <w:r w:rsidR="001A017D" w:rsidRPr="001A017D">
        <w:t xml:space="preserve"> is that </w:t>
      </w:r>
      <w:r w:rsidR="0018643E">
        <w:t xml:space="preserve">if the learned regional magistrate had jurisdiction to impose 20 years’ imprisonment, this is a case where she should have imposed 20 years because it is a robbery which was committed in aggravating circumstances. </w:t>
      </w:r>
      <w:r w:rsidR="00A92C29">
        <w:t xml:space="preserve">It is understandable that her sentencing power was limited by her jurisdiction which only </w:t>
      </w:r>
      <w:r w:rsidR="006217E0">
        <w:t>allows</w:t>
      </w:r>
      <w:r w:rsidR="00A92C29">
        <w:t xml:space="preserve"> her to impose </w:t>
      </w:r>
      <w:r w:rsidR="006217E0">
        <w:t xml:space="preserve">a maximum </w:t>
      </w:r>
      <w:r w:rsidR="00A92C29">
        <w:t xml:space="preserve">12 years </w:t>
      </w:r>
      <w:r w:rsidR="006217E0">
        <w:t xml:space="preserve">imprisonment </w:t>
      </w:r>
      <w:r w:rsidR="00A92C29">
        <w:t>in robbery cases. With the jurisdiction of 12 years,</w:t>
      </w:r>
      <w:r w:rsidR="0018643E">
        <w:t xml:space="preserve"> </w:t>
      </w:r>
      <w:r w:rsidR="001A017D" w:rsidRPr="001A017D">
        <w:t xml:space="preserve">the </w:t>
      </w:r>
      <w:r w:rsidR="00A92C29">
        <w:t xml:space="preserve">learned regional </w:t>
      </w:r>
      <w:r w:rsidR="001A017D" w:rsidRPr="001A017D">
        <w:t>magistrate had the authority to impose a more severe sentence but chose not to do so</w:t>
      </w:r>
      <w:r w:rsidR="00A024CF">
        <w:t xml:space="preserve"> without explanation</w:t>
      </w:r>
      <w:r w:rsidR="001A017D" w:rsidRPr="001A017D">
        <w:t>.</w:t>
      </w:r>
      <w:r w:rsidR="00A024CF">
        <w:t xml:space="preserve"> </w:t>
      </w:r>
      <w:r w:rsidR="003348F0">
        <w:t xml:space="preserve">It was only in </w:t>
      </w:r>
      <w:r w:rsidR="00A024CF">
        <w:t xml:space="preserve">response to my query </w:t>
      </w:r>
      <w:r w:rsidR="003348F0">
        <w:t xml:space="preserve">that she explained that </w:t>
      </w:r>
      <w:r w:rsidR="00A024CF">
        <w:t xml:space="preserve">she settled for 10 years’ imprisonment </w:t>
      </w:r>
      <w:r w:rsidR="00727045">
        <w:t>because</w:t>
      </w:r>
      <w:r w:rsidR="00A024CF">
        <w:t xml:space="preserve"> maximum sentence</w:t>
      </w:r>
      <w:r w:rsidR="00727045">
        <w:t>s</w:t>
      </w:r>
      <w:r w:rsidR="00A024CF">
        <w:t xml:space="preserve"> should be </w:t>
      </w:r>
      <w:r w:rsidR="00727045">
        <w:t>reserved</w:t>
      </w:r>
      <w:r w:rsidR="00A024CF">
        <w:t xml:space="preserve"> for the worst cases and that she was also guided by the sentencing trends from the cases she </w:t>
      </w:r>
      <w:r w:rsidR="00727045">
        <w:t xml:space="preserve">referred to </w:t>
      </w:r>
      <w:r w:rsidR="00A024CF">
        <w:t>in her sentencing judgment.</w:t>
      </w:r>
      <w:r w:rsidR="003348F0">
        <w:t xml:space="preserve"> Her response is a matter of concern as it shows a complete disregard of the sentencing guidelines that came into force </w:t>
      </w:r>
      <w:r w:rsidR="00272947" w:rsidRPr="00272947">
        <w:t>on 8 August 2023</w:t>
      </w:r>
      <w:r w:rsidR="003348F0" w:rsidRPr="00272947">
        <w:t>.</w:t>
      </w:r>
      <w:r w:rsidR="003348F0">
        <w:t xml:space="preserve"> </w:t>
      </w:r>
      <w:r w:rsidR="0081084E" w:rsidRPr="0081084E">
        <w:t xml:space="preserve">Given that the </w:t>
      </w:r>
      <w:r w:rsidR="00121FEB">
        <w:t xml:space="preserve">newly enacted </w:t>
      </w:r>
      <w:r w:rsidR="0081084E" w:rsidRPr="0081084E">
        <w:t xml:space="preserve">sentencing guidelines </w:t>
      </w:r>
      <w:r w:rsidR="00121FEB">
        <w:t>provide for</w:t>
      </w:r>
      <w:r w:rsidR="0081084E" w:rsidRPr="0081084E">
        <w:t xml:space="preserve"> presumptive penalt</w:t>
      </w:r>
      <w:r w:rsidR="00121FEB">
        <w:t>ies that exceed the jurisdiction of magistrates</w:t>
      </w:r>
      <w:r w:rsidR="00272947">
        <w:t xml:space="preserve"> in some cases</w:t>
      </w:r>
      <w:r w:rsidR="00121FEB">
        <w:t xml:space="preserve">, </w:t>
      </w:r>
      <w:r w:rsidR="001C4102">
        <w:t xml:space="preserve">magistrates should take great </w:t>
      </w:r>
      <w:r w:rsidR="00121FEB">
        <w:t xml:space="preserve">care in applying </w:t>
      </w:r>
      <w:r w:rsidR="0081084E" w:rsidRPr="0081084E">
        <w:t xml:space="preserve">the </w:t>
      </w:r>
      <w:r w:rsidR="00121FEB">
        <w:t>principle</w:t>
      </w:r>
      <w:r w:rsidR="0081084E" w:rsidRPr="0081084E">
        <w:t xml:space="preserve"> </w:t>
      </w:r>
      <w:r w:rsidR="001C4102" w:rsidRPr="0081084E">
        <w:t>that maximum</w:t>
      </w:r>
      <w:r w:rsidR="0081084E" w:rsidRPr="0081084E">
        <w:t xml:space="preserve"> sentence</w:t>
      </w:r>
      <w:r w:rsidR="00121FEB">
        <w:t xml:space="preserve">s </w:t>
      </w:r>
      <w:r w:rsidR="0081084E" w:rsidRPr="0081084E">
        <w:t>should be reserved for the most severe cases. </w:t>
      </w:r>
      <w:r w:rsidR="001C4102">
        <w:t>Applying t</w:t>
      </w:r>
      <w:r w:rsidR="0081084E">
        <w:t>his principle in cases where the maximum jurisdiction of a magistrate falls below the presumptive penalty of the offence</w:t>
      </w:r>
      <w:r w:rsidR="001C4102">
        <w:t xml:space="preserve"> </w:t>
      </w:r>
      <w:r w:rsidR="0081084E">
        <w:t xml:space="preserve">clearly results in </w:t>
      </w:r>
      <w:r w:rsidR="00AC0E45">
        <w:t>the imposition of sentences that</w:t>
      </w:r>
      <w:r w:rsidR="001C4102">
        <w:t xml:space="preserve"> </w:t>
      </w:r>
      <w:r w:rsidR="00AC0E45">
        <w:t>do not align with the sentencing guidelines</w:t>
      </w:r>
      <w:r w:rsidR="001C4102" w:rsidRPr="001C4102">
        <w:t xml:space="preserve"> </w:t>
      </w:r>
      <w:r w:rsidR="00CE3AE3">
        <w:t xml:space="preserve">and </w:t>
      </w:r>
      <w:r w:rsidR="001C4102">
        <w:t>are way below the presumptive penalties</w:t>
      </w:r>
      <w:r w:rsidR="0081084E">
        <w:t>.</w:t>
      </w:r>
    </w:p>
    <w:p w14:paraId="1C7FD24D" w14:textId="1B455236" w:rsidR="006346AD" w:rsidRDefault="00F2672A" w:rsidP="004D43EE">
      <w:pPr>
        <w:tabs>
          <w:tab w:val="num" w:pos="720"/>
        </w:tabs>
        <w:spacing w:after="0"/>
        <w:ind w:left="0" w:firstLine="720"/>
      </w:pPr>
      <w:r>
        <w:t xml:space="preserve">Another critical issue that is worth considering is the role of </w:t>
      </w:r>
      <w:r w:rsidR="00CF2947" w:rsidRPr="00CF2947">
        <w:rPr>
          <w:i/>
          <w:iCs/>
        </w:rPr>
        <w:t>stare decisis</w:t>
      </w:r>
      <w:r w:rsidR="00CF2947">
        <w:t xml:space="preserve"> in sentencing offenders in light of the new sentencing guidelines. </w:t>
      </w:r>
      <w:r w:rsidR="00CF2947" w:rsidRPr="00CF2947">
        <w:rPr>
          <w:i/>
          <w:iCs/>
        </w:rPr>
        <w:t>Stare decisis</w:t>
      </w:r>
      <w:r w:rsidR="00CF2947">
        <w:t xml:space="preserve"> </w:t>
      </w:r>
      <w:r w:rsidR="00CF2947" w:rsidRPr="00CF2947">
        <w:t>refers to the principle of following established legal precedents. Courts rely on pr</w:t>
      </w:r>
      <w:r w:rsidR="00CF2947">
        <w:t xml:space="preserve">evious </w:t>
      </w:r>
      <w:r w:rsidR="003A1E6A" w:rsidRPr="00EA77CA">
        <w:rPr>
          <w:color w:val="000000" w:themeColor="text1"/>
        </w:rPr>
        <w:t>authorities</w:t>
      </w:r>
      <w:r w:rsidR="00CF2947" w:rsidRPr="00EA77CA">
        <w:rPr>
          <w:color w:val="000000" w:themeColor="text1"/>
        </w:rPr>
        <w:t xml:space="preserve"> t</w:t>
      </w:r>
      <w:r w:rsidR="00CF2947" w:rsidRPr="00CF2947">
        <w:t xml:space="preserve">o guide their </w:t>
      </w:r>
      <w:r w:rsidR="00CF2947">
        <w:t xml:space="preserve">decisions </w:t>
      </w:r>
      <w:r w:rsidR="00CF2947" w:rsidRPr="00CF2947">
        <w:t xml:space="preserve">in similar cases. </w:t>
      </w:r>
      <w:r w:rsidR="009F4D62" w:rsidRPr="009F4D62">
        <w:t xml:space="preserve">The introduction of sentencing guidelines in a legal jurisdiction that </w:t>
      </w:r>
      <w:r w:rsidR="009F4D62" w:rsidRPr="009F4D62">
        <w:lastRenderedPageBreak/>
        <w:t xml:space="preserve">previously lacked such guidelines is likely to result in new sentencing trends. </w:t>
      </w:r>
      <w:r w:rsidR="00A5148D" w:rsidRPr="00CA3279">
        <w:t xml:space="preserve">New </w:t>
      </w:r>
      <w:r w:rsidR="00A5148D">
        <w:t>s</w:t>
      </w:r>
      <w:r w:rsidR="00A5148D" w:rsidRPr="00CA3279">
        <w:t xml:space="preserve">entencing </w:t>
      </w:r>
      <w:r w:rsidR="00A5148D">
        <w:t>t</w:t>
      </w:r>
      <w:r w:rsidR="00A5148D" w:rsidRPr="00CA3279">
        <w:t>rends</w:t>
      </w:r>
      <w:r w:rsidR="00A5148D">
        <w:t xml:space="preserve"> </w:t>
      </w:r>
      <w:r w:rsidR="00F330C5">
        <w:t xml:space="preserve">emerge </w:t>
      </w:r>
      <w:r w:rsidR="00A5148D">
        <w:t xml:space="preserve">as the </w:t>
      </w:r>
      <w:r w:rsidR="00A5148D" w:rsidRPr="00A5148D">
        <w:t>guidelines aim to bring more consistency and predictability to sentencing, reducing disparities for similar offen</w:t>
      </w:r>
      <w:r w:rsidR="00A5148D">
        <w:t>c</w:t>
      </w:r>
      <w:r w:rsidR="00A5148D" w:rsidRPr="00A5148D">
        <w:t>es.</w:t>
      </w:r>
      <w:r w:rsidR="00F330C5">
        <w:t xml:space="preserve"> </w:t>
      </w:r>
      <w:r w:rsidR="00F330C5" w:rsidRPr="00CA3279">
        <w:t>Th</w:t>
      </w:r>
      <w:r w:rsidR="00CF2947">
        <w:t>is means that</w:t>
      </w:r>
      <w:r w:rsidR="00F330C5" w:rsidRPr="00CA3279">
        <w:t xml:space="preserve"> old</w:t>
      </w:r>
      <w:r w:rsidR="00F330C5">
        <w:t xml:space="preserve"> sentencing</w:t>
      </w:r>
      <w:r w:rsidR="00F330C5" w:rsidRPr="00CA3279">
        <w:t xml:space="preserve"> trends and </w:t>
      </w:r>
      <w:r w:rsidR="00CF2947">
        <w:t xml:space="preserve">sentencing </w:t>
      </w:r>
      <w:r w:rsidR="00F330C5" w:rsidRPr="00CA3279">
        <w:t xml:space="preserve">ranges </w:t>
      </w:r>
      <w:r w:rsidR="00F330C5">
        <w:t>have to</w:t>
      </w:r>
      <w:r w:rsidR="00F330C5" w:rsidRPr="00CA3279">
        <w:t xml:space="preserve"> be re-evaluated in light of the new guidelines, leading to a shift in the approach to sentencing.</w:t>
      </w:r>
      <w:r w:rsidR="002B672E">
        <w:t xml:space="preserve">  This can lead to the questioning of the role of l</w:t>
      </w:r>
      <w:r w:rsidR="002B672E" w:rsidRPr="002B672E">
        <w:t xml:space="preserve">egal </w:t>
      </w:r>
      <w:r w:rsidR="002B672E">
        <w:t>p</w:t>
      </w:r>
      <w:r w:rsidR="002B672E" w:rsidRPr="002B672E">
        <w:t>recedent</w:t>
      </w:r>
      <w:r w:rsidR="002B672E">
        <w:t>.</w:t>
      </w:r>
      <w:r w:rsidR="002B672E" w:rsidRPr="002B672E">
        <w:t xml:space="preserve"> While past cases may have set certain precedents, new guidelines can supersede these, </w:t>
      </w:r>
      <w:r w:rsidR="002B672E">
        <w:t xml:space="preserve">more so in view of the fact that the sentencing guidelines </w:t>
      </w:r>
      <w:r w:rsidR="002B672E" w:rsidRPr="002B672E">
        <w:t xml:space="preserve">aim to correct perceived imbalances or injustices in the old system. </w:t>
      </w:r>
      <w:r w:rsidR="002B672E">
        <w:t>Past cases may still serve as a reference point, but judicial officers should give more weight to the new guidelines.</w:t>
      </w:r>
      <w:r w:rsidR="00CE69D6" w:rsidRPr="00CE69D6">
        <w:t xml:space="preserve"> </w:t>
      </w:r>
      <w:r w:rsidR="00CE69D6">
        <w:t xml:space="preserve">Judicial officers should consider whether the </w:t>
      </w:r>
      <w:r w:rsidR="00CE69D6" w:rsidRPr="00CE69D6">
        <w:t>existing precedent</w:t>
      </w:r>
      <w:r w:rsidR="00CE69D6">
        <w:t>s align with</w:t>
      </w:r>
      <w:r w:rsidR="00CE69D6" w:rsidRPr="00CE69D6">
        <w:t xml:space="preserve"> </w:t>
      </w:r>
      <w:r w:rsidR="00CE69D6">
        <w:t xml:space="preserve">the </w:t>
      </w:r>
      <w:r w:rsidR="00CE69D6" w:rsidRPr="00CE69D6">
        <w:t>sentencing guidelines</w:t>
      </w:r>
      <w:r w:rsidR="00CE69D6">
        <w:t xml:space="preserve">. If they do, </w:t>
      </w:r>
      <w:r w:rsidR="00CE69D6" w:rsidRPr="00272947">
        <w:rPr>
          <w:i/>
          <w:iCs/>
        </w:rPr>
        <w:t>stare decisis</w:t>
      </w:r>
      <w:r w:rsidR="00CE69D6">
        <w:t xml:space="preserve"> should be followed. However, if the guidelines significantly depart from pr</w:t>
      </w:r>
      <w:r w:rsidR="00272947">
        <w:t>evious</w:t>
      </w:r>
      <w:r w:rsidR="00CE69D6">
        <w:t xml:space="preserve"> practice, judicial officers may need to reevaluate their approach.</w:t>
      </w:r>
      <w:r w:rsidR="006346AD">
        <w:t xml:space="preserve"> </w:t>
      </w:r>
      <w:r w:rsidR="00E0589D">
        <w:t>Therefore</w:t>
      </w:r>
      <w:r w:rsidR="002B672E">
        <w:t>, the introduction of</w:t>
      </w:r>
      <w:r w:rsidR="00E0589D">
        <w:t xml:space="preserve"> the</w:t>
      </w:r>
      <w:r w:rsidR="002B672E">
        <w:t xml:space="preserve"> sentencing guidelines is a significant change that </w:t>
      </w:r>
      <w:r w:rsidR="00E0589D">
        <w:t>should</w:t>
      </w:r>
      <w:r w:rsidR="002B672E">
        <w:t xml:space="preserve"> reshape the landscape of sentencing</w:t>
      </w:r>
      <w:r w:rsidR="00E0589D">
        <w:t xml:space="preserve"> in our jurisdiction</w:t>
      </w:r>
      <w:r w:rsidR="002B672E">
        <w:t xml:space="preserve">. The overall effect is a move towards a more structured and uniform sentencing process that aligns with the current values and goals of </w:t>
      </w:r>
      <w:r w:rsidR="0040006B">
        <w:t>our</w:t>
      </w:r>
      <w:r w:rsidR="002B672E">
        <w:t xml:space="preserve"> legal system.</w:t>
      </w:r>
      <w:r w:rsidR="00DB1EE8" w:rsidRPr="00DB1EE8">
        <w:rPr>
          <w:rFonts w:ascii="Roboto" w:hAnsi="Roboto"/>
          <w:color w:val="111111"/>
          <w:sz w:val="21"/>
          <w:szCs w:val="21"/>
          <w:shd w:val="clear" w:color="auto" w:fill="FFFFFF"/>
        </w:rPr>
        <w:t xml:space="preserve"> </w:t>
      </w:r>
      <w:r w:rsidR="00CE69D6">
        <w:t>C</w:t>
      </w:r>
      <w:r w:rsidR="00DB1EE8" w:rsidRPr="00DB1EE8">
        <w:t>urrent laws and guidelines take precedence over past trends.</w:t>
      </w:r>
      <w:r w:rsidR="00DB1EE8" w:rsidRPr="00DB1EE8">
        <w:rPr>
          <w:rFonts w:ascii="Roboto" w:hAnsi="Roboto"/>
          <w:color w:val="111111"/>
          <w:sz w:val="21"/>
          <w:szCs w:val="21"/>
          <w:shd w:val="clear" w:color="auto" w:fill="FFFFFF"/>
        </w:rPr>
        <w:t xml:space="preserve"> </w:t>
      </w:r>
      <w:r w:rsidR="00DB1EE8" w:rsidRPr="00DB1EE8">
        <w:t> </w:t>
      </w:r>
      <w:r w:rsidR="00DB1EE8">
        <w:t>I</w:t>
      </w:r>
      <w:r w:rsidR="00DB1EE8" w:rsidRPr="00DB1EE8">
        <w:t xml:space="preserve">t is not proper for a </w:t>
      </w:r>
      <w:r w:rsidR="00DB1EE8">
        <w:t>judicial officer</w:t>
      </w:r>
      <w:r w:rsidR="00DB1EE8" w:rsidRPr="00DB1EE8">
        <w:t xml:space="preserve"> to continue with old sentencing trends </w:t>
      </w:r>
      <w:r w:rsidR="0030565B">
        <w:t>which are not consistent with new</w:t>
      </w:r>
      <w:r w:rsidR="00DB1EE8">
        <w:t xml:space="preserve"> </w:t>
      </w:r>
      <w:r w:rsidR="00DB1EE8" w:rsidRPr="00DB1EE8">
        <w:t>sentencing guidelines</w:t>
      </w:r>
      <w:r w:rsidR="0030565B">
        <w:t xml:space="preserve">. </w:t>
      </w:r>
      <w:r w:rsidR="00DB1EE8" w:rsidRPr="00DB1EE8">
        <w:t xml:space="preserve"> </w:t>
      </w:r>
    </w:p>
    <w:p w14:paraId="4920E360" w14:textId="65051656" w:rsidR="0030565B" w:rsidRDefault="0030565B" w:rsidP="004D43EE">
      <w:pPr>
        <w:tabs>
          <w:tab w:val="num" w:pos="720"/>
        </w:tabs>
        <w:spacing w:after="0"/>
        <w:ind w:left="0" w:firstLine="720"/>
      </w:pPr>
      <w:r>
        <w:t xml:space="preserve">In </w:t>
      </w:r>
      <w:proofErr w:type="spellStart"/>
      <w:r w:rsidRPr="0030565B">
        <w:rPr>
          <w:i/>
          <w:iCs/>
        </w:rPr>
        <w:t>casu</w:t>
      </w:r>
      <w:proofErr w:type="spellEnd"/>
      <w:r>
        <w:t xml:space="preserve"> I consider the sentence of 10 years</w:t>
      </w:r>
      <w:r w:rsidR="005B45B4">
        <w:t>’</w:t>
      </w:r>
      <w:r>
        <w:t xml:space="preserve"> imprisonment with 4 years suspended on condition of future good behaviour to be </w:t>
      </w:r>
      <w:r w:rsidR="005B45B4">
        <w:t>manifestly</w:t>
      </w:r>
      <w:r>
        <w:t xml:space="preserve"> lenient in the face of the presumptive penalty of 20 years’ imprisonment. With the learned regional magistrate’s jurisdiction </w:t>
      </w:r>
      <w:r w:rsidR="008558F8">
        <w:t>of</w:t>
      </w:r>
      <w:r>
        <w:t xml:space="preserve"> 12 years’ imprisonment, she should have started off </w:t>
      </w:r>
      <w:r w:rsidR="008558F8">
        <w:t>at</w:t>
      </w:r>
      <w:r>
        <w:t xml:space="preserve"> 12 years’ imprisonment. From there she should have considered any mitigat</w:t>
      </w:r>
      <w:r w:rsidR="00111554">
        <w:t xml:space="preserve">ing or aggravating circumstances that warranted a departure from that sentence. She also needed to consider the victim impact statements. In </w:t>
      </w:r>
      <w:r w:rsidR="005B45B4">
        <w:t xml:space="preserve">the </w:t>
      </w:r>
      <w:r w:rsidR="00111554">
        <w:t>circumstances of this case there were eight victims: the complainant, her husband and their six children.</w:t>
      </w:r>
      <w:r w:rsidR="004824D0" w:rsidRPr="004824D0">
        <w:t xml:space="preserve"> A victim impact statement plays a significant role in the sentencing of criminal offenders</w:t>
      </w:r>
      <w:r w:rsidR="004824D0">
        <w:t xml:space="preserve"> as it allows victims of crime to express, in their own words, the emotional, physical, and financial impact they have experienced due to the offence committed against them. These statements can be either written or oral. Written statements are submitted to the National Prosecuting Authority and become part of the </w:t>
      </w:r>
      <w:r w:rsidR="006C56CE">
        <w:t>p</w:t>
      </w:r>
      <w:r w:rsidR="004824D0">
        <w:t>re</w:t>
      </w:r>
      <w:r w:rsidR="006C56CE">
        <w:t>-</w:t>
      </w:r>
      <w:r w:rsidR="004824D0">
        <w:t xml:space="preserve">sentence </w:t>
      </w:r>
      <w:r w:rsidR="006C56CE">
        <w:t>i</w:t>
      </w:r>
      <w:r w:rsidR="004824D0">
        <w:t>nquiry provided to the judicial officer before sentencing.</w:t>
      </w:r>
      <w:r w:rsidR="003319A3">
        <w:t xml:space="preserve"> </w:t>
      </w:r>
      <w:r w:rsidR="004824D0">
        <w:t>Oral statements allow victims to directly address the court during the sentencing hearing, providing a voice and personal context to the crime.</w:t>
      </w:r>
      <w:r w:rsidR="00111554">
        <w:t xml:space="preserve"> </w:t>
      </w:r>
      <w:r w:rsidR="003319A3">
        <w:t>The influence of victim impact statements on sentencing is that they help judicial officers understand the human cost of the crime and its effects on the victim</w:t>
      </w:r>
      <w:r w:rsidR="008558F8">
        <w:t>(s)</w:t>
      </w:r>
      <w:r w:rsidR="003319A3">
        <w:t xml:space="preserve"> and their loved ones. </w:t>
      </w:r>
      <w:r w:rsidR="004704F9">
        <w:t>The</w:t>
      </w:r>
      <w:r w:rsidR="008558F8">
        <w:t xml:space="preserve"> statements</w:t>
      </w:r>
      <w:r w:rsidR="004704F9">
        <w:t xml:space="preserve"> have an </w:t>
      </w:r>
      <w:r w:rsidR="004704F9">
        <w:lastRenderedPageBreak/>
        <w:t>influence on the aggravating and mitigating circumstances of a case. In respect of the aggravating circumstances, victim impact statements highlight the severity of harm suffered by the victim. This can aggravate the offence in the eyes of the court. For instance, if the victim describes significant emotional trauma, physical injuries, or financial losses, the court may view the offence more harshly. Conversely, in respect of the mitigating circumstances, victim impact statements can reveal mitigating factors. If the offender shows remorse, makes amends, or demonstrates effort toward</w:t>
      </w:r>
      <w:r w:rsidR="003B3A31">
        <w:t>s</w:t>
      </w:r>
      <w:r w:rsidR="004704F9">
        <w:t xml:space="preserve"> rehabilitation, the victim impact statement might provide context for leniency. The court weighs these factors alongside the severity of the crime. Victim impact statements therefore strike a balance between justice and compassion. </w:t>
      </w:r>
      <w:bookmarkStart w:id="7" w:name="_Hlk168249454"/>
      <w:r w:rsidR="004704F9">
        <w:t xml:space="preserve">They allow victims to participate in the sentencing process, promoting transparency and empathy. Judicial officers </w:t>
      </w:r>
      <w:r w:rsidR="00EC2A49">
        <w:t xml:space="preserve">should therefore </w:t>
      </w:r>
      <w:r w:rsidR="004704F9">
        <w:t>consider these statements while ensuring fairness and adhering to legal guidelines.</w:t>
      </w:r>
      <w:r w:rsidR="00EC2A49">
        <w:t xml:space="preserve"> </w:t>
      </w:r>
      <w:r w:rsidR="004704F9">
        <w:t xml:space="preserve">In summary, </w:t>
      </w:r>
      <w:r w:rsidR="00EC2A49">
        <w:t xml:space="preserve">it can be said that </w:t>
      </w:r>
      <w:r w:rsidR="004704F9">
        <w:t>victim impact statements provide a human perspective, influencing sentencing decisions by shedding light on the real-world consequences of criminal acts. They contribute to a more holistic understanding of the case, considering both aggravating and mitigating</w:t>
      </w:r>
      <w:r w:rsidR="00EC2A49">
        <w:t xml:space="preserve"> factors. </w:t>
      </w:r>
    </w:p>
    <w:bookmarkEnd w:id="7"/>
    <w:p w14:paraId="38B122EE" w14:textId="36745D93" w:rsidR="00AF5A81" w:rsidRDefault="0042591C" w:rsidP="004D43EE">
      <w:pPr>
        <w:tabs>
          <w:tab w:val="num" w:pos="720"/>
        </w:tabs>
        <w:spacing w:after="0"/>
        <w:ind w:left="0" w:firstLine="720"/>
      </w:pPr>
      <w:r>
        <w:t>What is conspicuous in this case is the absence of victim impact statements from the whole record. The learned regional magistrate also made no reference to such</w:t>
      </w:r>
      <w:r w:rsidR="00773537">
        <w:t xml:space="preserve"> yet s 12(1) b) of the sentencing guidelines provides that prior to sentencing an offender, a court shall inquire into and investigate the characteristics of the victim(s) of the offence including the impact of the offence on such victim(s). So, in sentencing the accused persons the learned regional magistrate did not consider the effects of the robbery on the complainant and her family. </w:t>
      </w:r>
      <w:r w:rsidR="00AF5A81">
        <w:t>This was a misdirection. In suspending 4 years’ imprisonment from the 10 years’ imprisonment imposed</w:t>
      </w:r>
      <w:r w:rsidR="005B45B4">
        <w:t>,</w:t>
      </w:r>
      <w:r w:rsidR="00AF5A81">
        <w:t xml:space="preserve"> the </w:t>
      </w:r>
      <w:r w:rsidR="00DD3805" w:rsidRPr="00AF5A81">
        <w:t xml:space="preserve">learned regional magistrate </w:t>
      </w:r>
      <w:r w:rsidR="00AF5A81" w:rsidRPr="00AF5A81">
        <w:t xml:space="preserve">said </w:t>
      </w:r>
      <w:r w:rsidR="00671550" w:rsidRPr="00AF5A81">
        <w:t xml:space="preserve">that she </w:t>
      </w:r>
      <w:r w:rsidR="00DD3805" w:rsidRPr="00AF5A81">
        <w:t>considered the youthfulness of the accused persons. She said that she was of the view that the sentence should be more rehabilitative in light of the accused persons’ tender age</w:t>
      </w:r>
      <w:r w:rsidR="00AF5A81">
        <w:t>s</w:t>
      </w:r>
      <w:r w:rsidR="00DD3805" w:rsidRPr="00AF5A81">
        <w:t xml:space="preserve">. </w:t>
      </w:r>
      <w:r w:rsidR="00671550" w:rsidRPr="00AF5A81">
        <w:t>The suspended sentence constitutes almost half of the sentence imposed. So, from the presumptive penalty of 20 years</w:t>
      </w:r>
      <w:r w:rsidR="00257D64" w:rsidRPr="00AF5A81">
        <w:t>’ imprisonment</w:t>
      </w:r>
      <w:r w:rsidR="00671550" w:rsidRPr="00AF5A81">
        <w:t xml:space="preserve">, the accused persons were each left with an effective prison term of 6 years. </w:t>
      </w:r>
      <w:r w:rsidR="006257F3">
        <w:t xml:space="preserve">The penalty is undeniably unjust. </w:t>
      </w:r>
      <w:r w:rsidR="00F521EB">
        <w:t xml:space="preserve">The </w:t>
      </w:r>
      <w:r w:rsidR="006257F3">
        <w:t>presumptive penalty of 20 years’ imprisonment</w:t>
      </w:r>
      <w:r w:rsidR="00F521EB">
        <w:t xml:space="preserve"> is the </w:t>
      </w:r>
      <w:r w:rsidR="006257F3">
        <w:t xml:space="preserve">standard penalty </w:t>
      </w:r>
      <w:r w:rsidR="00F521EB">
        <w:t xml:space="preserve">which </w:t>
      </w:r>
      <w:r w:rsidR="006257F3">
        <w:t>serves as a baseline for the severity of the offen</w:t>
      </w:r>
      <w:r w:rsidR="00F521EB">
        <w:t>c</w:t>
      </w:r>
      <w:r w:rsidR="006257F3">
        <w:t>e.</w:t>
      </w:r>
      <w:r w:rsidR="00F521EB">
        <w:t xml:space="preserve"> T</w:t>
      </w:r>
      <w:r w:rsidR="006257F3">
        <w:t xml:space="preserve">he </w:t>
      </w:r>
      <w:r w:rsidR="00F521EB">
        <w:t>effective</w:t>
      </w:r>
      <w:r w:rsidR="006257F3">
        <w:t xml:space="preserve"> </w:t>
      </w:r>
      <w:r w:rsidR="00A13A6F">
        <w:t xml:space="preserve">penalty </w:t>
      </w:r>
      <w:r w:rsidR="006257F3">
        <w:t>amounts to less than one-third of the presumptive penalty.</w:t>
      </w:r>
      <w:r w:rsidR="00F521EB">
        <w:t xml:space="preserve"> </w:t>
      </w:r>
      <w:r w:rsidR="006257F3">
        <w:t>Such a significant reduction undermines the purpose of having presumptive penalties.</w:t>
      </w:r>
      <w:r w:rsidR="00F521EB">
        <w:t xml:space="preserve"> </w:t>
      </w:r>
      <w:r w:rsidR="006257F3">
        <w:t>Presumptive penalties aim to ensure consistency and proportionality in sentencing.</w:t>
      </w:r>
      <w:r w:rsidR="00F521EB">
        <w:t xml:space="preserve"> </w:t>
      </w:r>
      <w:r w:rsidR="006257F3">
        <w:t xml:space="preserve">In this case, the deviation from the presumptive </w:t>
      </w:r>
      <w:r w:rsidR="006257F3">
        <w:lastRenderedPageBreak/>
        <w:t xml:space="preserve">penalty renders it ineffective. </w:t>
      </w:r>
      <w:r w:rsidR="00F521EB">
        <w:t>T</w:t>
      </w:r>
      <w:r w:rsidR="006257F3">
        <w:t xml:space="preserve">he disparity between the presumptive penalty and the </w:t>
      </w:r>
      <w:r w:rsidR="00F521EB">
        <w:t>effective</w:t>
      </w:r>
      <w:r w:rsidR="006257F3">
        <w:t xml:space="preserve"> sentence highlights a grave injustice</w:t>
      </w:r>
      <w:r w:rsidR="00F521EB">
        <w:t>.</w:t>
      </w:r>
    </w:p>
    <w:p w14:paraId="7D98E38A" w14:textId="48861ACA" w:rsidR="00AF5A81" w:rsidRPr="00AF5A81" w:rsidRDefault="00AF5A81" w:rsidP="004D43EE">
      <w:pPr>
        <w:tabs>
          <w:tab w:val="num" w:pos="720"/>
        </w:tabs>
        <w:spacing w:after="0"/>
        <w:ind w:left="0" w:firstLine="720"/>
      </w:pPr>
      <w:r w:rsidRPr="00AF5A81">
        <w:t xml:space="preserve">The consideration of youthfulness as a mitigatory factor in sentencing is a complex issue because the court has to balance the potential for rehabilitation and the severity of the crime. In general, youthfulness can be a significant mitigating factor because young offenders may not fully appreciate the consequences of their actions due to their lack of maturity and life experience. This is particularly relevant for first-time offenders who may have greater potential for rehabilitation. However, the extent to which youthfulness can mitigate a sentence also depends on the nature of the crime and the presence of aggravating factors. In </w:t>
      </w:r>
      <w:proofErr w:type="spellStart"/>
      <w:r w:rsidRPr="00AF5A81">
        <w:rPr>
          <w:i/>
          <w:iCs/>
        </w:rPr>
        <w:t>casu</w:t>
      </w:r>
      <w:proofErr w:type="spellEnd"/>
      <w:r w:rsidRPr="00AF5A81">
        <w:rPr>
          <w:i/>
          <w:iCs/>
        </w:rPr>
        <w:t>,</w:t>
      </w:r>
      <w:r w:rsidRPr="00AF5A81">
        <w:t xml:space="preserve"> the</w:t>
      </w:r>
      <w:r w:rsidR="00AB1F91">
        <w:t xml:space="preserve"> offenders were convicted of </w:t>
      </w:r>
      <w:r w:rsidR="00AB1F91" w:rsidRPr="00AF5A81">
        <w:t>robbery</w:t>
      </w:r>
      <w:r w:rsidRPr="00AF5A81">
        <w:t xml:space="preserve"> </w:t>
      </w:r>
      <w:r w:rsidR="00AB1F91">
        <w:t>which is by nature a serious offence.</w:t>
      </w:r>
      <w:r w:rsidR="00AB1F91" w:rsidRPr="00AB1F91">
        <w:t xml:space="preserve"> </w:t>
      </w:r>
      <w:r w:rsidR="00AB1F91">
        <w:t>Robbery involves the taking of another person’s property by force or threat. The crime must occur in the victim’s presence.</w:t>
      </w:r>
      <w:r w:rsidR="005E415C" w:rsidRPr="005E415C">
        <w:t xml:space="preserve"> </w:t>
      </w:r>
      <w:r w:rsidR="005E415C">
        <w:t>T</w:t>
      </w:r>
      <w:r w:rsidR="005E415C" w:rsidRPr="005E415C">
        <w:t>he combination of force, intimidation, and the direct impact on victims makes robbery a grave offen</w:t>
      </w:r>
      <w:r w:rsidR="005E415C">
        <w:t>c</w:t>
      </w:r>
      <w:r w:rsidR="005E415C" w:rsidRPr="005E415C">
        <w:t>e in the eyes of the law</w:t>
      </w:r>
      <w:r w:rsidR="005E415C">
        <w:t>. What makes the case worse in the present case is that it was</w:t>
      </w:r>
      <w:r w:rsidRPr="00AF5A81">
        <w:t xml:space="preserve"> committed in aggravating circumstances</w:t>
      </w:r>
      <w:r w:rsidR="00AB1F91">
        <w:t xml:space="preserve">. There was </w:t>
      </w:r>
      <w:r w:rsidRPr="00AF5A81">
        <w:t>premeditation</w:t>
      </w:r>
      <w:r w:rsidR="005E415C">
        <w:t xml:space="preserve"> on the part of the perpetrators;</w:t>
      </w:r>
      <w:r w:rsidRPr="00AF5A81">
        <w:t xml:space="preserve"> the use of a dangerous weapon</w:t>
      </w:r>
      <w:r w:rsidR="005E415C">
        <w:t xml:space="preserve"> – an axe;</w:t>
      </w:r>
      <w:r w:rsidRPr="00AF5A81">
        <w:t xml:space="preserve"> the presence of multiple </w:t>
      </w:r>
      <w:r w:rsidR="005E415C">
        <w:t>perpetrators -</w:t>
      </w:r>
      <w:r w:rsidR="0036317C">
        <w:t xml:space="preserve"> six; </w:t>
      </w:r>
      <w:r w:rsidR="0036317C" w:rsidRPr="00AF5A81">
        <w:t>the</w:t>
      </w:r>
      <w:r w:rsidRPr="00AF5A81">
        <w:t xml:space="preserve"> </w:t>
      </w:r>
      <w:r w:rsidR="005E415C">
        <w:t>offenc</w:t>
      </w:r>
      <w:r w:rsidRPr="00AF5A81">
        <w:t>e was committed at night</w:t>
      </w:r>
      <w:r w:rsidR="005B45B4">
        <w:t xml:space="preserve"> at 2200hours</w:t>
      </w:r>
      <w:r w:rsidRPr="00AF5A81">
        <w:t xml:space="preserve">, and it involved breaking into a home, and resulted in physical harm and psychological trauma to the victims, including young children. While the accused persons’ youthfulness and status as first-time offenders could be considered mitigating factors, the severity and impact of their actions, particularly the trauma inflicted on the children, should have limited the extent to which their sentences could be reduced from the presumptive penalty. </w:t>
      </w:r>
      <w:r w:rsidR="00CF78A1">
        <w:t>The</w:t>
      </w:r>
      <w:r w:rsidR="00645A3D">
        <w:t xml:space="preserve"> accused persons</w:t>
      </w:r>
      <w:r w:rsidR="00CF78A1">
        <w:t xml:space="preserve"> committed a grave offence</w:t>
      </w:r>
      <w:r w:rsidR="002D518E">
        <w:t xml:space="preserve"> and to make matters worse, the two accused persons were the ring leaders during the commission of the robbery. They are the ones who assaulted the </w:t>
      </w:r>
      <w:r w:rsidR="00645A3D">
        <w:t>complainant’s husband.</w:t>
      </w:r>
      <w:r w:rsidR="002D518E">
        <w:t xml:space="preserve"> The </w:t>
      </w:r>
      <w:r w:rsidR="00CE7DF7">
        <w:t>second</w:t>
      </w:r>
      <w:r w:rsidR="00645A3D">
        <w:t xml:space="preserve"> accused struck him with an open hand on the face. The complainant’s husband sustained a ruptured eardrum. </w:t>
      </w:r>
      <w:r w:rsidR="00385C27" w:rsidRPr="00385C27">
        <w:t xml:space="preserve">This means that the second accused used severe force to assault him. The first accused then attempted to strike him with </w:t>
      </w:r>
      <w:r w:rsidR="00385C27">
        <w:t xml:space="preserve">an </w:t>
      </w:r>
      <w:r w:rsidR="00385C27" w:rsidRPr="00385C27">
        <w:t>axe. It is fortunate that the complainant’s husband managed to hold the first accused’s hand</w:t>
      </w:r>
      <w:r w:rsidR="00385C27">
        <w:t xml:space="preserve">, </w:t>
      </w:r>
      <w:r w:rsidR="00385C27" w:rsidRPr="00385C27">
        <w:t xml:space="preserve">pushed him </w:t>
      </w:r>
      <w:r w:rsidR="00707DA7">
        <w:t xml:space="preserve">away </w:t>
      </w:r>
      <w:r w:rsidR="00385C27" w:rsidRPr="00385C27">
        <w:t xml:space="preserve">and managed to escape from the house. Had he not escaped he would have been struck with </w:t>
      </w:r>
      <w:r w:rsidR="00385C27">
        <w:t>the</w:t>
      </w:r>
      <w:r w:rsidR="00385C27" w:rsidRPr="00385C27">
        <w:t xml:space="preserve"> axe. The accused persons went on to assault the complainant who had remained in the house. She was also forced to abandon her children. The assault taking place in full view of the couple’s children must have traumatized the</w:t>
      </w:r>
      <w:r w:rsidR="00385C27">
        <w:t xml:space="preserve"> children</w:t>
      </w:r>
      <w:r w:rsidR="00385C27" w:rsidRPr="00385C27">
        <w:t xml:space="preserve">. The children were very young and when their parents ran away, they remained </w:t>
      </w:r>
      <w:r w:rsidR="00385C27">
        <w:t xml:space="preserve">with the </w:t>
      </w:r>
      <w:r w:rsidR="00707DA7">
        <w:t>intruders</w:t>
      </w:r>
      <w:r w:rsidR="00385C27">
        <w:t xml:space="preserve">. This must have further traumatised them. </w:t>
      </w:r>
      <w:r w:rsidRPr="00AF5A81">
        <w:t xml:space="preserve">The absence of victim impact statements in the record indicates a missed opportunity by the court to fully understand the </w:t>
      </w:r>
      <w:r w:rsidRPr="00AF5A81">
        <w:lastRenderedPageBreak/>
        <w:t>impact of the crime on the victims, which is an important consideration in sentencing as per the sentencing guidelines.</w:t>
      </w:r>
    </w:p>
    <w:p w14:paraId="5FC39CF3" w14:textId="0A6DF3E1" w:rsidR="00F759A9" w:rsidRDefault="00AF5A81" w:rsidP="0063444D">
      <w:pPr>
        <w:tabs>
          <w:tab w:val="num" w:pos="720"/>
        </w:tabs>
        <w:ind w:left="0" w:firstLine="720"/>
      </w:pPr>
      <w:r w:rsidRPr="00AF5A81">
        <w:t>Robbery is a very prevalent offence in this jurisdiction. The prevalence of a particular crime in a jurisdiction can influence sentencing, as higher rates of certain crimes may lead to calls for more stringent penalties to serve as a deterrent.</w:t>
      </w:r>
      <w:r w:rsidR="00F759A9">
        <w:t xml:space="preserve"> In the Sunday Mail of the 9</w:t>
      </w:r>
      <w:r w:rsidR="00F759A9" w:rsidRPr="00F759A9">
        <w:rPr>
          <w:vertAlign w:val="superscript"/>
        </w:rPr>
        <w:t>th</w:t>
      </w:r>
      <w:r w:rsidR="00F759A9">
        <w:t xml:space="preserve"> </w:t>
      </w:r>
      <w:r w:rsidR="00083030">
        <w:t>of October</w:t>
      </w:r>
      <w:r w:rsidR="00F759A9">
        <w:t xml:space="preserve"> 2022, it was reported that,</w:t>
      </w:r>
    </w:p>
    <w:p w14:paraId="7DA73E27" w14:textId="77777777" w:rsidR="006D026D" w:rsidRPr="004D43EE" w:rsidRDefault="00F759A9" w:rsidP="004D43EE">
      <w:pPr>
        <w:tabs>
          <w:tab w:val="num" w:pos="720"/>
        </w:tabs>
        <w:spacing w:after="0" w:line="240" w:lineRule="auto"/>
        <w:rPr>
          <w:sz w:val="22"/>
        </w:rPr>
      </w:pPr>
      <w:r w:rsidRPr="004D43EE">
        <w:rPr>
          <w:sz w:val="22"/>
        </w:rPr>
        <w:t>“</w:t>
      </w:r>
      <w:r w:rsidR="00AF5A81" w:rsidRPr="004D43EE">
        <w:rPr>
          <w:sz w:val="22"/>
        </w:rPr>
        <w:t>Data from the Zimbabwe National Statistics Agency (</w:t>
      </w:r>
      <w:proofErr w:type="spellStart"/>
      <w:r w:rsidR="00AF5A81" w:rsidRPr="004D43EE">
        <w:rPr>
          <w:sz w:val="22"/>
        </w:rPr>
        <w:t>ZimStat</w:t>
      </w:r>
      <w:proofErr w:type="spellEnd"/>
      <w:r w:rsidR="00AF5A81" w:rsidRPr="004D43EE">
        <w:rPr>
          <w:sz w:val="22"/>
        </w:rPr>
        <w:t xml:space="preserve">) </w:t>
      </w:r>
      <w:r w:rsidRPr="004D43EE">
        <w:rPr>
          <w:sz w:val="22"/>
        </w:rPr>
        <w:t>shows</w:t>
      </w:r>
      <w:r w:rsidR="00AF5A81" w:rsidRPr="004D43EE">
        <w:rPr>
          <w:sz w:val="22"/>
        </w:rPr>
        <w:t xml:space="preserve"> there were 9,364 cases of robbery (931 armed) in 2020, and 9,515 similar cases (1,120 armed) were recorded the following year. This </w:t>
      </w:r>
      <w:r w:rsidRPr="004D43EE">
        <w:rPr>
          <w:sz w:val="22"/>
        </w:rPr>
        <w:t>translates to</w:t>
      </w:r>
      <w:r w:rsidR="00AF5A81" w:rsidRPr="004D43EE">
        <w:rPr>
          <w:sz w:val="22"/>
        </w:rPr>
        <w:t xml:space="preserve"> an average of about 25 cases of robbery</w:t>
      </w:r>
      <w:r w:rsidR="00083030" w:rsidRPr="004D43EE">
        <w:rPr>
          <w:sz w:val="22"/>
        </w:rPr>
        <w:t xml:space="preserve"> </w:t>
      </w:r>
      <w:r w:rsidR="00AF5A81" w:rsidRPr="004D43EE">
        <w:rPr>
          <w:sz w:val="22"/>
        </w:rPr>
        <w:t>occurring daily.</w:t>
      </w:r>
      <w:r w:rsidR="006D026D" w:rsidRPr="004D43EE">
        <w:rPr>
          <w:sz w:val="22"/>
        </w:rPr>
        <w:t xml:space="preserve">” </w:t>
      </w:r>
    </w:p>
    <w:p w14:paraId="7E961484" w14:textId="0FF28D2E" w:rsidR="009E6C72" w:rsidRDefault="00AF5A81" w:rsidP="004D43EE">
      <w:pPr>
        <w:tabs>
          <w:tab w:val="num" w:pos="720"/>
        </w:tabs>
        <w:spacing w:after="0" w:line="240" w:lineRule="auto"/>
      </w:pPr>
      <w:r w:rsidRPr="00AF5A81">
        <w:t>See Sunday Mail 9 October 2022</w:t>
      </w:r>
      <w:r w:rsidR="00155AE7">
        <w:t>,</w:t>
      </w:r>
      <w:r w:rsidRPr="00AF5A81">
        <w:t xml:space="preserve"> </w:t>
      </w:r>
      <w:hyperlink r:id="rId7" w:history="1">
        <w:r w:rsidR="00826977" w:rsidRPr="00826977">
          <w:rPr>
            <w:rStyle w:val="Hyperlink"/>
          </w:rPr>
          <w:t>19 000 robberies, 3 500 murders rock Zim | The Sunday Mail</w:t>
        </w:r>
      </w:hyperlink>
      <w:r w:rsidR="00826977">
        <w:t xml:space="preserve"> </w:t>
      </w:r>
      <w:r w:rsidRPr="00AF5A81">
        <w:t xml:space="preserve">accessed on </w:t>
      </w:r>
      <w:r w:rsidR="006D026D">
        <w:t>1</w:t>
      </w:r>
      <w:r w:rsidRPr="00AF5A81">
        <w:t xml:space="preserve"> </w:t>
      </w:r>
      <w:r w:rsidR="009E6C72">
        <w:t>June</w:t>
      </w:r>
      <w:r w:rsidRPr="00AF5A81">
        <w:t xml:space="preserve"> 2024. </w:t>
      </w:r>
    </w:p>
    <w:p w14:paraId="671ECEC9" w14:textId="77777777" w:rsidR="004D43EE" w:rsidRDefault="004D43EE" w:rsidP="004D43EE">
      <w:pPr>
        <w:tabs>
          <w:tab w:val="num" w:pos="720"/>
        </w:tabs>
        <w:spacing w:after="0" w:line="240" w:lineRule="auto"/>
      </w:pPr>
    </w:p>
    <w:p w14:paraId="3CF5BDBF" w14:textId="6161D38B" w:rsidR="0063444D" w:rsidRDefault="00083030" w:rsidP="004D43EE">
      <w:pPr>
        <w:tabs>
          <w:tab w:val="num" w:pos="720"/>
        </w:tabs>
        <w:spacing w:after="0"/>
        <w:ind w:left="0"/>
      </w:pPr>
      <w:r>
        <w:tab/>
      </w:r>
      <w:r w:rsidR="00AF5A81" w:rsidRPr="00AF5A81">
        <w:t>The</w:t>
      </w:r>
      <w:r w:rsidR="00F759A9">
        <w:t xml:space="preserve">se statistics clearly show that there </w:t>
      </w:r>
      <w:r w:rsidR="00AF5A81" w:rsidRPr="00AF5A81">
        <w:t xml:space="preserve">has been an upsurge in </w:t>
      </w:r>
      <w:r w:rsidR="00F759A9">
        <w:t xml:space="preserve">the </w:t>
      </w:r>
      <w:r w:rsidR="00AF5A81" w:rsidRPr="00AF5A81">
        <w:t>violent crime</w:t>
      </w:r>
      <w:r w:rsidR="00F759A9">
        <w:t xml:space="preserve"> of robbery</w:t>
      </w:r>
      <w:r w:rsidR="00AF5A81" w:rsidRPr="00AF5A81">
        <w:t xml:space="preserve"> in recent years.  Given this context, this jurisdiction is seeking to address and deter th</w:t>
      </w:r>
      <w:r w:rsidR="003445D9">
        <w:t>e</w:t>
      </w:r>
      <w:r w:rsidR="00AF5A81" w:rsidRPr="00AF5A81">
        <w:t xml:space="preserve"> crime</w:t>
      </w:r>
      <w:r w:rsidR="003445D9">
        <w:t xml:space="preserve"> of robbery</w:t>
      </w:r>
      <w:r w:rsidR="00AF5A81" w:rsidRPr="00AF5A81">
        <w:t xml:space="preserve"> effectively</w:t>
      </w:r>
      <w:r w:rsidR="00645A3D">
        <w:t xml:space="preserve"> as evidenced by the harsh presumptive penalty. </w:t>
      </w:r>
      <w:r w:rsidR="00AF5A81" w:rsidRPr="00AF5A81">
        <w:t xml:space="preserve">The rampant nature of robbery offences warrants a less lenient approach to sentencing, even when mitigating factors like youthfulness are present. </w:t>
      </w:r>
      <w:r w:rsidR="002129AF">
        <w:t xml:space="preserve">This is why I </w:t>
      </w:r>
      <w:r w:rsidR="00AF5A81" w:rsidRPr="00AF5A81">
        <w:t>question the decision by the learned regional magistrate to impose 10 years’ imprisonment and suspend 4 years </w:t>
      </w:r>
      <w:r w:rsidR="002129AF">
        <w:t>thereof</w:t>
      </w:r>
      <w:r w:rsidR="00AF5A81" w:rsidRPr="00AF5A81">
        <w:t xml:space="preserve"> in light of the presumptive penalty of 20 years’ imprisonment. By not imposing 12 years when she had jurisdiction to do so, and by suspending a significant portion of the sentence </w:t>
      </w:r>
      <w:r w:rsidR="002129AF">
        <w:t xml:space="preserve">she imposed </w:t>
      </w:r>
      <w:r w:rsidR="00AF5A81" w:rsidRPr="00AF5A81">
        <w:t xml:space="preserve">on condition of future good behaviour, the magistrate’s approach was overly lenient. Her sentencing decision did not adequately reflect the severity of the offence, the aggravating circumstances and the presumptive penalty. It raises concerns about the balance between mitigating factors and the need for appropriate punishment in cases of robbery committed in aggravating circumstances. Let me hasten to point out that if the presumptive penalty is beyond the jurisdiction of </w:t>
      </w:r>
      <w:r w:rsidR="008D7992">
        <w:t>a</w:t>
      </w:r>
      <w:r w:rsidR="00AF5A81" w:rsidRPr="00AF5A81">
        <w:t xml:space="preserve"> magistrate</w:t>
      </w:r>
      <w:r w:rsidR="008D7992">
        <w:t xml:space="preserve"> in a particular case</w:t>
      </w:r>
      <w:r w:rsidR="00AF5A81" w:rsidRPr="00AF5A81">
        <w:t>, and the magistrate is of the view that the appropriate sentence is beyond his or her jurisdiction, he or she should consider stopping the trial and referring the matter to this court for sentencing</w:t>
      </w:r>
      <w:r w:rsidR="000865EC">
        <w:t xml:space="preserve"> of the offender(s)</w:t>
      </w:r>
      <w:r w:rsidR="006564AA" w:rsidRPr="006564AA">
        <w:t xml:space="preserve"> in terms of s 54 (2) of the Magistrates</w:t>
      </w:r>
      <w:r w:rsidR="00E0191B">
        <w:t xml:space="preserve"> </w:t>
      </w:r>
      <w:r w:rsidR="006564AA" w:rsidRPr="006564AA">
        <w:t>Court Act [</w:t>
      </w:r>
      <w:r w:rsidR="006564AA" w:rsidRPr="00E94F0D">
        <w:rPr>
          <w:i/>
          <w:iCs/>
        </w:rPr>
        <w:t>Chapter 9:10</w:t>
      </w:r>
      <w:r w:rsidR="006564AA" w:rsidRPr="006564AA">
        <w:t>]</w:t>
      </w:r>
      <w:r w:rsidR="00AF5A81" w:rsidRPr="00AF5A81">
        <w:t xml:space="preserve">. However, a lasting solution would be for the legislature to increase the sentencing jurisdiction of magistrates in order to keep up with the recently enacted sentencing guidelines and the emerging sentencing trends.  </w:t>
      </w:r>
    </w:p>
    <w:p w14:paraId="3679DFE4" w14:textId="5F15BDBD" w:rsidR="005731FD" w:rsidRDefault="00257D64" w:rsidP="004D43EE">
      <w:pPr>
        <w:tabs>
          <w:tab w:val="num" w:pos="720"/>
        </w:tabs>
        <w:spacing w:after="0"/>
        <w:ind w:left="0" w:firstLine="720"/>
      </w:pPr>
      <w:r w:rsidRPr="00AF5A81">
        <w:t xml:space="preserve">Considering the highly </w:t>
      </w:r>
      <w:proofErr w:type="spellStart"/>
      <w:r w:rsidRPr="00AF5A81">
        <w:t>aggravatory</w:t>
      </w:r>
      <w:proofErr w:type="spellEnd"/>
      <w:r w:rsidRPr="00AF5A81">
        <w:t xml:space="preserve"> factors in the case, </w:t>
      </w:r>
      <w:r w:rsidR="001A017D" w:rsidRPr="00AF5A81">
        <w:t xml:space="preserve">the magistrate placed undue emphasis on the youthfulness of the </w:t>
      </w:r>
      <w:r w:rsidRPr="00AF5A81">
        <w:t>accused persons and the fact that the accused persons were first offenders</w:t>
      </w:r>
      <w:r w:rsidR="001A017D" w:rsidRPr="00AF5A81">
        <w:t>. While it</w:t>
      </w:r>
      <w:r w:rsidRPr="00AF5A81">
        <w:t xml:space="preserve"> is</w:t>
      </w:r>
      <w:r w:rsidR="001A017D" w:rsidRPr="00AF5A81">
        <w:t xml:space="preserve"> essential to consider mitigating factors, the emphasis</w:t>
      </w:r>
      <w:r w:rsidR="008C7555" w:rsidRPr="00AF5A81">
        <w:t xml:space="preserve"> on the </w:t>
      </w:r>
      <w:r w:rsidR="008C7555" w:rsidRPr="00AF5A81">
        <w:lastRenderedPageBreak/>
        <w:t xml:space="preserve">two mitigating factors </w:t>
      </w:r>
      <w:r w:rsidR="001A017D" w:rsidRPr="00AF5A81">
        <w:t>was disproportionate</w:t>
      </w:r>
      <w:r w:rsidR="008C7555" w:rsidRPr="00AF5A81">
        <w:t xml:space="preserve"> to the highly </w:t>
      </w:r>
      <w:proofErr w:type="spellStart"/>
      <w:r w:rsidR="008C7555" w:rsidRPr="00AF5A81">
        <w:t>aggravatory</w:t>
      </w:r>
      <w:proofErr w:type="spellEnd"/>
      <w:r w:rsidR="008C7555" w:rsidRPr="00AF5A81">
        <w:t xml:space="preserve"> factors</w:t>
      </w:r>
      <w:r w:rsidR="001A017D" w:rsidRPr="00AF5A81">
        <w:t>.</w:t>
      </w:r>
      <w:r w:rsidR="00545452" w:rsidRPr="00545452">
        <w:t xml:space="preserve"> A 12-year prison sentence without any suspension</w:t>
      </w:r>
      <w:r w:rsidR="0027579C">
        <w:t xml:space="preserve"> would have been just</w:t>
      </w:r>
      <w:r w:rsidR="00545452" w:rsidRPr="00545452">
        <w:t>, despite considering the mitigating factor</w:t>
      </w:r>
      <w:r w:rsidR="000A7C6A">
        <w:t>s</w:t>
      </w:r>
      <w:r w:rsidR="00545452" w:rsidRPr="00545452">
        <w:t xml:space="preserve"> of youthfulness</w:t>
      </w:r>
      <w:r w:rsidR="000A7C6A">
        <w:t xml:space="preserve"> and </w:t>
      </w:r>
      <w:r w:rsidR="0027579C">
        <w:t xml:space="preserve">that </w:t>
      </w:r>
      <w:r w:rsidR="000A7C6A">
        <w:t xml:space="preserve">the accused persons </w:t>
      </w:r>
      <w:r w:rsidR="0027579C">
        <w:t>were</w:t>
      </w:r>
      <w:r w:rsidR="000A7C6A">
        <w:t xml:space="preserve"> first time </w:t>
      </w:r>
      <w:r w:rsidR="00004972">
        <w:t>offenders</w:t>
      </w:r>
      <w:r w:rsidR="00545452">
        <w:t xml:space="preserve">. </w:t>
      </w:r>
      <w:r w:rsidR="005C1342">
        <w:t>This is because</w:t>
      </w:r>
      <w:r w:rsidR="006B27DA" w:rsidRPr="006B27DA">
        <w:t xml:space="preserve"> I observe that 12 years itself was already way below the presumptive penalty specified in the guidelines. </w:t>
      </w:r>
      <w:r w:rsidR="00545452">
        <w:t>G</w:t>
      </w:r>
      <w:r w:rsidR="006B27DA" w:rsidRPr="006B27DA">
        <w:t>iven that 12 years was the maximum th</w:t>
      </w:r>
      <w:r w:rsidR="005C1342">
        <w:t>at</w:t>
      </w:r>
      <w:r w:rsidR="006B27DA" w:rsidRPr="006B27DA">
        <w:t xml:space="preserve"> th</w:t>
      </w:r>
      <w:r w:rsidR="005C1342">
        <w:t>e</w:t>
      </w:r>
      <w:r w:rsidR="006B27DA" w:rsidRPr="006B27DA">
        <w:t xml:space="preserve"> trial magistrate could impose</w:t>
      </w:r>
      <w:r w:rsidR="00545452">
        <w:t>,</w:t>
      </w:r>
      <w:r w:rsidR="006B27DA" w:rsidRPr="006B27DA">
        <w:t xml:space="preserve"> there was no need to suspend any portion of it. There is no rule which requires a portion of every penalty imposed to be suspended. It is the discretion of a court to do so</w:t>
      </w:r>
      <w:r w:rsidR="00D60F0E">
        <w:t>. The following are some</w:t>
      </w:r>
      <w:r w:rsidR="00AA4EE0">
        <w:t xml:space="preserve"> of the</w:t>
      </w:r>
      <w:r w:rsidR="00D60F0E">
        <w:t xml:space="preserve"> key considerations</w:t>
      </w:r>
      <w:r w:rsidR="00AA4EE0">
        <w:t xml:space="preserve">. </w:t>
      </w:r>
      <w:r w:rsidR="00D60F0E">
        <w:t>The severity of the crime committed</w:t>
      </w:r>
      <w:r w:rsidR="00AA4EE0">
        <w:t xml:space="preserve"> -</w:t>
      </w:r>
      <w:r w:rsidR="00D60F0E">
        <w:t xml:space="preserve"> </w:t>
      </w:r>
      <w:r w:rsidR="00AA4EE0">
        <w:t>l</w:t>
      </w:r>
      <w:r w:rsidR="00D60F0E">
        <w:t>ess serious offen</w:t>
      </w:r>
      <w:r w:rsidR="000A7C6A">
        <w:t>c</w:t>
      </w:r>
      <w:r w:rsidR="00D60F0E">
        <w:t xml:space="preserve">es may be more likely to receive suspended sentences; the offender’s criminal history - </w:t>
      </w:r>
      <w:r w:rsidR="00AA4EE0">
        <w:t>previous</w:t>
      </w:r>
      <w:r w:rsidR="00D60F0E">
        <w:t xml:space="preserve"> convictions (the offender’s overall criminal record)</w:t>
      </w:r>
      <w:r w:rsidR="00AA4EE0">
        <w:t xml:space="preserve">. </w:t>
      </w:r>
      <w:r w:rsidR="00D60F0E">
        <w:t xml:space="preserve">First-time offenders or those with minimal prior offences may be considered for suspension; </w:t>
      </w:r>
      <w:r w:rsidR="00AA4EE0">
        <w:t>i</w:t>
      </w:r>
      <w:r w:rsidR="00D60F0E">
        <w:t>ndividual circumstances - the court considers the offender’s personal circumstances</w:t>
      </w:r>
      <w:r w:rsidR="0027579C">
        <w:t xml:space="preserve"> </w:t>
      </w:r>
      <w:r w:rsidR="00D60F0E">
        <w:t>such as age, health, family situation, and employment status</w:t>
      </w:r>
      <w:r w:rsidR="00AA4EE0">
        <w:t>; a</w:t>
      </w:r>
      <w:r w:rsidR="00D60F0E">
        <w:t>ny factors that reduce the offender’s culpability (e.g., cooperation with authorities, remorse)</w:t>
      </w:r>
      <w:r w:rsidR="00AA4EE0">
        <w:t>; and</w:t>
      </w:r>
      <w:r w:rsidR="00D60F0E">
        <w:t xml:space="preserve"> the potential impact of a suspended sentence on deterring future criminal behavio</w:t>
      </w:r>
      <w:r w:rsidR="00AA4EE0">
        <w:t>u</w:t>
      </w:r>
      <w:r w:rsidR="00D60F0E">
        <w:t>r and facilitating rehabilitation.</w:t>
      </w:r>
      <w:r w:rsidR="00AA4EE0">
        <w:t xml:space="preserve"> E</w:t>
      </w:r>
      <w:r w:rsidR="00D60F0E">
        <w:t>ach case is unique, and jud</w:t>
      </w:r>
      <w:r w:rsidR="00AA4EE0">
        <w:t>icial officers</w:t>
      </w:r>
      <w:r w:rsidR="00D60F0E">
        <w:t xml:space="preserve"> </w:t>
      </w:r>
      <w:r w:rsidR="00440633">
        <w:t xml:space="preserve">should </w:t>
      </w:r>
      <w:r w:rsidR="00D60F0E">
        <w:t xml:space="preserve">exercise discretion </w:t>
      </w:r>
      <w:r w:rsidR="00FD4A68">
        <w:t xml:space="preserve">judiciously </w:t>
      </w:r>
      <w:r w:rsidR="0027579C">
        <w:t>in</w:t>
      </w:r>
      <w:r w:rsidR="00D60F0E">
        <w:t xml:space="preserve"> determin</w:t>
      </w:r>
      <w:r w:rsidR="0027579C">
        <w:t>ing</w:t>
      </w:r>
      <w:r w:rsidR="00D60F0E">
        <w:t xml:space="preserve"> whether to suspend part of the penal</w:t>
      </w:r>
      <w:r w:rsidR="00AA4EE0">
        <w:t>ty or not.</w:t>
      </w:r>
      <w:r w:rsidR="006B27DA" w:rsidRPr="006B27DA">
        <w:t xml:space="preserve"> </w:t>
      </w:r>
    </w:p>
    <w:p w14:paraId="790729BD" w14:textId="670392D2" w:rsidR="009A5AB9" w:rsidRDefault="009A5AB9" w:rsidP="0063444D">
      <w:pPr>
        <w:tabs>
          <w:tab w:val="num" w:pos="720"/>
        </w:tabs>
        <w:ind w:left="0" w:firstLine="720"/>
      </w:pPr>
      <w:r>
        <w:t xml:space="preserve">In respect of the charge of rape three issues arise. Evidence which was led from the complainant shows that the first accused was the ring leader. He is the one who influenced his </w:t>
      </w:r>
      <w:r w:rsidR="00B43016">
        <w:t xml:space="preserve">two </w:t>
      </w:r>
      <w:r w:rsidR="003E297D">
        <w:t>accomplic</w:t>
      </w:r>
      <w:r w:rsidR="00B43016">
        <w:t>es</w:t>
      </w:r>
      <w:r>
        <w:t xml:space="preserve"> to rape </w:t>
      </w:r>
      <w:r w:rsidR="00120ECA">
        <w:t>her</w:t>
      </w:r>
      <w:r>
        <w:t xml:space="preserve">. He </w:t>
      </w:r>
      <w:r w:rsidR="00120ECA">
        <w:t>produced</w:t>
      </w:r>
      <w:r>
        <w:t xml:space="preserve"> condoms which he distributed to them as he told them to prepare to rape the complainant. He was the first to mount the complainant </w:t>
      </w:r>
      <w:r w:rsidR="00574501">
        <w:t xml:space="preserve">and rape her in full view of her children and his </w:t>
      </w:r>
      <w:r w:rsidR="003E297D">
        <w:t>accomplic</w:t>
      </w:r>
      <w:r w:rsidR="00574501">
        <w:t xml:space="preserve">es. As he was raping her, one of the </w:t>
      </w:r>
      <w:r w:rsidR="003E297D">
        <w:t>accomplic</w:t>
      </w:r>
      <w:r w:rsidR="00B43016">
        <w:t>es</w:t>
      </w:r>
      <w:r w:rsidR="00574501">
        <w:t xml:space="preserve"> was holding a torch illuminating the scene. He then ordered his accomplices to take their turns in raping the complainant. When the complainant and the children wanted to cry out, he would threaten them with an axe.  </w:t>
      </w:r>
      <w:r w:rsidR="00574501" w:rsidRPr="00574501">
        <w:t>The first issue</w:t>
      </w:r>
      <w:r w:rsidR="00574501">
        <w:t xml:space="preserve"> that arises</w:t>
      </w:r>
      <w:r w:rsidR="00574501" w:rsidRPr="00574501">
        <w:t xml:space="preserve"> is that the complainant was raped seven times by the first accused and his two </w:t>
      </w:r>
      <w:r w:rsidR="003E297D">
        <w:t>accomplice</w:t>
      </w:r>
      <w:r w:rsidR="00574501" w:rsidRPr="00574501">
        <w:t>s.</w:t>
      </w:r>
      <w:r w:rsidR="00606857">
        <w:t xml:space="preserve"> Considering the circumstances of the rape and the role that the first accused played in having the complainant raped</w:t>
      </w:r>
      <w:r w:rsidR="00E87B84">
        <w:t xml:space="preserve"> by his </w:t>
      </w:r>
      <w:r w:rsidR="003E297D">
        <w:t>accomplic</w:t>
      </w:r>
      <w:r w:rsidR="00E87B84">
        <w:t>es,</w:t>
      </w:r>
      <w:r w:rsidR="00606857">
        <w:t xml:space="preserve"> the first accused should have been charged with seven counts of rape</w:t>
      </w:r>
      <w:r w:rsidR="00FC253A">
        <w:t xml:space="preserve"> and not one count as what happened. </w:t>
      </w:r>
      <w:r w:rsidR="00792957">
        <w:t>In terms of s 19</w:t>
      </w:r>
      <w:r w:rsidR="00D45487">
        <w:t>5</w:t>
      </w:r>
      <w:r w:rsidR="00792957">
        <w:t xml:space="preserve"> of the Criminal Law Code, he </w:t>
      </w:r>
      <w:r w:rsidR="00D45487">
        <w:t xml:space="preserve">participated or assisted </w:t>
      </w:r>
      <w:r w:rsidR="00792957">
        <w:t>in the</w:t>
      </w:r>
      <w:r w:rsidR="002A7DBB">
        <w:t xml:space="preserve"> other four counts of </w:t>
      </w:r>
      <w:r w:rsidR="00792957">
        <w:t>rape</w:t>
      </w:r>
      <w:r w:rsidR="002A7DBB">
        <w:t xml:space="preserve"> that were committed by his </w:t>
      </w:r>
      <w:r w:rsidR="00D45487">
        <w:t>accomplic</w:t>
      </w:r>
      <w:r w:rsidR="002A7DBB">
        <w:t>es</w:t>
      </w:r>
      <w:r w:rsidR="00792957">
        <w:t xml:space="preserve">. </w:t>
      </w:r>
      <w:r w:rsidR="00D45487">
        <w:t xml:space="preserve">On his own he raped the complainant three times. </w:t>
      </w:r>
      <w:r w:rsidR="00FC253A">
        <w:t>While it is the responsibility of prosecution to draft the charge and the State outline, the magistrate should have</w:t>
      </w:r>
      <w:r w:rsidR="00FE4987">
        <w:t>,</w:t>
      </w:r>
      <w:r w:rsidR="00FE4987" w:rsidRPr="00FE4987">
        <w:t xml:space="preserve"> in the interests of justice, </w:t>
      </w:r>
      <w:r w:rsidR="00FE4987">
        <w:t xml:space="preserve">queried with the prosecutor before trial commenced, </w:t>
      </w:r>
      <w:r w:rsidR="00120ECA">
        <w:t>why only one</w:t>
      </w:r>
      <w:r w:rsidR="00D45487">
        <w:t xml:space="preserve"> </w:t>
      </w:r>
      <w:r w:rsidR="00D45487" w:rsidRPr="00004972">
        <w:t>c</w:t>
      </w:r>
      <w:r w:rsidR="002714EF" w:rsidRPr="00004972">
        <w:t>ount</w:t>
      </w:r>
      <w:r w:rsidR="00120ECA" w:rsidRPr="00004972">
        <w:t xml:space="preserve"> </w:t>
      </w:r>
      <w:r w:rsidR="00120ECA">
        <w:t>was being preferred</w:t>
      </w:r>
      <w:r w:rsidR="00FC253A">
        <w:t xml:space="preserve">. This would have enabled the prosecutor to amend the charge. Whilst the State outline does not </w:t>
      </w:r>
      <w:r w:rsidR="00FC253A">
        <w:lastRenderedPageBreak/>
        <w:t xml:space="preserve">disclose </w:t>
      </w:r>
      <w:r w:rsidR="00FE4987">
        <w:t xml:space="preserve">all </w:t>
      </w:r>
      <w:r w:rsidR="00FC253A">
        <w:t>the seven counts, it makes reference to only four counts</w:t>
      </w:r>
      <w:r w:rsidR="002A7DBB">
        <w:t xml:space="preserve"> with the first accused being alleged to have raped the complainant twice</w:t>
      </w:r>
      <w:r w:rsidR="00FC253A">
        <w:t xml:space="preserve">. </w:t>
      </w:r>
      <w:r w:rsidR="00E636E4">
        <w:t xml:space="preserve">If the learned magistrate had queried why the accused was being charged with only one count when the State outline was disclosing four counts, the prosecutor would have interviewed the complainant and the other witnesses on how many times she was raped before commencing trial. </w:t>
      </w:r>
      <w:r w:rsidR="008B24BA">
        <w:t xml:space="preserve">The failure by the State to charge the first accused with seven counts of rape resulted in a grave injustice to the complainant who was the victim </w:t>
      </w:r>
      <w:r w:rsidR="008B24BA" w:rsidRPr="0027579C">
        <w:t xml:space="preserve">of </w:t>
      </w:r>
      <w:r w:rsidR="002714EF" w:rsidRPr="0027579C">
        <w:t xml:space="preserve">several counts </w:t>
      </w:r>
      <w:r w:rsidR="002714EF">
        <w:t>of</w:t>
      </w:r>
      <w:r w:rsidR="008B24BA">
        <w:t xml:space="preserve"> rape</w:t>
      </w:r>
      <w:r w:rsidR="00FE4987">
        <w:t xml:space="preserve"> at the instance of the first accused</w:t>
      </w:r>
      <w:r w:rsidR="008B24BA">
        <w:t xml:space="preserve">. </w:t>
      </w:r>
    </w:p>
    <w:p w14:paraId="748AE9BD" w14:textId="427B978D" w:rsidR="007C0D45" w:rsidRPr="003426E8" w:rsidRDefault="00B43016" w:rsidP="003426E8">
      <w:pPr>
        <w:tabs>
          <w:tab w:val="num" w:pos="720"/>
        </w:tabs>
        <w:ind w:left="0" w:firstLine="720"/>
      </w:pPr>
      <w:r>
        <w:t xml:space="preserve">The second issue that arises is that after convicting the first accused and making a finding that the rape was committed in aggravating circumstances, the learned regional magistrate sentenced the first accused </w:t>
      </w:r>
      <w:r w:rsidR="00410C99">
        <w:t xml:space="preserve">to </w:t>
      </w:r>
      <w:r>
        <w:t xml:space="preserve">20’ </w:t>
      </w:r>
      <w:proofErr w:type="spellStart"/>
      <w:r>
        <w:t>years</w:t>
      </w:r>
      <w:proofErr w:type="spellEnd"/>
      <w:r>
        <w:t xml:space="preserve"> imprisonment. </w:t>
      </w:r>
      <w:r w:rsidR="003426E8">
        <w:rPr>
          <w:rFonts w:eastAsia="Times New Roman" w:cs="Times New Roman"/>
          <w:color w:val="000000"/>
          <w:kern w:val="24"/>
          <w:szCs w:val="24"/>
          <w:lang w:val="en-US" w:eastAsia="en-ZW"/>
          <w14:ligatures w14:val="none"/>
        </w:rPr>
        <w:t xml:space="preserve">A </w:t>
      </w:r>
      <w:r w:rsidR="007C0D45" w:rsidRPr="007C0D45">
        <w:rPr>
          <w:rFonts w:eastAsia="Times New Roman" w:cs="Times New Roman"/>
          <w:color w:val="000000"/>
          <w:kern w:val="24"/>
          <w:szCs w:val="24"/>
          <w:lang w:val="en-US" w:eastAsia="en-ZW"/>
          <w14:ligatures w14:val="none"/>
        </w:rPr>
        <w:t xml:space="preserve">new form of penalties </w:t>
      </w:r>
      <w:r w:rsidR="003426E8">
        <w:rPr>
          <w:rFonts w:eastAsia="Times New Roman" w:cs="Times New Roman"/>
          <w:color w:val="000000"/>
          <w:kern w:val="24"/>
          <w:szCs w:val="24"/>
          <w:lang w:val="en-US" w:eastAsia="en-ZW"/>
          <w14:ligatures w14:val="none"/>
        </w:rPr>
        <w:t xml:space="preserve">was </w:t>
      </w:r>
      <w:r w:rsidR="007C0D45" w:rsidRPr="007C0D45">
        <w:rPr>
          <w:rFonts w:eastAsia="Times New Roman" w:cs="Times New Roman"/>
          <w:color w:val="000000"/>
          <w:kern w:val="24"/>
          <w:szCs w:val="24"/>
          <w:lang w:val="en-US" w:eastAsia="en-ZW"/>
          <w14:ligatures w14:val="none"/>
        </w:rPr>
        <w:t xml:space="preserve">brought </w:t>
      </w:r>
      <w:r w:rsidR="003426E8">
        <w:rPr>
          <w:rFonts w:eastAsia="Times New Roman" w:cs="Times New Roman"/>
          <w:color w:val="000000"/>
          <w:kern w:val="24"/>
          <w:szCs w:val="24"/>
          <w:lang w:val="en-US" w:eastAsia="en-ZW"/>
          <w14:ligatures w14:val="none"/>
        </w:rPr>
        <w:t>in</w:t>
      </w:r>
      <w:r w:rsidR="007C0D45" w:rsidRPr="007C0D45">
        <w:rPr>
          <w:rFonts w:eastAsia="Times New Roman" w:cs="Times New Roman"/>
          <w:color w:val="000000"/>
          <w:kern w:val="24"/>
          <w:szCs w:val="24"/>
          <w:lang w:val="en-US" w:eastAsia="en-ZW"/>
          <w14:ligatures w14:val="none"/>
        </w:rPr>
        <w:t xml:space="preserve"> by</w:t>
      </w:r>
      <w:r w:rsidR="007C0D45" w:rsidRPr="007C0D45">
        <w:rPr>
          <w:rFonts w:eastAsia="Calibri" w:cs="Times New Roman"/>
          <w:kern w:val="0"/>
          <w:szCs w:val="24"/>
          <w14:ligatures w14:val="none"/>
        </w:rPr>
        <w:t xml:space="preserve"> s 3 of the Criminal Law (Codification and Reform) Amendment Act</w:t>
      </w:r>
      <w:r w:rsidR="003426E8">
        <w:rPr>
          <w:rFonts w:eastAsia="Calibri" w:cs="Times New Roman"/>
          <w:kern w:val="0"/>
          <w:szCs w:val="24"/>
          <w14:ligatures w14:val="none"/>
        </w:rPr>
        <w:t xml:space="preserve"> no. 10 of </w:t>
      </w:r>
      <w:r w:rsidR="007C0D45" w:rsidRPr="007C0D45">
        <w:rPr>
          <w:rFonts w:eastAsia="Calibri" w:cs="Times New Roman"/>
          <w:kern w:val="0"/>
          <w:szCs w:val="24"/>
          <w14:ligatures w14:val="none"/>
        </w:rPr>
        <w:t xml:space="preserve">2023 (the Amendment) which amended s 65 of the Criminal law Code in relation to the sentences for the crime of rape. </w:t>
      </w:r>
      <w:r w:rsidR="007C0D45" w:rsidRPr="007C0D45">
        <w:rPr>
          <w:rFonts w:eastAsia="Times New Roman" w:cs="Times New Roman"/>
          <w:color w:val="000000"/>
          <w:kern w:val="24"/>
          <w:szCs w:val="24"/>
          <w:lang w:val="en-US" w:eastAsia="en-ZW"/>
          <w14:ligatures w14:val="none"/>
        </w:rPr>
        <w:t xml:space="preserve"> It provides as follows:</w:t>
      </w:r>
    </w:p>
    <w:p w14:paraId="2BDBBC6A" w14:textId="77777777" w:rsidR="007C0D45" w:rsidRPr="006E47D6" w:rsidRDefault="007C0D45" w:rsidP="007C0D45">
      <w:pPr>
        <w:autoSpaceDE w:val="0"/>
        <w:autoSpaceDN w:val="0"/>
        <w:adjustRightInd w:val="0"/>
        <w:spacing w:after="0" w:line="240" w:lineRule="auto"/>
        <w:rPr>
          <w:rFonts w:ascii="Arial" w:hAnsi="Arial" w:cs="Arial"/>
          <w:b/>
          <w:bCs/>
        </w:rPr>
      </w:pPr>
      <w:r w:rsidRPr="006E47D6">
        <w:rPr>
          <w:rFonts w:ascii="Arial" w:hAnsi="Arial" w:cs="Arial"/>
          <w:b/>
          <w:bCs/>
        </w:rPr>
        <w:t xml:space="preserve">3 Amendment of section 65 of </w:t>
      </w:r>
      <w:r>
        <w:rPr>
          <w:rFonts w:ascii="Arial" w:hAnsi="Arial" w:cs="Arial"/>
          <w:b/>
          <w:bCs/>
        </w:rPr>
        <w:t>[</w:t>
      </w:r>
      <w:r w:rsidRPr="006E47D6">
        <w:rPr>
          <w:rFonts w:ascii="Arial" w:hAnsi="Arial" w:cs="Arial"/>
          <w:b/>
          <w:bCs/>
        </w:rPr>
        <w:t>C</w:t>
      </w:r>
      <w:r>
        <w:rPr>
          <w:rFonts w:ascii="Arial" w:hAnsi="Arial" w:cs="Arial"/>
          <w:b/>
          <w:bCs/>
        </w:rPr>
        <w:t>hapter</w:t>
      </w:r>
      <w:r w:rsidRPr="006E47D6">
        <w:rPr>
          <w:rFonts w:ascii="Arial" w:hAnsi="Arial" w:cs="Arial"/>
          <w:b/>
          <w:bCs/>
        </w:rPr>
        <w:t>. 9:23</w:t>
      </w:r>
      <w:r>
        <w:rPr>
          <w:rFonts w:ascii="Arial" w:hAnsi="Arial" w:cs="Arial"/>
          <w:b/>
          <w:bCs/>
        </w:rPr>
        <w:t>]</w:t>
      </w:r>
    </w:p>
    <w:p w14:paraId="27D80653" w14:textId="77777777" w:rsidR="007C0D45" w:rsidRPr="006E47D6" w:rsidRDefault="007C0D45" w:rsidP="007C0D45">
      <w:pPr>
        <w:autoSpaceDE w:val="0"/>
        <w:autoSpaceDN w:val="0"/>
        <w:adjustRightInd w:val="0"/>
        <w:spacing w:after="0" w:line="240" w:lineRule="auto"/>
        <w:rPr>
          <w:rFonts w:ascii="Times-Roman" w:hAnsi="Times-Roman" w:cs="Times-Roman"/>
        </w:rPr>
      </w:pPr>
      <w:r w:rsidRPr="006E47D6">
        <w:rPr>
          <w:rFonts w:ascii="Times-Roman" w:hAnsi="Times-Roman" w:cs="Times-Roman"/>
        </w:rPr>
        <w:t>Section 65 (“Rape”) (4) of the principal Act is amended by the repeal of the</w:t>
      </w:r>
    </w:p>
    <w:p w14:paraId="2577737F" w14:textId="77777777" w:rsidR="007C0D45" w:rsidRPr="006E47D6" w:rsidRDefault="007C0D45" w:rsidP="007C0D45">
      <w:pPr>
        <w:autoSpaceDE w:val="0"/>
        <w:autoSpaceDN w:val="0"/>
        <w:adjustRightInd w:val="0"/>
        <w:spacing w:after="0" w:line="240" w:lineRule="auto"/>
        <w:rPr>
          <w:rFonts w:ascii="Times-Roman" w:hAnsi="Times-Roman" w:cs="Times-Roman"/>
        </w:rPr>
      </w:pPr>
      <w:r w:rsidRPr="006E47D6">
        <w:rPr>
          <w:rFonts w:ascii="Times-Roman" w:hAnsi="Times-Roman" w:cs="Times-Roman"/>
        </w:rPr>
        <w:t>resuming words in subsection (1) and the substitution of—</w:t>
      </w:r>
    </w:p>
    <w:p w14:paraId="7296A4B4" w14:textId="77777777" w:rsidR="007C0D45" w:rsidRPr="004D43EE" w:rsidRDefault="007C0D45" w:rsidP="007C0D45">
      <w:pPr>
        <w:autoSpaceDE w:val="0"/>
        <w:autoSpaceDN w:val="0"/>
        <w:adjustRightInd w:val="0"/>
        <w:spacing w:after="0" w:line="240" w:lineRule="auto"/>
        <w:ind w:left="1440"/>
        <w:rPr>
          <w:rFonts w:ascii="Times-Roman" w:hAnsi="Times-Roman" w:cs="Times-Roman"/>
          <w:sz w:val="22"/>
        </w:rPr>
      </w:pPr>
      <w:r w:rsidRPr="004D43EE">
        <w:rPr>
          <w:rFonts w:ascii="Times-Roman" w:hAnsi="Times-Roman" w:cs="Times-Roman"/>
          <w:sz w:val="22"/>
        </w:rPr>
        <w:t>“shall be guilty of rape and liable—</w:t>
      </w:r>
    </w:p>
    <w:p w14:paraId="183977DE" w14:textId="77777777" w:rsidR="007C0D45" w:rsidRPr="004D43EE" w:rsidRDefault="007C0D45" w:rsidP="007C0D45">
      <w:pPr>
        <w:autoSpaceDE w:val="0"/>
        <w:autoSpaceDN w:val="0"/>
        <w:adjustRightInd w:val="0"/>
        <w:spacing w:after="0" w:line="240" w:lineRule="auto"/>
        <w:ind w:left="2160"/>
        <w:rPr>
          <w:rFonts w:ascii="Times-Roman" w:hAnsi="Times-Roman" w:cs="Times-Roman"/>
          <w:sz w:val="22"/>
        </w:rPr>
      </w:pPr>
      <w:r w:rsidRPr="004D43EE">
        <w:rPr>
          <w:rFonts w:ascii="Times-Roman" w:hAnsi="Times-Roman" w:cs="Times-Roman"/>
          <w:sz w:val="22"/>
        </w:rPr>
        <w:t>(</w:t>
      </w:r>
      <w:proofErr w:type="spellStart"/>
      <w:r w:rsidRPr="004D43EE">
        <w:rPr>
          <w:rFonts w:ascii="Times-Roman" w:hAnsi="Times-Roman" w:cs="Times-Roman"/>
          <w:sz w:val="22"/>
        </w:rPr>
        <w:t>i</w:t>
      </w:r>
      <w:proofErr w:type="spellEnd"/>
      <w:r w:rsidRPr="004D43EE">
        <w:rPr>
          <w:rFonts w:ascii="Times-Roman" w:hAnsi="Times-Roman" w:cs="Times-Roman"/>
          <w:sz w:val="22"/>
        </w:rPr>
        <w:t>) if the crime was committed in aggravating circumstances as</w:t>
      </w:r>
    </w:p>
    <w:p w14:paraId="6FB83778" w14:textId="77777777" w:rsidR="007C0D45" w:rsidRPr="004D43EE" w:rsidRDefault="007C0D45" w:rsidP="007C0D45">
      <w:pPr>
        <w:autoSpaceDE w:val="0"/>
        <w:autoSpaceDN w:val="0"/>
        <w:adjustRightInd w:val="0"/>
        <w:spacing w:after="0" w:line="240" w:lineRule="auto"/>
        <w:ind w:left="2160"/>
        <w:rPr>
          <w:rFonts w:ascii="Times-Roman" w:hAnsi="Times-Roman" w:cs="Times-Roman"/>
          <w:sz w:val="22"/>
        </w:rPr>
      </w:pPr>
      <w:r w:rsidRPr="004D43EE">
        <w:rPr>
          <w:rFonts w:ascii="Times-Roman" w:hAnsi="Times-Roman" w:cs="Times-Roman"/>
          <w:sz w:val="22"/>
        </w:rPr>
        <w:t>described in subsection (2) (that is to say if there is a finding</w:t>
      </w:r>
    </w:p>
    <w:p w14:paraId="0934DCCD" w14:textId="77777777" w:rsidR="007C0D45" w:rsidRPr="004D43EE" w:rsidRDefault="007C0D45" w:rsidP="007C0D45">
      <w:pPr>
        <w:autoSpaceDE w:val="0"/>
        <w:autoSpaceDN w:val="0"/>
        <w:adjustRightInd w:val="0"/>
        <w:spacing w:after="0" w:line="240" w:lineRule="auto"/>
        <w:ind w:left="2160"/>
        <w:rPr>
          <w:rFonts w:ascii="Times-Roman" w:hAnsi="Times-Roman" w:cs="Times-Roman"/>
          <w:sz w:val="22"/>
        </w:rPr>
      </w:pPr>
      <w:r w:rsidRPr="004D43EE">
        <w:rPr>
          <w:rFonts w:ascii="Times-Roman" w:hAnsi="Times-Roman" w:cs="Times-Roman"/>
          <w:sz w:val="22"/>
        </w:rPr>
        <w:t>adverse to the accused on any one or more of those factors), to</w:t>
      </w:r>
    </w:p>
    <w:p w14:paraId="4C074EA8" w14:textId="77777777" w:rsidR="007C0D45" w:rsidRPr="004D43EE" w:rsidRDefault="007C0D45" w:rsidP="007C0D45">
      <w:pPr>
        <w:autoSpaceDE w:val="0"/>
        <w:autoSpaceDN w:val="0"/>
        <w:adjustRightInd w:val="0"/>
        <w:spacing w:after="0" w:line="240" w:lineRule="auto"/>
        <w:ind w:left="2160"/>
        <w:rPr>
          <w:rFonts w:ascii="Times-Roman" w:hAnsi="Times-Roman" w:cs="Times-Roman"/>
          <w:sz w:val="22"/>
        </w:rPr>
      </w:pPr>
      <w:r w:rsidRPr="004D43EE">
        <w:rPr>
          <w:rFonts w:ascii="Times-Roman" w:hAnsi="Times-Roman" w:cs="Times-Roman"/>
          <w:sz w:val="22"/>
        </w:rPr>
        <w:t>life imprisonment or any definite period of imprisonment of not</w:t>
      </w:r>
    </w:p>
    <w:p w14:paraId="4F6166FC" w14:textId="77777777" w:rsidR="007C0D45" w:rsidRPr="004D43EE" w:rsidRDefault="007C0D45" w:rsidP="007C0D45">
      <w:pPr>
        <w:autoSpaceDE w:val="0"/>
        <w:autoSpaceDN w:val="0"/>
        <w:adjustRightInd w:val="0"/>
        <w:spacing w:after="0" w:line="240" w:lineRule="auto"/>
        <w:ind w:left="2160"/>
        <w:rPr>
          <w:rFonts w:ascii="Times-Roman" w:hAnsi="Times-Roman" w:cs="Times-Roman"/>
          <w:sz w:val="22"/>
        </w:rPr>
      </w:pPr>
      <w:r w:rsidRPr="004D43EE">
        <w:rPr>
          <w:rFonts w:ascii="Times-Roman" w:hAnsi="Times-Roman" w:cs="Times-Roman"/>
          <w:sz w:val="22"/>
        </w:rPr>
        <w:t>less than fifteen years; or</w:t>
      </w:r>
    </w:p>
    <w:p w14:paraId="66B8B739" w14:textId="77777777" w:rsidR="007C0D45" w:rsidRPr="004D43EE" w:rsidRDefault="007C0D45" w:rsidP="007C0D45">
      <w:pPr>
        <w:autoSpaceDE w:val="0"/>
        <w:autoSpaceDN w:val="0"/>
        <w:adjustRightInd w:val="0"/>
        <w:spacing w:after="0" w:line="240" w:lineRule="auto"/>
        <w:ind w:left="2160"/>
        <w:rPr>
          <w:rFonts w:ascii="Times-Roman" w:hAnsi="Times-Roman" w:cs="Times-Roman"/>
          <w:sz w:val="22"/>
        </w:rPr>
      </w:pPr>
      <w:r w:rsidRPr="004D43EE">
        <w:rPr>
          <w:rFonts w:ascii="Times-Roman" w:hAnsi="Times-Roman" w:cs="Times-Roman"/>
          <w:sz w:val="22"/>
        </w:rPr>
        <w:t>(ii) if there are no aggravating circumstances, to a period of not less</w:t>
      </w:r>
    </w:p>
    <w:p w14:paraId="30AD8F55" w14:textId="1ED16F8E" w:rsidR="007C0D45" w:rsidRDefault="007C0D45" w:rsidP="004D43EE">
      <w:pPr>
        <w:autoSpaceDE w:val="0"/>
        <w:autoSpaceDN w:val="0"/>
        <w:adjustRightInd w:val="0"/>
        <w:spacing w:after="0" w:line="240" w:lineRule="auto"/>
        <w:ind w:left="2160"/>
        <w:rPr>
          <w:rFonts w:eastAsiaTheme="minorEastAsia" w:cs="Times New Roman"/>
          <w:color w:val="000000" w:themeColor="text1"/>
          <w:kern w:val="24"/>
          <w:sz w:val="22"/>
          <w:lang w:val="en-US" w:eastAsia="en-ZW"/>
        </w:rPr>
      </w:pPr>
      <w:r w:rsidRPr="004D43EE">
        <w:rPr>
          <w:rFonts w:ascii="Times-Roman" w:hAnsi="Times-Roman" w:cs="Times-Roman"/>
          <w:sz w:val="22"/>
        </w:rPr>
        <w:t>than five (5) years and not</w:t>
      </w:r>
      <w:r w:rsidR="004D43EE">
        <w:rPr>
          <w:rFonts w:ascii="Times-Roman" w:hAnsi="Times-Roman" w:cs="Times-Roman"/>
          <w:sz w:val="22"/>
        </w:rPr>
        <w:t xml:space="preserve"> more than fifteen (15) years.”</w:t>
      </w:r>
    </w:p>
    <w:p w14:paraId="32009F6D" w14:textId="77777777" w:rsidR="004D43EE" w:rsidRPr="004D43EE" w:rsidRDefault="004D43EE" w:rsidP="004D43EE">
      <w:pPr>
        <w:autoSpaceDE w:val="0"/>
        <w:autoSpaceDN w:val="0"/>
        <w:adjustRightInd w:val="0"/>
        <w:spacing w:after="0" w:line="240" w:lineRule="auto"/>
        <w:ind w:left="2160"/>
        <w:rPr>
          <w:rFonts w:eastAsiaTheme="minorEastAsia" w:cs="Times New Roman"/>
          <w:color w:val="000000" w:themeColor="text1"/>
          <w:kern w:val="24"/>
          <w:sz w:val="22"/>
          <w:lang w:val="en-US" w:eastAsia="en-ZW"/>
        </w:rPr>
      </w:pPr>
    </w:p>
    <w:p w14:paraId="0D606C93" w14:textId="334701E1" w:rsidR="003426E8" w:rsidRPr="0027579C" w:rsidRDefault="003426E8" w:rsidP="004F16F5">
      <w:pPr>
        <w:autoSpaceDE w:val="0"/>
        <w:autoSpaceDN w:val="0"/>
        <w:adjustRightInd w:val="0"/>
        <w:spacing w:after="0"/>
        <w:ind w:left="0" w:firstLine="720"/>
        <w:rPr>
          <w:rFonts w:cs="Times New Roman"/>
          <w:szCs w:val="24"/>
        </w:rPr>
      </w:pPr>
      <w:r w:rsidRPr="003426E8">
        <w:rPr>
          <w:rFonts w:cs="Times New Roman"/>
          <w:szCs w:val="24"/>
        </w:rPr>
        <w:t>The penalty provision means that</w:t>
      </w:r>
      <w:bookmarkStart w:id="8" w:name="_Hlk166766903"/>
      <w:r>
        <w:rPr>
          <w:rFonts w:cs="Times New Roman"/>
          <w:szCs w:val="24"/>
        </w:rPr>
        <w:t xml:space="preserve"> i</w:t>
      </w:r>
      <w:r w:rsidRPr="003426E8">
        <w:rPr>
          <w:rFonts w:cs="Times New Roman"/>
          <w:szCs w:val="24"/>
        </w:rPr>
        <w:t>f the rape is committed under aggravating circumstances (detailed in subsection (2)), the perpetrator is liable to life imprisonment or a minimum of fifteen years’ imprisonment.</w:t>
      </w:r>
      <w:r>
        <w:rPr>
          <w:rFonts w:cs="Times New Roman"/>
          <w:szCs w:val="24"/>
        </w:rPr>
        <w:t xml:space="preserve"> </w:t>
      </w:r>
      <w:r w:rsidRPr="003426E8">
        <w:rPr>
          <w:rFonts w:cs="Times New Roman"/>
          <w:szCs w:val="24"/>
        </w:rPr>
        <w:t>If there are no aggravating circumstances, the sentence ranges from a minimum of five years to a maximum of fifteen years.</w:t>
      </w:r>
      <w:bookmarkEnd w:id="8"/>
      <w:r>
        <w:rPr>
          <w:rFonts w:cs="Times New Roman"/>
          <w:szCs w:val="24"/>
        </w:rPr>
        <w:t xml:space="preserve"> </w:t>
      </w:r>
      <w:r w:rsidR="007C0D45">
        <w:rPr>
          <w:rFonts w:cs="Times New Roman"/>
          <w:szCs w:val="24"/>
        </w:rPr>
        <w:t>Put differently, the amendment creates a minimum mandatory sentence of fifteen years imprisonment for rape committed in aggravating circumstances</w:t>
      </w:r>
      <w:r>
        <w:rPr>
          <w:rFonts w:cs="Times New Roman"/>
          <w:szCs w:val="24"/>
        </w:rPr>
        <w:t xml:space="preserve"> and a minimum mandatory sentence of five years </w:t>
      </w:r>
      <w:r w:rsidR="004F16F5">
        <w:rPr>
          <w:rFonts w:cs="Times New Roman"/>
          <w:szCs w:val="24"/>
        </w:rPr>
        <w:t>and a maximum of fifteen years’ imprisonment</w:t>
      </w:r>
      <w:r w:rsidR="00E628D6">
        <w:rPr>
          <w:rFonts w:cs="Times New Roman"/>
          <w:szCs w:val="24"/>
        </w:rPr>
        <w:t xml:space="preserve"> for rape committed</w:t>
      </w:r>
      <w:r w:rsidR="004F16F5">
        <w:rPr>
          <w:rFonts w:cs="Times New Roman"/>
          <w:szCs w:val="24"/>
        </w:rPr>
        <w:t xml:space="preserve"> </w:t>
      </w:r>
      <w:r>
        <w:rPr>
          <w:rFonts w:cs="Times New Roman"/>
          <w:szCs w:val="24"/>
        </w:rPr>
        <w:t>in non-aggravating circumstances</w:t>
      </w:r>
      <w:r w:rsidR="007C0D45">
        <w:rPr>
          <w:rFonts w:cs="Times New Roman"/>
          <w:szCs w:val="24"/>
        </w:rPr>
        <w:t xml:space="preserve">. </w:t>
      </w:r>
      <w:r w:rsidR="0003575A">
        <w:rPr>
          <w:rFonts w:cs="Times New Roman"/>
          <w:szCs w:val="24"/>
        </w:rPr>
        <w:t>In the circumstances of the present case the learned regional magistrate correctly found that the rape that was perpetrated by the first accused</w:t>
      </w:r>
      <w:r w:rsidR="007F7B5B">
        <w:rPr>
          <w:rFonts w:cs="Times New Roman"/>
          <w:szCs w:val="24"/>
        </w:rPr>
        <w:t xml:space="preserve"> on the complainant</w:t>
      </w:r>
      <w:r w:rsidR="0003575A">
        <w:rPr>
          <w:rFonts w:cs="Times New Roman"/>
          <w:szCs w:val="24"/>
        </w:rPr>
        <w:t xml:space="preserve"> was committed in aggravating circumstances</w:t>
      </w:r>
      <w:r w:rsidR="007F7B5B">
        <w:rPr>
          <w:rFonts w:cs="Times New Roman"/>
          <w:szCs w:val="24"/>
        </w:rPr>
        <w:t xml:space="preserve">. I </w:t>
      </w:r>
      <w:r w:rsidR="0067711E">
        <w:rPr>
          <w:rFonts w:cs="Times New Roman"/>
          <w:szCs w:val="24"/>
        </w:rPr>
        <w:t>have no issues with</w:t>
      </w:r>
      <w:r w:rsidR="007F7B5B">
        <w:rPr>
          <w:rFonts w:cs="Times New Roman"/>
          <w:szCs w:val="24"/>
        </w:rPr>
        <w:t xml:space="preserve"> the sentence of 20 years’ imprisonment that she imposed on the first accused. However, she misdirected herself when </w:t>
      </w:r>
      <w:r w:rsidR="007F7B5B">
        <w:rPr>
          <w:rFonts w:cs="Times New Roman"/>
          <w:szCs w:val="24"/>
        </w:rPr>
        <w:lastRenderedPageBreak/>
        <w:t xml:space="preserve">she then went on to suspend 4 years of the sentence. </w:t>
      </w:r>
      <w:r w:rsidR="0067711E">
        <w:rPr>
          <w:rFonts w:cs="Times New Roman"/>
          <w:szCs w:val="24"/>
        </w:rPr>
        <w:t>She should not have suspended any portion of the sente</w:t>
      </w:r>
      <w:r w:rsidR="00A75A27">
        <w:rPr>
          <w:rFonts w:cs="Times New Roman"/>
          <w:szCs w:val="24"/>
        </w:rPr>
        <w:t xml:space="preserve">nce. </w:t>
      </w:r>
      <w:r w:rsidR="007F7B5B">
        <w:rPr>
          <w:rFonts w:cs="Times New Roman"/>
          <w:szCs w:val="24"/>
        </w:rPr>
        <w:t>In terms of s 358(2) of the CPEA when a court convicts a person of an offence specified in the Eighth Schedule,</w:t>
      </w:r>
      <w:r w:rsidR="0067711E">
        <w:rPr>
          <w:rFonts w:cs="Times New Roman"/>
          <w:szCs w:val="24"/>
        </w:rPr>
        <w:t xml:space="preserve"> it is not permitted to suspend it. </w:t>
      </w:r>
      <w:r w:rsidR="00A85085">
        <w:rPr>
          <w:rFonts w:cs="Times New Roman"/>
          <w:szCs w:val="24"/>
        </w:rPr>
        <w:t>O</w:t>
      </w:r>
      <w:r w:rsidR="0067711E">
        <w:rPr>
          <w:rFonts w:cs="Times New Roman"/>
          <w:szCs w:val="24"/>
        </w:rPr>
        <w:t xml:space="preserve">ffences that fall under the Eighth Schedule </w:t>
      </w:r>
      <w:r w:rsidR="00A85085">
        <w:rPr>
          <w:rFonts w:cs="Times New Roman"/>
          <w:szCs w:val="24"/>
        </w:rPr>
        <w:t>include</w:t>
      </w:r>
      <w:r w:rsidR="0067711E">
        <w:rPr>
          <w:rFonts w:cs="Times New Roman"/>
          <w:szCs w:val="24"/>
        </w:rPr>
        <w:t xml:space="preserve"> any offence in respect of which any enactment imposes a minimum sentence. S</w:t>
      </w:r>
      <w:r w:rsidR="00DA7868">
        <w:rPr>
          <w:rFonts w:cs="Times New Roman"/>
          <w:szCs w:val="24"/>
        </w:rPr>
        <w:t>ection</w:t>
      </w:r>
      <w:r w:rsidR="0067711E">
        <w:rPr>
          <w:rFonts w:cs="Times New Roman"/>
          <w:szCs w:val="24"/>
        </w:rPr>
        <w:t xml:space="preserve"> 65 of the Criminal Law Code provides for</w:t>
      </w:r>
      <w:r w:rsidR="00A85085">
        <w:rPr>
          <w:rFonts w:cs="Times New Roman"/>
          <w:szCs w:val="24"/>
        </w:rPr>
        <w:t xml:space="preserve"> minimum sentences as it provides for minimum</w:t>
      </w:r>
      <w:r w:rsidR="0067711E">
        <w:rPr>
          <w:rFonts w:cs="Times New Roman"/>
          <w:szCs w:val="24"/>
        </w:rPr>
        <w:t xml:space="preserve"> mandatory sentences of 5 years and 15 years imprisonment. </w:t>
      </w:r>
      <w:r w:rsidR="008D5A96" w:rsidRPr="0027579C">
        <w:rPr>
          <w:rFonts w:cs="Times New Roman"/>
          <w:szCs w:val="24"/>
        </w:rPr>
        <w:t xml:space="preserve">This court has previously made similar pronouncements in the case of </w:t>
      </w:r>
      <w:r w:rsidR="008D5A96" w:rsidRPr="0027579C">
        <w:rPr>
          <w:rFonts w:cs="Times New Roman"/>
          <w:i/>
          <w:iCs/>
          <w:szCs w:val="24"/>
        </w:rPr>
        <w:t xml:space="preserve">S </w:t>
      </w:r>
      <w:r w:rsidR="008D5A96" w:rsidRPr="00DA7868">
        <w:rPr>
          <w:rFonts w:cs="Times New Roman"/>
          <w:szCs w:val="24"/>
        </w:rPr>
        <w:t xml:space="preserve">v </w:t>
      </w:r>
      <w:r w:rsidR="008D5A96" w:rsidRPr="0027579C">
        <w:rPr>
          <w:rFonts w:cs="Times New Roman"/>
          <w:i/>
          <w:iCs/>
          <w:szCs w:val="24"/>
        </w:rPr>
        <w:t xml:space="preserve">TG </w:t>
      </w:r>
      <w:r w:rsidR="008D5A96" w:rsidRPr="0027579C">
        <w:rPr>
          <w:rFonts w:cs="Times New Roman"/>
          <w:szCs w:val="24"/>
        </w:rPr>
        <w:t>(redacted</w:t>
      </w:r>
      <w:r w:rsidR="008D5A96" w:rsidRPr="0027579C">
        <w:rPr>
          <w:rFonts w:cs="Times New Roman"/>
          <w:i/>
          <w:iCs/>
          <w:szCs w:val="24"/>
        </w:rPr>
        <w:t>) and Another</w:t>
      </w:r>
      <w:r w:rsidR="008D5A96" w:rsidRPr="0027579C">
        <w:rPr>
          <w:rFonts w:cs="Times New Roman"/>
          <w:szCs w:val="24"/>
        </w:rPr>
        <w:t xml:space="preserve"> HH 51/23</w:t>
      </w:r>
    </w:p>
    <w:p w14:paraId="389F46C7" w14:textId="2B4A6C32" w:rsidR="002319A0" w:rsidRDefault="00A75A27" w:rsidP="000176EE">
      <w:pPr>
        <w:autoSpaceDE w:val="0"/>
        <w:autoSpaceDN w:val="0"/>
        <w:adjustRightInd w:val="0"/>
        <w:spacing w:after="0"/>
        <w:ind w:left="0" w:firstLine="720"/>
      </w:pPr>
      <w:r>
        <w:rPr>
          <w:rFonts w:cs="Times New Roman"/>
          <w:szCs w:val="24"/>
        </w:rPr>
        <w:t>The third issue that arises is that</w:t>
      </w:r>
      <w:r w:rsidR="006C3B8E">
        <w:rPr>
          <w:rFonts w:cs="Times New Roman"/>
          <w:szCs w:val="24"/>
        </w:rPr>
        <w:t xml:space="preserve"> </w:t>
      </w:r>
      <w:r>
        <w:rPr>
          <w:rFonts w:cs="Times New Roman"/>
          <w:szCs w:val="24"/>
        </w:rPr>
        <w:t xml:space="preserve">the learned magistrate ordered the sentence </w:t>
      </w:r>
      <w:r w:rsidR="00A85085">
        <w:rPr>
          <w:rFonts w:cs="Times New Roman"/>
          <w:szCs w:val="24"/>
        </w:rPr>
        <w:t>for the robbery charge</w:t>
      </w:r>
      <w:r>
        <w:rPr>
          <w:rFonts w:cs="Times New Roman"/>
          <w:szCs w:val="24"/>
        </w:rPr>
        <w:t xml:space="preserve"> to run concurrently with the sentence </w:t>
      </w:r>
      <w:r w:rsidR="008D5A96">
        <w:rPr>
          <w:rFonts w:cs="Times New Roman"/>
          <w:szCs w:val="24"/>
        </w:rPr>
        <w:t xml:space="preserve">for </w:t>
      </w:r>
      <w:r w:rsidR="00A85085">
        <w:rPr>
          <w:rFonts w:cs="Times New Roman"/>
          <w:szCs w:val="24"/>
        </w:rPr>
        <w:t>the rape charge</w:t>
      </w:r>
      <w:r>
        <w:rPr>
          <w:rFonts w:cs="Times New Roman"/>
          <w:szCs w:val="24"/>
        </w:rPr>
        <w:t xml:space="preserve">. </w:t>
      </w:r>
      <w:r w:rsidR="006C3B8E">
        <w:rPr>
          <w:rFonts w:cs="Times New Roman"/>
          <w:szCs w:val="24"/>
        </w:rPr>
        <w:t xml:space="preserve">In terms of s </w:t>
      </w:r>
      <w:r w:rsidR="006C3B8E" w:rsidRPr="006C3B8E">
        <w:rPr>
          <w:rFonts w:cs="Times New Roman"/>
          <w:szCs w:val="24"/>
        </w:rPr>
        <w:t xml:space="preserve">19 (1) </w:t>
      </w:r>
      <w:r w:rsidR="006C3B8E">
        <w:rPr>
          <w:rFonts w:cs="Times New Roman"/>
          <w:szCs w:val="24"/>
        </w:rPr>
        <w:t xml:space="preserve">of the sentencing guidelines, </w:t>
      </w:r>
      <w:r w:rsidR="006C3B8E">
        <w:rPr>
          <w:rFonts w:cs="Times New Roman"/>
          <w:i/>
          <w:iCs/>
          <w:szCs w:val="24"/>
        </w:rPr>
        <w:t>“T</w:t>
      </w:r>
      <w:r w:rsidR="006C3B8E" w:rsidRPr="006C3B8E">
        <w:rPr>
          <w:rFonts w:cs="Times New Roman"/>
          <w:i/>
          <w:iCs/>
          <w:szCs w:val="24"/>
        </w:rPr>
        <w:t>he discretion to impose concurrent or consecutive sentences lies with the court having regard to the principle of totality.</w:t>
      </w:r>
      <w:r w:rsidR="006C3B8E">
        <w:rPr>
          <w:rFonts w:cs="Times New Roman"/>
          <w:i/>
          <w:iCs/>
          <w:szCs w:val="24"/>
        </w:rPr>
        <w:t>”</w:t>
      </w:r>
      <w:r w:rsidR="006C3B8E">
        <w:rPr>
          <w:rFonts w:cs="Times New Roman"/>
          <w:szCs w:val="24"/>
        </w:rPr>
        <w:t xml:space="preserve"> </w:t>
      </w:r>
      <w:r w:rsidR="006C3B8E">
        <w:t>The principle of totality refers to a fundamental guideline that courts follow when sentencing an offender for multiple offen</w:t>
      </w:r>
      <w:r w:rsidR="00ED40A8">
        <w:t>c</w:t>
      </w:r>
      <w:r w:rsidR="006C3B8E">
        <w:t>es or when sentencing an offender who is already serving an existing sentence. The principle of totality aims to ensure that the overall sentence reflects all the offender’s offending behavio</w:t>
      </w:r>
      <w:r w:rsidR="00ED40A8">
        <w:t>u</w:t>
      </w:r>
      <w:r w:rsidR="006C3B8E">
        <w:t>r and is both just and proportionate.</w:t>
      </w:r>
      <w:r w:rsidR="00ED40A8">
        <w:t xml:space="preserve"> </w:t>
      </w:r>
      <w:r w:rsidR="006C3B8E">
        <w:t>It considers the totality of the offen</w:t>
      </w:r>
      <w:r w:rsidR="00ED40A8">
        <w:t>c</w:t>
      </w:r>
      <w:r w:rsidR="006C3B8E">
        <w:t>es committed by the individual.</w:t>
      </w:r>
      <w:r w:rsidR="00A85085">
        <w:t xml:space="preserve"> </w:t>
      </w:r>
      <w:r w:rsidR="006C3B8E">
        <w:t>Sentences can be structured as either concurrent (to be served simultaneously) or consecutive (to be served one after the other).</w:t>
      </w:r>
      <w:r w:rsidR="00ED40A8">
        <w:t xml:space="preserve"> </w:t>
      </w:r>
      <w:r w:rsidR="006C3B8E">
        <w:t>There is no rigid rule on how sentences should be structured, but the principle of totality guides the decisio</w:t>
      </w:r>
      <w:r w:rsidR="00ED40A8">
        <w:t xml:space="preserve">n. </w:t>
      </w:r>
      <w:r w:rsidR="006C3B8E">
        <w:t>When sentencing for multiple offen</w:t>
      </w:r>
      <w:r w:rsidR="00ED40A8">
        <w:t>c</w:t>
      </w:r>
      <w:r w:rsidR="006C3B8E">
        <w:t>es, the court follows these steps:</w:t>
      </w:r>
      <w:r w:rsidR="00ED40A8">
        <w:t xml:space="preserve"> </w:t>
      </w:r>
      <w:r w:rsidR="00A85085">
        <w:t>c</w:t>
      </w:r>
      <w:r w:rsidR="006C3B8E">
        <w:t>onsider the sentence for each individual offen</w:t>
      </w:r>
      <w:r w:rsidR="00ED40A8">
        <w:t>c</w:t>
      </w:r>
      <w:r w:rsidR="006C3B8E">
        <w:t>e, referring to relevant sentencing guidelines</w:t>
      </w:r>
      <w:r w:rsidR="00ED40A8">
        <w:t>; d</w:t>
      </w:r>
      <w:r w:rsidR="006C3B8E">
        <w:t>etermine whether the case calls for concurrent or consecutive sentences</w:t>
      </w:r>
      <w:r w:rsidR="00ED40A8">
        <w:t>; and t</w:t>
      </w:r>
      <w:r w:rsidR="006C3B8E">
        <w:t>est the overall sentence against the requirement that it is just and proportionate to the offending as a whole.</w:t>
      </w:r>
      <w:r w:rsidR="00ED40A8">
        <w:t xml:space="preserve"> </w:t>
      </w:r>
      <w:r w:rsidR="006C3B8E">
        <w:t xml:space="preserve">Concurrent </w:t>
      </w:r>
      <w:r w:rsidR="00ED40A8">
        <w:t>s</w:t>
      </w:r>
      <w:r w:rsidR="006C3B8E">
        <w:t>entences are often appropriate when</w:t>
      </w:r>
      <w:r w:rsidR="00ED40A8">
        <w:t xml:space="preserve"> o</w:t>
      </w:r>
      <w:r w:rsidR="006C3B8E">
        <w:t>ffen</w:t>
      </w:r>
      <w:r w:rsidR="00ED40A8">
        <w:t>c</w:t>
      </w:r>
      <w:r w:rsidR="006C3B8E">
        <w:t>es arise from the same incident or facts</w:t>
      </w:r>
      <w:r w:rsidR="00ED40A8">
        <w:t>, or t</w:t>
      </w:r>
      <w:r w:rsidR="006C3B8E">
        <w:t>here is a series of similar offen</w:t>
      </w:r>
      <w:r w:rsidR="00ED40A8">
        <w:t>c</w:t>
      </w:r>
      <w:r w:rsidR="006C3B8E">
        <w:t>es, especially when committed against the same person.</w:t>
      </w:r>
      <w:r w:rsidR="00ED40A8">
        <w:t xml:space="preserve"> </w:t>
      </w:r>
      <w:r w:rsidR="006C3B8E">
        <w:t>The lead sentence (if concurrent) should reflect the overall criminality involved</w:t>
      </w:r>
      <w:r w:rsidR="00ED40A8">
        <w:t xml:space="preserve">.  </w:t>
      </w:r>
      <w:r w:rsidR="006C3B8E">
        <w:t>If sentences are consecutive, simply adding notional single sentences may not result in a just and proportionate overall sentence. Some downward adjustment is usually required.</w:t>
      </w:r>
      <w:r w:rsidR="00ED40A8">
        <w:t xml:space="preserve"> </w:t>
      </w:r>
      <w:r w:rsidR="006C3B8E">
        <w:t>If sentences are concurrent, upward adjustment may be needed to adequately reflect the overall offending.</w:t>
      </w:r>
      <w:r w:rsidR="00ED40A8">
        <w:t xml:space="preserve"> T</w:t>
      </w:r>
      <w:r w:rsidR="006C3B8E">
        <w:t>he principle of totality ensures that the total sentence considers all aspects of the offender’s behavio</w:t>
      </w:r>
      <w:r w:rsidR="00ED40A8">
        <w:t>u</w:t>
      </w:r>
      <w:r w:rsidR="006C3B8E">
        <w:t>r and results in a fair and balanced outcome</w:t>
      </w:r>
      <w:r w:rsidR="00ED40A8">
        <w:t>.</w:t>
      </w:r>
      <w:r w:rsidR="00743E36">
        <w:t xml:space="preserve"> In the circumstances of the present case, the first accused was convicted of two very serious offences of robbery and rape which were both committed in aggravating circumstances. </w:t>
      </w:r>
      <w:r w:rsidR="00974C37">
        <w:t xml:space="preserve">Considering that the learned regional magistrate had imposed an unduly lenient sentence for </w:t>
      </w:r>
      <w:r w:rsidR="00974C37">
        <w:lastRenderedPageBreak/>
        <w:t xml:space="preserve">the robbery charge and had also gone on to wrongly suspend a portion of the rape sentence, </w:t>
      </w:r>
      <w:r w:rsidR="00185413">
        <w:t xml:space="preserve">she </w:t>
      </w:r>
      <w:r w:rsidR="00974C37">
        <w:t>misdirect</w:t>
      </w:r>
      <w:r w:rsidR="00185413">
        <w:t>ed</w:t>
      </w:r>
      <w:r w:rsidR="00974C37">
        <w:t xml:space="preserve"> herself in </w:t>
      </w:r>
      <w:r w:rsidR="00185413">
        <w:t>order</w:t>
      </w:r>
      <w:r w:rsidR="00974C37">
        <w:t xml:space="preserve">ing the sentences for the two offences </w:t>
      </w:r>
      <w:r w:rsidR="00185413">
        <w:t>to</w:t>
      </w:r>
      <w:r w:rsidR="00974C37">
        <w:t xml:space="preserve"> run concurrently. </w:t>
      </w:r>
      <w:r w:rsidR="00185413">
        <w:t xml:space="preserve">The end result was an overall sentence that did not reflect all the offending behaviour of the first accused, his culpability, the aggravating factors and the overall harm caused to the complainant and her family. </w:t>
      </w:r>
      <w:r w:rsidR="002319A0">
        <w:t xml:space="preserve">The overall sentence was not just and proportionate. While the court has the discretion to decide whether sentences should be concurrent or consecutive, the discretion should be exercised judiciously. There should be some rationale in exercising that discretion. </w:t>
      </w:r>
      <w:r w:rsidR="00A85085">
        <w:t xml:space="preserve">In the rape charge the court proceeded to sentence the first accused in the absence of the victim impact statement. The complainant was not given the opportunity to tell the court how </w:t>
      </w:r>
      <w:r w:rsidR="001220CF">
        <w:t xml:space="preserve">being raped seven times in front of her six children and two strangers affected her and her children. The complainant is a married woman. It is not known how the rape affected her marriage. It is not even known how the whole family is coping after this whole ordeal. The complainant’s side of the story was never heard. Even the husband was not given an opportunity to tell the court how the rape also affected him and his marriage. If the learned regional magistrate had heard the victims’ side of the story, she might have thought twice before ordering the sentences </w:t>
      </w:r>
      <w:r w:rsidR="00A461EF">
        <w:t xml:space="preserve">for </w:t>
      </w:r>
      <w:r w:rsidR="00A461EF" w:rsidRPr="00A13A6F">
        <w:t xml:space="preserve">the </w:t>
      </w:r>
      <w:r w:rsidR="001220CF" w:rsidRPr="00A13A6F">
        <w:t xml:space="preserve">rape and </w:t>
      </w:r>
      <w:r w:rsidR="00A461EF" w:rsidRPr="00A13A6F">
        <w:t xml:space="preserve">the </w:t>
      </w:r>
      <w:r w:rsidR="001220CF">
        <w:t xml:space="preserve">robbery to run concurrently. It was a misdirection to </w:t>
      </w:r>
      <w:r w:rsidR="00185E2F">
        <w:t xml:space="preserve">make such an order without </w:t>
      </w:r>
      <w:r w:rsidR="00185E2F" w:rsidRPr="00185E2F">
        <w:t>allow</w:t>
      </w:r>
      <w:r w:rsidR="00185E2F">
        <w:t>ing the</w:t>
      </w:r>
      <w:r w:rsidR="00185E2F" w:rsidRPr="00185E2F">
        <w:t xml:space="preserve"> victims to participate in the sentencing process</w:t>
      </w:r>
      <w:r w:rsidR="00185E2F">
        <w:t xml:space="preserve">. </w:t>
      </w:r>
      <w:r w:rsidR="000176EE" w:rsidRPr="000176EE">
        <w:t>This is more so if regard is given to the ages of the six children. They are infants and toddlers. Yet they were all compelled to watch the gangsters rape their mother. Noone can even begin to imagine what trauma the children went through. They may require professional psychological assistance to recover from that. The trial magistrate must have explored th</w:t>
      </w:r>
      <w:r w:rsidR="003C1477">
        <w:t>e</w:t>
      </w:r>
      <w:r w:rsidR="000176EE" w:rsidRPr="000176EE">
        <w:t xml:space="preserve">se issues. If she had, it would have better informed her sentencing. </w:t>
      </w:r>
      <w:r w:rsidR="000176EE">
        <w:t>Her</w:t>
      </w:r>
      <w:r w:rsidR="00185E2F">
        <w:t xml:space="preserve"> approach did not</w:t>
      </w:r>
      <w:r w:rsidR="00185E2F" w:rsidRPr="00185E2F">
        <w:t xml:space="preserve"> promot</w:t>
      </w:r>
      <w:r w:rsidR="00185E2F">
        <w:t>e</w:t>
      </w:r>
      <w:r w:rsidR="00185E2F" w:rsidRPr="00185E2F">
        <w:t xml:space="preserve"> transparency and empathy. </w:t>
      </w:r>
      <w:r w:rsidR="00185E2F">
        <w:t xml:space="preserve">She did not promote the principle of </w:t>
      </w:r>
      <w:r w:rsidR="00185E2F" w:rsidRPr="00185E2F">
        <w:t xml:space="preserve">fairness and </w:t>
      </w:r>
      <w:r w:rsidR="00185E2F">
        <w:t xml:space="preserve">she failed to </w:t>
      </w:r>
      <w:r w:rsidR="00185E2F" w:rsidRPr="00185E2F">
        <w:t>adher</w:t>
      </w:r>
      <w:r w:rsidR="00185E2F">
        <w:t>e</w:t>
      </w:r>
      <w:r w:rsidR="00185E2F" w:rsidRPr="00185E2F">
        <w:t xml:space="preserve"> to </w:t>
      </w:r>
      <w:r w:rsidR="00185E2F">
        <w:t xml:space="preserve">the sentencing </w:t>
      </w:r>
      <w:r w:rsidR="00185E2F" w:rsidRPr="00185E2F">
        <w:t xml:space="preserve">guidelines. </w:t>
      </w:r>
      <w:r w:rsidR="00185E2F">
        <w:t>She proceeded to sentence the first accused without a full</w:t>
      </w:r>
      <w:r w:rsidR="00185E2F" w:rsidRPr="00185E2F">
        <w:t xml:space="preserve"> understanding of the case</w:t>
      </w:r>
      <w:r w:rsidR="00185E2F">
        <w:t>. Her understanding was one sided as she just considered the youthfulness of the first accused and decided that he did not deserve a very long custodial sentence</w:t>
      </w:r>
      <w:r w:rsidR="00185E2F" w:rsidRPr="00185E2F">
        <w:t xml:space="preserve">. </w:t>
      </w:r>
    </w:p>
    <w:p w14:paraId="6847F537" w14:textId="5B1CC7B4" w:rsidR="00F93E01" w:rsidRDefault="002319A0" w:rsidP="00ED40A8">
      <w:pPr>
        <w:ind w:left="0"/>
      </w:pPr>
      <w:r>
        <w:tab/>
        <w:t>In view of the foregoing</w:t>
      </w:r>
      <w:r w:rsidR="00F22892">
        <w:t>,</w:t>
      </w:r>
      <w:r>
        <w:t xml:space="preserve"> I will withhold my certificate in respect to the first charge of robbery. I am unable to certify </w:t>
      </w:r>
      <w:r w:rsidR="00325A0C">
        <w:t>the sentence</w:t>
      </w:r>
      <w:r>
        <w:t xml:space="preserve"> as being in accordance with real and substantial justice</w:t>
      </w:r>
      <w:r w:rsidR="00F22892">
        <w:t xml:space="preserve">. In respect to the charge of rape, </w:t>
      </w:r>
      <w:r w:rsidR="00A461EF" w:rsidRPr="00802E6C">
        <w:t xml:space="preserve">the sentence imposed by the trial magistrate is unlawful given the issues already raised. </w:t>
      </w:r>
      <w:r w:rsidR="00634247" w:rsidRPr="00802E6C">
        <w:t>In</w:t>
      </w:r>
      <w:r w:rsidR="006564AA" w:rsidRPr="00802E6C">
        <w:t xml:space="preserve"> </w:t>
      </w:r>
      <w:r w:rsidR="00634247" w:rsidRPr="00802E6C">
        <w:t xml:space="preserve">equal measure the trial magistrate’s discretion to order that the sentences run concurrently was exercised arbitrarily. </w:t>
      </w:r>
      <w:r w:rsidR="00B51DA9" w:rsidRPr="00802E6C">
        <w:t>I have</w:t>
      </w:r>
      <w:r w:rsidR="00634247" w:rsidRPr="00802E6C">
        <w:t xml:space="preserve"> already shown that doing so would result in </w:t>
      </w:r>
      <w:r w:rsidR="00B51DA9" w:rsidRPr="00802E6C">
        <w:t xml:space="preserve">the first accused person, who for all intents and purposes was the brains behind the heinous crimes, serving a sentence which in the end would portray him as a saint in the face </w:t>
      </w:r>
      <w:r w:rsidR="00B51DA9" w:rsidRPr="00802E6C">
        <w:lastRenderedPageBreak/>
        <w:t>of his</w:t>
      </w:r>
      <w:r w:rsidR="002422E7" w:rsidRPr="00802E6C">
        <w:t xml:space="preserve"> </w:t>
      </w:r>
      <w:r w:rsidR="00B51DA9" w:rsidRPr="00802E6C">
        <w:t xml:space="preserve">inhuman conduct. As such, both the order for the sentences to run concurrently and the sentence for the rape cannot be allowed to stand. </w:t>
      </w:r>
      <w:r w:rsidR="00634247">
        <w:t xml:space="preserve"> </w:t>
      </w:r>
      <w:r w:rsidR="00F22892">
        <w:t xml:space="preserve">I hereby set aside the sentence of </w:t>
      </w:r>
      <w:r w:rsidR="00E108AB">
        <w:t>“</w:t>
      </w:r>
      <w:r w:rsidR="00F22892" w:rsidRPr="00F22892">
        <w:t xml:space="preserve">20 years’ imprisonment of which 4 years’ imprisonment </w:t>
      </w:r>
      <w:r w:rsidR="00F22892">
        <w:t>is</w:t>
      </w:r>
      <w:r w:rsidR="00F22892" w:rsidRPr="00F22892">
        <w:t xml:space="preserve"> suspended </w:t>
      </w:r>
      <w:r w:rsidR="00F22892">
        <w:t xml:space="preserve">for 5 years </w:t>
      </w:r>
      <w:r w:rsidR="00F22892" w:rsidRPr="00F22892">
        <w:t xml:space="preserve">on condition </w:t>
      </w:r>
      <w:r w:rsidR="00F22892">
        <w:t xml:space="preserve">the offender does not within that period commit any offence of a sexual nature and for which upon conviction he is sentenced to </w:t>
      </w:r>
      <w:r w:rsidR="00F22892" w:rsidRPr="00F22892">
        <w:t>imprisonment</w:t>
      </w:r>
      <w:r w:rsidR="00F22892">
        <w:t xml:space="preserve"> without the option of paying a fine.</w:t>
      </w:r>
      <w:r w:rsidR="00E108AB">
        <w:t>” The sentence is substituted with the following</w:t>
      </w:r>
      <w:r w:rsidR="00634247">
        <w:t>:</w:t>
      </w:r>
    </w:p>
    <w:p w14:paraId="78C7D1F4" w14:textId="7E88980A" w:rsidR="00E108AB" w:rsidRPr="00AE2BD1" w:rsidRDefault="00520C75" w:rsidP="00ED40A8">
      <w:pPr>
        <w:ind w:left="0"/>
        <w:rPr>
          <w:b/>
          <w:bCs/>
        </w:rPr>
      </w:pPr>
      <w:r w:rsidRPr="00AE2BD1">
        <w:rPr>
          <w:b/>
          <w:bCs/>
        </w:rPr>
        <w:t>‘</w:t>
      </w:r>
      <w:r w:rsidR="00E108AB" w:rsidRPr="00AE2BD1">
        <w:rPr>
          <w:b/>
          <w:bCs/>
        </w:rPr>
        <w:t>20 years’ imprisonment.</w:t>
      </w:r>
      <w:r w:rsidRPr="00AE2BD1">
        <w:rPr>
          <w:b/>
          <w:bCs/>
        </w:rPr>
        <w:t>’</w:t>
      </w:r>
    </w:p>
    <w:p w14:paraId="75DC0573" w14:textId="09D5BD86" w:rsidR="00FF4F6D" w:rsidRPr="00073D44" w:rsidRDefault="00FF4F6D" w:rsidP="004D43EE">
      <w:pPr>
        <w:spacing w:after="0"/>
        <w:ind w:left="0"/>
      </w:pPr>
      <w:r w:rsidRPr="00AE2BD1">
        <w:rPr>
          <w:b/>
          <w:bCs/>
        </w:rPr>
        <w:t>This sentence shall run consecutively with the sentence imposed in count 1</w:t>
      </w:r>
      <w:r w:rsidRPr="00073D44">
        <w:t xml:space="preserve">. </w:t>
      </w:r>
      <w:r w:rsidR="002416B0" w:rsidRPr="002D26E1">
        <w:rPr>
          <w:b/>
          <w:bCs/>
        </w:rPr>
        <w:t>For the avoidance of doubt, the sentence in count 1 is the sentence that the learned regional magistrate imposed on the accused</w:t>
      </w:r>
      <w:r w:rsidR="002416B0">
        <w:t xml:space="preserve"> (This is the sentence that I have refused to certify as being in accordance with real and substantial justice).  </w:t>
      </w:r>
    </w:p>
    <w:p w14:paraId="505C2E3D" w14:textId="3F36D3F9" w:rsidR="00AE2BD1" w:rsidRDefault="003E297D" w:rsidP="00243C1F">
      <w:pPr>
        <w:spacing w:after="0"/>
        <w:ind w:left="0"/>
      </w:pPr>
      <w:r>
        <w:tab/>
        <w:t xml:space="preserve">The learned regional magistrate should recall the first accused from prison and advise him of his corrected sentence. </w:t>
      </w:r>
    </w:p>
    <w:p w14:paraId="2B2BE007" w14:textId="77777777" w:rsidR="00243C1F" w:rsidRPr="00243C1F" w:rsidRDefault="00243C1F" w:rsidP="00243C1F">
      <w:pPr>
        <w:spacing w:after="0"/>
        <w:ind w:left="0"/>
      </w:pPr>
    </w:p>
    <w:p w14:paraId="41340ECB" w14:textId="7F9113A9" w:rsidR="00FF4F6D" w:rsidRPr="00FF4F6D" w:rsidRDefault="00FF4F6D" w:rsidP="004D43EE">
      <w:pPr>
        <w:spacing w:after="0"/>
        <w:ind w:left="0"/>
      </w:pPr>
      <w:r w:rsidRPr="00FF4F6D">
        <w:rPr>
          <w:b/>
          <w:bCs/>
        </w:rPr>
        <w:t>MUTEVEDZI J:</w:t>
      </w:r>
      <w:r>
        <w:rPr>
          <w:b/>
          <w:bCs/>
        </w:rPr>
        <w:t xml:space="preserve"> </w:t>
      </w:r>
      <w:r>
        <w:t xml:space="preserve">I am in complete agreement </w:t>
      </w:r>
      <w:r w:rsidR="00505DCC">
        <w:t xml:space="preserve">not only </w:t>
      </w:r>
      <w:r>
        <w:t>with the</w:t>
      </w:r>
      <w:r w:rsidR="00505DCC">
        <w:t xml:space="preserve"> orders that my sister MUREMBA J made but also with the </w:t>
      </w:r>
      <w:r>
        <w:t xml:space="preserve">views </w:t>
      </w:r>
      <w:r w:rsidR="00505DCC">
        <w:t xml:space="preserve">she </w:t>
      </w:r>
      <w:r>
        <w:t>expresse</w:t>
      </w:r>
      <w:r w:rsidR="00505DCC">
        <w:t>s</w:t>
      </w:r>
      <w:r>
        <w:t xml:space="preserve"> regarding both the approach to sentencing and the sentences that were ultimately imposed by the </w:t>
      </w:r>
      <w:r w:rsidR="00505DCC">
        <w:t xml:space="preserve">trial </w:t>
      </w:r>
      <w:r>
        <w:t xml:space="preserve">regional magistrate. </w:t>
      </w:r>
      <w:r w:rsidR="0015096E">
        <w:t>They could not have been put in any better way. I wish to add a few things</w:t>
      </w:r>
      <w:r w:rsidR="00505DCC">
        <w:t xml:space="preserve"> all in support of her findings. </w:t>
      </w:r>
      <w:r w:rsidR="0015096E">
        <w:t xml:space="preserve">  </w:t>
      </w:r>
    </w:p>
    <w:p w14:paraId="708AFB34" w14:textId="6FCA24F7" w:rsidR="00081AF6" w:rsidRDefault="0015096E" w:rsidP="004D43EE">
      <w:pPr>
        <w:tabs>
          <w:tab w:val="num" w:pos="720"/>
        </w:tabs>
        <w:spacing w:after="0"/>
        <w:ind w:left="0" w:firstLine="720"/>
      </w:pPr>
      <w:r w:rsidRPr="00C51267">
        <w:t xml:space="preserve">I observe that </w:t>
      </w:r>
      <w:r w:rsidR="007148B9" w:rsidRPr="00C51267">
        <w:t xml:space="preserve">in her response to the review query, </w:t>
      </w:r>
      <w:r w:rsidRPr="00C51267">
        <w:t xml:space="preserve">the learned </w:t>
      </w:r>
      <w:r w:rsidR="006F7FBC" w:rsidRPr="00C51267">
        <w:t xml:space="preserve">regional </w:t>
      </w:r>
      <w:r w:rsidRPr="00C51267">
        <w:t xml:space="preserve">magistrate </w:t>
      </w:r>
      <w:r w:rsidR="007148B9" w:rsidRPr="00C51267">
        <w:t>said she imposed 10 years</w:t>
      </w:r>
      <w:r w:rsidR="006564AA">
        <w:t>’</w:t>
      </w:r>
      <w:r w:rsidR="007148B9" w:rsidRPr="00C51267">
        <w:t xml:space="preserve"> imprisonment and suspended almost half of it because she thought the maximum penalties were reserved for the worst cases. </w:t>
      </w:r>
      <w:r w:rsidR="00EE1464" w:rsidRPr="00C51267">
        <w:t xml:space="preserve">That response betrays a grave misunderstanding on her part. The illusion </w:t>
      </w:r>
      <w:r w:rsidRPr="00C51267">
        <w:t>appear</w:t>
      </w:r>
      <w:r w:rsidR="00EE1464" w:rsidRPr="00C51267">
        <w:t>s to emanate from a failure to appreciate the interconnectedness between the robbery and the rape(s). T</w:t>
      </w:r>
      <w:r w:rsidR="00FF4B3E" w:rsidRPr="00C51267">
        <w:t xml:space="preserve">he circumstances are such that the robbery is inseparable from the sickening rape that was subsequently committed by the first accused and his sidekicks. It would </w:t>
      </w:r>
      <w:r w:rsidR="007148B9" w:rsidRPr="00C51267">
        <w:t xml:space="preserve">therefore </w:t>
      </w:r>
      <w:r w:rsidR="00FF4B3E" w:rsidRPr="00C51267">
        <w:t>be disingenuous to accept that the robbery and the rape</w:t>
      </w:r>
      <w:r w:rsidR="00EE1464" w:rsidRPr="00C51267">
        <w:t>(s)</w:t>
      </w:r>
      <w:r w:rsidR="00FF4B3E" w:rsidRPr="00C51267">
        <w:t xml:space="preserve"> were divorced from each other. If the robbery led to </w:t>
      </w:r>
      <w:r w:rsidR="007148B9" w:rsidRPr="00C51267">
        <w:t>several counts of</w:t>
      </w:r>
      <w:r w:rsidR="00FF4B3E" w:rsidRPr="00C51267">
        <w:t xml:space="preserve"> rape </w:t>
      </w:r>
      <w:r w:rsidR="006F7FBC" w:rsidRPr="00C51267">
        <w:t xml:space="preserve">being </w:t>
      </w:r>
      <w:r w:rsidR="00FF4B3E" w:rsidRPr="00C51267">
        <w:t xml:space="preserve">committed in the gruesome </w:t>
      </w:r>
      <w:r w:rsidR="007148B9" w:rsidRPr="00C51267">
        <w:t>manner</w:t>
      </w:r>
      <w:r w:rsidR="00FF4B3E" w:rsidRPr="00C51267">
        <w:t xml:space="preserve"> that </w:t>
      </w:r>
      <w:r w:rsidR="007148B9" w:rsidRPr="00C51267">
        <w:t>my learned sister vividly</w:t>
      </w:r>
      <w:r w:rsidR="00FF4B3E" w:rsidRPr="00C51267">
        <w:t xml:space="preserve"> described above, then </w:t>
      </w:r>
      <w:r w:rsidR="00BC1C67" w:rsidRPr="00C51267">
        <w:t>it</w:t>
      </w:r>
      <w:r w:rsidR="007148B9" w:rsidRPr="00C51267">
        <w:t xml:space="preserve"> is naturally</w:t>
      </w:r>
      <w:r w:rsidR="00FF4B3E" w:rsidRPr="00C51267">
        <w:t xml:space="preserve"> elevated to the realm of the worst cases. The </w:t>
      </w:r>
      <w:r w:rsidR="00BC1C67" w:rsidRPr="00C51267">
        <w:t>two crimes</w:t>
      </w:r>
      <w:r w:rsidR="00FF4B3E" w:rsidRPr="00C51267">
        <w:t xml:space="preserve"> aggravate each other. </w:t>
      </w:r>
    </w:p>
    <w:p w14:paraId="0D1836A6" w14:textId="1ED3E7D0" w:rsidR="008D655B" w:rsidRPr="00C51267" w:rsidRDefault="006F7FBC" w:rsidP="00431406">
      <w:pPr>
        <w:tabs>
          <w:tab w:val="num" w:pos="720"/>
        </w:tabs>
        <w:ind w:left="0" w:firstLine="720"/>
      </w:pPr>
      <w:r w:rsidRPr="00C51267">
        <w:t>I must emphasise that the sections of the C</w:t>
      </w:r>
      <w:r w:rsidR="00F227B1" w:rsidRPr="00C51267">
        <w:t>ode</w:t>
      </w:r>
      <w:r w:rsidRPr="00C51267">
        <w:t xml:space="preserve"> which create particular offences and provide the penalties must, in th</w:t>
      </w:r>
      <w:r w:rsidR="00F227B1" w:rsidRPr="00C51267">
        <w:t>is</w:t>
      </w:r>
      <w:r w:rsidRPr="00C51267">
        <w:t xml:space="preserve"> new sentencing regime</w:t>
      </w:r>
      <w:r w:rsidR="00F227B1" w:rsidRPr="00C51267">
        <w:t xml:space="preserve">, </w:t>
      </w:r>
      <w:r w:rsidRPr="00C51267">
        <w:t>always be read together</w:t>
      </w:r>
      <w:r w:rsidR="00F227B1" w:rsidRPr="00C51267">
        <w:t xml:space="preserve"> with the sentencing guidelines. In turn the provisions in the sentencing guidelines themselves should </w:t>
      </w:r>
      <w:r w:rsidR="00F227B1" w:rsidRPr="00C51267">
        <w:lastRenderedPageBreak/>
        <w:t xml:space="preserve">not be viewed as silos. I will demonstrate why this is necessary. </w:t>
      </w:r>
      <w:r w:rsidR="00FF4B3E" w:rsidRPr="00C51267">
        <w:t xml:space="preserve"> </w:t>
      </w:r>
      <w:r w:rsidR="00F227B1" w:rsidRPr="00C51267">
        <w:t xml:space="preserve">Section </w:t>
      </w:r>
      <w:r w:rsidR="00FF4B3E" w:rsidRPr="00C51267">
        <w:t xml:space="preserve">126 (3) of the Code </w:t>
      </w:r>
      <w:r w:rsidR="00F227B1" w:rsidRPr="00C51267">
        <w:t xml:space="preserve">lists only three instances which aggravate a robbery. They are that </w:t>
      </w:r>
      <w:r w:rsidR="00114BAC" w:rsidRPr="00C51267">
        <w:t>the accused</w:t>
      </w:r>
      <w:r w:rsidR="00F227B1" w:rsidRPr="00C51267">
        <w:t xml:space="preserve"> or his accomplice(s) used a</w:t>
      </w:r>
      <w:r w:rsidR="00114BAC" w:rsidRPr="00C51267">
        <w:t xml:space="preserve"> firearm or a dangerous weapon; that he or she inflicted or threatened to inflict serious bodily harm upon any person; or killed a person - in which case they would be charged with the crime of murder</w:t>
      </w:r>
      <w:r w:rsidR="006A7453" w:rsidRPr="00C51267">
        <w:t xml:space="preserve"> anyway</w:t>
      </w:r>
      <w:r w:rsidR="00114BAC" w:rsidRPr="00C51267">
        <w:t xml:space="preserve">. If care is not taken, a judicial officer may confine himself or herself to the three </w:t>
      </w:r>
      <w:r w:rsidR="00D4296E" w:rsidRPr="00C51267">
        <w:t xml:space="preserve">yet the </w:t>
      </w:r>
      <w:r w:rsidR="00114BAC" w:rsidRPr="00C51267">
        <w:t xml:space="preserve">sentencing guidelines </w:t>
      </w:r>
      <w:r w:rsidR="00D4296E" w:rsidRPr="00C51267">
        <w:t xml:space="preserve">in </w:t>
      </w:r>
      <w:r w:rsidR="00114BAC" w:rsidRPr="00C51267">
        <w:t>more ways than one</w:t>
      </w:r>
      <w:r w:rsidR="00081AF6">
        <w:t>,</w:t>
      </w:r>
      <w:r w:rsidR="00114BAC" w:rsidRPr="00C51267">
        <w:t xml:space="preserve"> provide an avenue for a sentencing court to find </w:t>
      </w:r>
      <w:r w:rsidR="00D4296E" w:rsidRPr="00C51267">
        <w:t>additional aggravating factors. In the third schedule to the sentencing guidelines, against the offence of robbery appears another list for that purpose. More importantly</w:t>
      </w:r>
      <w:r w:rsidR="00FF4B3E" w:rsidRPr="00C51267">
        <w:t xml:space="preserve">, a court must always have regard to the general aggravating factors listed under s 8 of the sentencing guidelines. </w:t>
      </w:r>
      <w:r w:rsidR="00D4296E" w:rsidRPr="00C51267">
        <w:t xml:space="preserve">It lists a whole range of generic aggravating factors whose applicability a court must assess on a case-by-case basis. </w:t>
      </w:r>
      <w:r w:rsidR="00EE1F63" w:rsidRPr="00C51267">
        <w:t>It means for every crime which requires a determination of whether or not it was committed in aggravating circumstances, a sentencing court has three sources namely the particular provision in the Code, the</w:t>
      </w:r>
      <w:r w:rsidR="00F47A69" w:rsidRPr="00C51267">
        <w:t xml:space="preserve"> specific aggravating factors listed against the offence in the third schedule to the sentencing guidelines and the all-encompassing s 8 in the guidelines. </w:t>
      </w:r>
      <w:r w:rsidR="00EE1F63" w:rsidRPr="00C51267">
        <w:t xml:space="preserve"> </w:t>
      </w:r>
      <w:r w:rsidR="008D655B" w:rsidRPr="00C51267">
        <w:t>In addition, the proviso to s 8 of the guidelines is emphatic that:</w:t>
      </w:r>
    </w:p>
    <w:p w14:paraId="731320EE" w14:textId="1D3E9A4C" w:rsidR="008D655B" w:rsidRPr="004D43EE" w:rsidRDefault="008D655B" w:rsidP="006A7453">
      <w:pPr>
        <w:tabs>
          <w:tab w:val="num" w:pos="720"/>
        </w:tabs>
        <w:spacing w:line="240" w:lineRule="auto"/>
        <w:rPr>
          <w:sz w:val="22"/>
        </w:rPr>
      </w:pPr>
      <w:r w:rsidRPr="004D43EE">
        <w:rPr>
          <w:sz w:val="22"/>
        </w:rPr>
        <w:t xml:space="preserve">“For the avoidance of </w:t>
      </w:r>
      <w:r w:rsidR="008F7EA6" w:rsidRPr="004D43EE">
        <w:rPr>
          <w:sz w:val="22"/>
        </w:rPr>
        <w:t>doubt</w:t>
      </w:r>
      <w:r w:rsidRPr="004D43EE">
        <w:rPr>
          <w:sz w:val="22"/>
        </w:rPr>
        <w:t>, it</w:t>
      </w:r>
      <w:r w:rsidR="008F7EA6" w:rsidRPr="004D43EE">
        <w:rPr>
          <w:sz w:val="22"/>
        </w:rPr>
        <w:t xml:space="preserve"> </w:t>
      </w:r>
      <w:r w:rsidRPr="004D43EE">
        <w:rPr>
          <w:sz w:val="22"/>
        </w:rPr>
        <w:t>is</w:t>
      </w:r>
      <w:r w:rsidR="008F7EA6" w:rsidRPr="004D43EE">
        <w:rPr>
          <w:sz w:val="22"/>
        </w:rPr>
        <w:t xml:space="preserve"> declared that</w:t>
      </w:r>
      <w:r w:rsidRPr="004D43EE">
        <w:rPr>
          <w:sz w:val="22"/>
        </w:rPr>
        <w:t xml:space="preserve"> the circumstances enumerated in sections </w:t>
      </w:r>
      <w:r w:rsidRPr="004D43EE">
        <w:rPr>
          <w:i/>
          <w:iCs/>
          <w:sz w:val="22"/>
        </w:rPr>
        <w:t xml:space="preserve">eight </w:t>
      </w:r>
      <w:r w:rsidRPr="004D43EE">
        <w:rPr>
          <w:sz w:val="22"/>
        </w:rPr>
        <w:t xml:space="preserve">and </w:t>
      </w:r>
      <w:r w:rsidRPr="004D43EE">
        <w:rPr>
          <w:i/>
          <w:iCs/>
          <w:sz w:val="22"/>
        </w:rPr>
        <w:t>nine</w:t>
      </w:r>
      <w:r w:rsidRPr="004D43EE">
        <w:rPr>
          <w:sz w:val="22"/>
        </w:rPr>
        <w:t xml:space="preserve"> as being aggravating </w:t>
      </w:r>
      <w:r w:rsidR="008F7EA6" w:rsidRPr="004D43EE">
        <w:rPr>
          <w:sz w:val="22"/>
        </w:rPr>
        <w:t>or mitigating are not exhaustive, and that a court may find other circumstances in which any offence is committed to be either aggravating or mitigating…”</w:t>
      </w:r>
    </w:p>
    <w:p w14:paraId="38BFB804" w14:textId="6039385D" w:rsidR="00DC34CB" w:rsidRPr="00C51267" w:rsidRDefault="00DA7868" w:rsidP="00B84010">
      <w:pPr>
        <w:tabs>
          <w:tab w:val="num" w:pos="720"/>
        </w:tabs>
        <w:ind w:left="0"/>
      </w:pPr>
      <w:r>
        <w:tab/>
      </w:r>
      <w:r w:rsidR="00B84010" w:rsidRPr="00C51267">
        <w:t xml:space="preserve">I interpret the above provision to mean that a court is allowed to find other aggravating circumstances outside those that are listed in legislation. It is the reason why I indicated above </w:t>
      </w:r>
      <w:r w:rsidR="00DC34CB" w:rsidRPr="00C51267">
        <w:t xml:space="preserve">that </w:t>
      </w:r>
      <w:r w:rsidR="00B84010" w:rsidRPr="00C51267">
        <w:t xml:space="preserve">committing two or more grievous crimes in one fell-swoop serves to aggravate each of the offences. It is why in the main judgment MUREMBA J easily </w:t>
      </w:r>
      <w:r w:rsidR="00DC34CB" w:rsidRPr="00C51267">
        <w:t xml:space="preserve">extended these principles and </w:t>
      </w:r>
      <w:r w:rsidR="00B84010" w:rsidRPr="00C51267">
        <w:t>determined that</w:t>
      </w:r>
      <w:r w:rsidR="00DC34CB" w:rsidRPr="00C51267">
        <w:t>:</w:t>
      </w:r>
    </w:p>
    <w:p w14:paraId="2387CD2C" w14:textId="1119D304" w:rsidR="008D655B" w:rsidRPr="004D43EE" w:rsidRDefault="00DC34CB" w:rsidP="004D43EE">
      <w:pPr>
        <w:tabs>
          <w:tab w:val="num" w:pos="720"/>
        </w:tabs>
        <w:spacing w:line="240" w:lineRule="auto"/>
        <w:rPr>
          <w:sz w:val="22"/>
        </w:rPr>
      </w:pPr>
      <w:r w:rsidRPr="004D43EE">
        <w:rPr>
          <w:sz w:val="22"/>
        </w:rPr>
        <w:t>“There was premeditation on the part of the perpetrators; the use of a dangerous weapon – an axe; the presence of multiple perpetrators - six; the offence was committed at night at 2200 hours, and it involved breaking into a home, and resulted in physical harm and psychological trauma to the victims, including young children.”</w:t>
      </w:r>
      <w:r w:rsidR="00B84010" w:rsidRPr="004D43EE">
        <w:rPr>
          <w:sz w:val="22"/>
        </w:rPr>
        <w:t xml:space="preserve"> </w:t>
      </w:r>
    </w:p>
    <w:p w14:paraId="1BE4BB29" w14:textId="57ACFC6C" w:rsidR="00517323" w:rsidRPr="00C51267" w:rsidRDefault="008D655B" w:rsidP="004D43EE">
      <w:pPr>
        <w:tabs>
          <w:tab w:val="num" w:pos="720"/>
        </w:tabs>
        <w:spacing w:after="0"/>
        <w:ind w:left="0"/>
      </w:pPr>
      <w:r w:rsidRPr="00C51267">
        <w:t xml:space="preserve"> </w:t>
      </w:r>
      <w:r w:rsidR="00081AF6">
        <w:tab/>
      </w:r>
      <w:r w:rsidR="003F3F21" w:rsidRPr="00C51267">
        <w:t xml:space="preserve">Magistrates must </w:t>
      </w:r>
      <w:r w:rsidR="00DC34CB" w:rsidRPr="00C51267">
        <w:t>note therefore,</w:t>
      </w:r>
      <w:r w:rsidR="003F3F21" w:rsidRPr="00C51267">
        <w:t xml:space="preserve"> that they are not confined to the few aggravating factors listed in the provisions indicated above. </w:t>
      </w:r>
      <w:r w:rsidR="00FF4B3E" w:rsidRPr="00C51267">
        <w:t xml:space="preserve">If the trial magistrate in this case had </w:t>
      </w:r>
      <w:r w:rsidR="00EE1F63" w:rsidRPr="00C51267">
        <w:t>paid regard to th</w:t>
      </w:r>
      <w:r w:rsidR="00BE774E" w:rsidRPr="00C51267">
        <w:t>ose</w:t>
      </w:r>
      <w:r w:rsidR="00EE1F63" w:rsidRPr="00C51267">
        <w:t xml:space="preserve"> </w:t>
      </w:r>
      <w:r w:rsidR="00431406" w:rsidRPr="00C51267">
        <w:t>cradles</w:t>
      </w:r>
      <w:r w:rsidR="00EE1F63" w:rsidRPr="00C51267">
        <w:t xml:space="preserve"> of aggravating circumstances for the crime of robbery</w:t>
      </w:r>
      <w:r w:rsidR="00FF4B3E" w:rsidRPr="00C51267">
        <w:t xml:space="preserve">, she would not have taken </w:t>
      </w:r>
      <w:r w:rsidR="00F47A69" w:rsidRPr="00C51267">
        <w:t>it</w:t>
      </w:r>
      <w:r w:rsidR="00FF4B3E" w:rsidRPr="00C51267">
        <w:t xml:space="preserve"> as </w:t>
      </w:r>
      <w:r w:rsidR="00081AF6">
        <w:t>just another armed</w:t>
      </w:r>
      <w:r w:rsidR="00FF4B3E" w:rsidRPr="00C51267">
        <w:t xml:space="preserve"> robbery because several other aggravating factors appear therein. For instance, that children were affected means the robbers targeted, harmed and prejudiced vulnerable victims. It is also apparent that the offence was committed with repeated, </w:t>
      </w:r>
      <w:r w:rsidR="00FF4B3E" w:rsidRPr="00C51267">
        <w:lastRenderedPageBreak/>
        <w:t xml:space="preserve">gratuitous violence and or cruelty.  </w:t>
      </w:r>
      <w:r w:rsidR="00517323" w:rsidRPr="00C51267">
        <w:t xml:space="preserve">I also note from the </w:t>
      </w:r>
      <w:r w:rsidR="008A26B3" w:rsidRPr="00C51267">
        <w:t xml:space="preserve">record of proceedings that the first accused had on a previous occasion actually proposed love to the complainant. She rebuffed the proposal advising him that she was a married woman. It could not have been a coincidence therefore that the accused and his gang raided her place, stole and raped her with him as the provocateur. Both the robbery and the rape could therefore be taken as a means of getting back at the complainant for rejecting the first accused’s preposterous advances. In the </w:t>
      </w:r>
      <w:r w:rsidR="00081AF6" w:rsidRPr="00C51267">
        <w:t>circumstances, I</w:t>
      </w:r>
      <w:r w:rsidR="008A26B3" w:rsidRPr="00C51267">
        <w:t xml:space="preserve"> </w:t>
      </w:r>
      <w:r w:rsidR="00C51267" w:rsidRPr="00C51267">
        <w:t>cannot</w:t>
      </w:r>
      <w:r w:rsidR="00FF4B3E" w:rsidRPr="00C51267">
        <w:t xml:space="preserve"> conceptualise anything else that can make a robbery worse than where a robber not only assaults his victim</w:t>
      </w:r>
      <w:r w:rsidR="00C51267" w:rsidRPr="00C51267">
        <w:t>s</w:t>
      </w:r>
      <w:r w:rsidR="00FF4B3E" w:rsidRPr="00C51267">
        <w:t xml:space="preserve">, induces so much fear in </w:t>
      </w:r>
      <w:r w:rsidR="00C51267" w:rsidRPr="00C51267">
        <w:t>them</w:t>
      </w:r>
      <w:r w:rsidR="00FF4B3E" w:rsidRPr="00C51267">
        <w:t xml:space="preserve"> that the patriarch flees into the mountains but also takes turns with his gangsters to repeatedly sexually ravage and humiliate </w:t>
      </w:r>
      <w:r w:rsidR="00C51267" w:rsidRPr="00C51267">
        <w:t>a woman</w:t>
      </w:r>
      <w:r w:rsidR="00FF4B3E" w:rsidRPr="00C51267">
        <w:t xml:space="preserve"> in front of her very young children. </w:t>
      </w:r>
    </w:p>
    <w:p w14:paraId="379F1036" w14:textId="5CE486B5" w:rsidR="00FF4B3E" w:rsidRDefault="00517323" w:rsidP="004D43EE">
      <w:pPr>
        <w:tabs>
          <w:tab w:val="num" w:pos="720"/>
        </w:tabs>
        <w:spacing w:after="0"/>
        <w:ind w:left="0"/>
      </w:pPr>
      <w:r w:rsidRPr="00C51267">
        <w:tab/>
      </w:r>
      <w:r w:rsidR="00FF4B3E" w:rsidRPr="00C51267">
        <w:t xml:space="preserve">When the law </w:t>
      </w:r>
      <w:r w:rsidRPr="00C51267">
        <w:t xml:space="preserve">recommends that </w:t>
      </w:r>
      <w:r w:rsidR="00FF4B3E" w:rsidRPr="00C51267">
        <w:t xml:space="preserve">maximum sentences must be reserved for the worst cases </w:t>
      </w:r>
      <w:r w:rsidRPr="00C51267">
        <w:t xml:space="preserve">that admonition does not speak </w:t>
      </w:r>
      <w:r w:rsidR="00FF4B3E" w:rsidRPr="00C51267">
        <w:t xml:space="preserve">to the maximum jurisdiction of the judicial officer handling the case. The maximum penalty for a robbery committed in aggravating circumstances is not 12 years as the learned regional magistrate </w:t>
      </w:r>
      <w:r w:rsidRPr="00C51267">
        <w:t xml:space="preserve">may have </w:t>
      </w:r>
      <w:r w:rsidR="00FF4B3E" w:rsidRPr="00C51267">
        <w:t xml:space="preserve">thought. Instead, it is life imprisonment. It is </w:t>
      </w:r>
      <w:r w:rsidRPr="00C51267">
        <w:t>because the upper limit has been pitched so high that</w:t>
      </w:r>
      <w:r w:rsidR="00FF4B3E" w:rsidRPr="00C51267">
        <w:t xml:space="preserve"> the guidelines provide 20 years imprisonment as the median penalty. </w:t>
      </w:r>
      <w:r w:rsidR="00DC4338">
        <w:t xml:space="preserve">I sincerely hope that the recommendation to refer offenders for sentencing by the High Court </w:t>
      </w:r>
      <w:r w:rsidR="00E66CBE">
        <w:t xml:space="preserve">in terms of s 54 (2) of the Magistrates Court Act </w:t>
      </w:r>
      <w:r w:rsidR="00E66CBE" w:rsidRPr="00BD6106">
        <w:rPr>
          <w:iCs/>
        </w:rPr>
        <w:t>[</w:t>
      </w:r>
      <w:r w:rsidR="00E66CBE" w:rsidRPr="006564AA">
        <w:rPr>
          <w:i/>
          <w:iCs/>
        </w:rPr>
        <w:t>Chapter 9:10</w:t>
      </w:r>
      <w:r w:rsidR="00E66CBE">
        <w:t xml:space="preserve">] </w:t>
      </w:r>
      <w:r w:rsidR="00DC4338">
        <w:t xml:space="preserve">in cases where regional magistrates genuinely believe that their sentencing powers will not be adequate is taken seriously if the courts are to remain the bulwark of society as envisaged. </w:t>
      </w:r>
    </w:p>
    <w:p w14:paraId="03645A76" w14:textId="77777777" w:rsidR="00C35314" w:rsidRDefault="00C35314" w:rsidP="00DC34CB">
      <w:pPr>
        <w:tabs>
          <w:tab w:val="num" w:pos="720"/>
        </w:tabs>
        <w:ind w:left="0"/>
      </w:pPr>
    </w:p>
    <w:p w14:paraId="5BEF7C88" w14:textId="58AB63D1" w:rsidR="00C35314" w:rsidRDefault="00243C1F" w:rsidP="00DC34CB">
      <w:pPr>
        <w:tabs>
          <w:tab w:val="num" w:pos="720"/>
        </w:tabs>
        <w:ind w:left="0"/>
      </w:pPr>
      <w:r>
        <w:t xml:space="preserve">MUREMBA J </w:t>
      </w:r>
      <w:r w:rsidR="00C35314">
        <w:t>……………</w:t>
      </w:r>
      <w:proofErr w:type="gramStart"/>
      <w:r w:rsidR="00C35314">
        <w:t>…</w:t>
      </w:r>
      <w:r>
        <w:t>..</w:t>
      </w:r>
      <w:proofErr w:type="gramEnd"/>
    </w:p>
    <w:p w14:paraId="2FE64DEC" w14:textId="77777777" w:rsidR="00243C1F" w:rsidRDefault="00243C1F" w:rsidP="00DC34CB">
      <w:pPr>
        <w:tabs>
          <w:tab w:val="num" w:pos="720"/>
        </w:tabs>
        <w:ind w:left="0"/>
      </w:pPr>
    </w:p>
    <w:p w14:paraId="59231447" w14:textId="0C8A4784" w:rsidR="00243C1F" w:rsidRPr="00C51267" w:rsidRDefault="00243C1F" w:rsidP="00DC34CB">
      <w:pPr>
        <w:tabs>
          <w:tab w:val="num" w:pos="720"/>
        </w:tabs>
        <w:ind w:left="0"/>
        <w:rPr>
          <w:sz w:val="20"/>
          <w:szCs w:val="20"/>
        </w:rPr>
      </w:pPr>
      <w:r>
        <w:t>MUTEVEDZI J……………</w:t>
      </w:r>
      <w:proofErr w:type="gramStart"/>
      <w:r>
        <w:t>…..</w:t>
      </w:r>
      <w:proofErr w:type="gramEnd"/>
    </w:p>
    <w:p w14:paraId="7E0B250B" w14:textId="77777777" w:rsidR="00872B70" w:rsidRPr="00C51267" w:rsidRDefault="00872B70" w:rsidP="00ED40A8">
      <w:pPr>
        <w:ind w:left="0"/>
      </w:pPr>
    </w:p>
    <w:p w14:paraId="7A77D1FE" w14:textId="77777777" w:rsidR="00872B70" w:rsidRDefault="00872B70" w:rsidP="00ED40A8">
      <w:pPr>
        <w:ind w:left="0"/>
      </w:pPr>
    </w:p>
    <w:p w14:paraId="1D3285A8" w14:textId="77777777" w:rsidR="00872B70" w:rsidRDefault="00872B70" w:rsidP="00ED40A8">
      <w:pPr>
        <w:ind w:left="0"/>
      </w:pPr>
    </w:p>
    <w:p w14:paraId="69832108" w14:textId="649B4445" w:rsidR="00872B70" w:rsidRDefault="00872B70" w:rsidP="00ED40A8">
      <w:pPr>
        <w:ind w:left="0"/>
      </w:pPr>
    </w:p>
    <w:sectPr w:rsidR="00872B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598FC" w14:textId="77777777" w:rsidR="00725452" w:rsidRDefault="00725452" w:rsidP="005731FD">
      <w:pPr>
        <w:spacing w:after="0" w:line="240" w:lineRule="auto"/>
      </w:pPr>
      <w:r>
        <w:separator/>
      </w:r>
    </w:p>
  </w:endnote>
  <w:endnote w:type="continuationSeparator" w:id="0">
    <w:p w14:paraId="03127CC0" w14:textId="77777777" w:rsidR="00725452" w:rsidRDefault="00725452" w:rsidP="0057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DE0" w14:textId="77777777" w:rsidR="002D7C9B" w:rsidRDefault="002D7C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3499" w14:textId="77777777" w:rsidR="002D7C9B" w:rsidRDefault="002D7C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2320" w14:textId="77777777" w:rsidR="002D7C9B" w:rsidRDefault="002D7C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9FB05" w14:textId="77777777" w:rsidR="00725452" w:rsidRDefault="00725452" w:rsidP="005731FD">
      <w:pPr>
        <w:spacing w:after="0" w:line="240" w:lineRule="auto"/>
      </w:pPr>
      <w:r>
        <w:separator/>
      </w:r>
    </w:p>
  </w:footnote>
  <w:footnote w:type="continuationSeparator" w:id="0">
    <w:p w14:paraId="638BACCC" w14:textId="77777777" w:rsidR="00725452" w:rsidRDefault="00725452" w:rsidP="0057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DDC15" w14:textId="77777777" w:rsidR="002D7C9B" w:rsidRDefault="002D7C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672654"/>
      <w:docPartObj>
        <w:docPartGallery w:val="Page Numbers (Top of Page)"/>
        <w:docPartUnique/>
      </w:docPartObj>
    </w:sdtPr>
    <w:sdtEndPr>
      <w:rPr>
        <w:noProof/>
      </w:rPr>
    </w:sdtEndPr>
    <w:sdtContent>
      <w:p w14:paraId="12CF0657" w14:textId="0240E712" w:rsidR="004D43EE" w:rsidRDefault="004D43EE">
        <w:pPr>
          <w:pStyle w:val="Header"/>
          <w:jc w:val="right"/>
          <w:rPr>
            <w:noProof/>
          </w:rPr>
        </w:pPr>
        <w:r>
          <w:fldChar w:fldCharType="begin"/>
        </w:r>
        <w:r>
          <w:instrText xml:space="preserve"> PAGE   \* MERGEFORMAT </w:instrText>
        </w:r>
        <w:r>
          <w:fldChar w:fldCharType="separate"/>
        </w:r>
        <w:r w:rsidR="00BD6106">
          <w:rPr>
            <w:noProof/>
          </w:rPr>
          <w:t>2</w:t>
        </w:r>
        <w:r>
          <w:rPr>
            <w:noProof/>
          </w:rPr>
          <w:fldChar w:fldCharType="end"/>
        </w:r>
      </w:p>
      <w:p w14:paraId="1CEAA552" w14:textId="16B1D5EA" w:rsidR="00842D75" w:rsidRDefault="00842D75">
        <w:pPr>
          <w:pStyle w:val="Header"/>
          <w:jc w:val="right"/>
          <w:rPr>
            <w:noProof/>
          </w:rPr>
        </w:pPr>
        <w:r>
          <w:rPr>
            <w:noProof/>
          </w:rPr>
          <w:t>H</w:t>
        </w:r>
        <w:r w:rsidR="002D7C9B">
          <w:rPr>
            <w:noProof/>
          </w:rPr>
          <w:t>H 233-24</w:t>
        </w:r>
      </w:p>
      <w:p w14:paraId="62226D4A" w14:textId="20ECC92C" w:rsidR="004D43EE" w:rsidRDefault="00842D75">
        <w:pPr>
          <w:pStyle w:val="Header"/>
          <w:jc w:val="right"/>
        </w:pPr>
        <w:r>
          <w:rPr>
            <w:noProof/>
          </w:rPr>
          <w:t>HCHCR 6067</w:t>
        </w:r>
        <w:r w:rsidR="002D7C9B">
          <w:rPr>
            <w:noProof/>
          </w:rPr>
          <w:t>/</w:t>
        </w:r>
        <w:r>
          <w:rPr>
            <w:noProof/>
          </w:rPr>
          <w:t>23</w:t>
        </w:r>
      </w:p>
    </w:sdtContent>
  </w:sdt>
  <w:p w14:paraId="224BCC7C" w14:textId="77777777" w:rsidR="004D43EE" w:rsidRDefault="004D43E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7E1C" w14:textId="77777777" w:rsidR="002D7C9B" w:rsidRDefault="002D7C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8F6"/>
    <w:multiLevelType w:val="multilevel"/>
    <w:tmpl w:val="E830F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77837"/>
    <w:multiLevelType w:val="multilevel"/>
    <w:tmpl w:val="67861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97FAD"/>
    <w:multiLevelType w:val="multilevel"/>
    <w:tmpl w:val="A4BC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25403F"/>
    <w:multiLevelType w:val="multilevel"/>
    <w:tmpl w:val="DD86F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0D"/>
    <w:rsid w:val="00004972"/>
    <w:rsid w:val="00013A5C"/>
    <w:rsid w:val="000176EE"/>
    <w:rsid w:val="00024D15"/>
    <w:rsid w:val="000266CC"/>
    <w:rsid w:val="00027030"/>
    <w:rsid w:val="0003575A"/>
    <w:rsid w:val="00052BC8"/>
    <w:rsid w:val="0005463B"/>
    <w:rsid w:val="000677EC"/>
    <w:rsid w:val="00073D44"/>
    <w:rsid w:val="00081AF6"/>
    <w:rsid w:val="00083030"/>
    <w:rsid w:val="000836C7"/>
    <w:rsid w:val="000865EC"/>
    <w:rsid w:val="000A6F1B"/>
    <w:rsid w:val="000A7C6A"/>
    <w:rsid w:val="000B1D55"/>
    <w:rsid w:val="000C22E2"/>
    <w:rsid w:val="000E02BD"/>
    <w:rsid w:val="00102CE9"/>
    <w:rsid w:val="00111554"/>
    <w:rsid w:val="00114558"/>
    <w:rsid w:val="00114621"/>
    <w:rsid w:val="00114BAC"/>
    <w:rsid w:val="00120ECA"/>
    <w:rsid w:val="00121FEB"/>
    <w:rsid w:val="001220CF"/>
    <w:rsid w:val="0015096E"/>
    <w:rsid w:val="00155AE7"/>
    <w:rsid w:val="001749A6"/>
    <w:rsid w:val="001808BD"/>
    <w:rsid w:val="00185413"/>
    <w:rsid w:val="00185E2F"/>
    <w:rsid w:val="0018643E"/>
    <w:rsid w:val="00186CC0"/>
    <w:rsid w:val="00187689"/>
    <w:rsid w:val="00192E0A"/>
    <w:rsid w:val="001A0099"/>
    <w:rsid w:val="001A017D"/>
    <w:rsid w:val="001A03E8"/>
    <w:rsid w:val="001A4347"/>
    <w:rsid w:val="001B4379"/>
    <w:rsid w:val="001B4E4C"/>
    <w:rsid w:val="001C4102"/>
    <w:rsid w:val="001C493E"/>
    <w:rsid w:val="001C7FE9"/>
    <w:rsid w:val="002010AB"/>
    <w:rsid w:val="002129AF"/>
    <w:rsid w:val="00217806"/>
    <w:rsid w:val="002319A0"/>
    <w:rsid w:val="002416B0"/>
    <w:rsid w:val="002422E7"/>
    <w:rsid w:val="00243C1F"/>
    <w:rsid w:val="00244622"/>
    <w:rsid w:val="00257D64"/>
    <w:rsid w:val="002714EF"/>
    <w:rsid w:val="00272947"/>
    <w:rsid w:val="002739DE"/>
    <w:rsid w:val="0027579C"/>
    <w:rsid w:val="00296B2D"/>
    <w:rsid w:val="002A7DBB"/>
    <w:rsid w:val="002B672E"/>
    <w:rsid w:val="002C67CD"/>
    <w:rsid w:val="002D26E1"/>
    <w:rsid w:val="002D339D"/>
    <w:rsid w:val="002D518E"/>
    <w:rsid w:val="002D7A17"/>
    <w:rsid w:val="002D7C9B"/>
    <w:rsid w:val="0030565B"/>
    <w:rsid w:val="00315527"/>
    <w:rsid w:val="00316797"/>
    <w:rsid w:val="00325A0C"/>
    <w:rsid w:val="003319A3"/>
    <w:rsid w:val="003348F0"/>
    <w:rsid w:val="003426E8"/>
    <w:rsid w:val="003445D9"/>
    <w:rsid w:val="00354F27"/>
    <w:rsid w:val="0036317C"/>
    <w:rsid w:val="00371B1B"/>
    <w:rsid w:val="00381089"/>
    <w:rsid w:val="00385C27"/>
    <w:rsid w:val="00393EA5"/>
    <w:rsid w:val="003A1E6A"/>
    <w:rsid w:val="003B3A31"/>
    <w:rsid w:val="003C1477"/>
    <w:rsid w:val="003E297D"/>
    <w:rsid w:val="003E7D87"/>
    <w:rsid w:val="003F05B2"/>
    <w:rsid w:val="003F3F21"/>
    <w:rsid w:val="0040006B"/>
    <w:rsid w:val="00410C99"/>
    <w:rsid w:val="0042591C"/>
    <w:rsid w:val="00431406"/>
    <w:rsid w:val="00432B0F"/>
    <w:rsid w:val="00440633"/>
    <w:rsid w:val="00440986"/>
    <w:rsid w:val="00464BA5"/>
    <w:rsid w:val="004704F9"/>
    <w:rsid w:val="004824D0"/>
    <w:rsid w:val="00497963"/>
    <w:rsid w:val="004A493C"/>
    <w:rsid w:val="004D157D"/>
    <w:rsid w:val="004D43EE"/>
    <w:rsid w:val="004D6E92"/>
    <w:rsid w:val="004D7C39"/>
    <w:rsid w:val="004F16F5"/>
    <w:rsid w:val="004F5702"/>
    <w:rsid w:val="004F7AA3"/>
    <w:rsid w:val="005019D1"/>
    <w:rsid w:val="00505DCC"/>
    <w:rsid w:val="00517323"/>
    <w:rsid w:val="00520C75"/>
    <w:rsid w:val="00520D30"/>
    <w:rsid w:val="005241C1"/>
    <w:rsid w:val="00532516"/>
    <w:rsid w:val="00533227"/>
    <w:rsid w:val="00541A55"/>
    <w:rsid w:val="00545452"/>
    <w:rsid w:val="005731FD"/>
    <w:rsid w:val="00574501"/>
    <w:rsid w:val="005910D9"/>
    <w:rsid w:val="005B45B4"/>
    <w:rsid w:val="005B64C5"/>
    <w:rsid w:val="005C1342"/>
    <w:rsid w:val="005C642B"/>
    <w:rsid w:val="005C6540"/>
    <w:rsid w:val="005E142C"/>
    <w:rsid w:val="005E415C"/>
    <w:rsid w:val="00602CB4"/>
    <w:rsid w:val="00606857"/>
    <w:rsid w:val="006217E0"/>
    <w:rsid w:val="00621D98"/>
    <w:rsid w:val="006243E7"/>
    <w:rsid w:val="006257F3"/>
    <w:rsid w:val="006325C4"/>
    <w:rsid w:val="00634247"/>
    <w:rsid w:val="0063444D"/>
    <w:rsid w:val="006346AD"/>
    <w:rsid w:val="006347C4"/>
    <w:rsid w:val="006358E6"/>
    <w:rsid w:val="00645A3D"/>
    <w:rsid w:val="006564AA"/>
    <w:rsid w:val="0066648F"/>
    <w:rsid w:val="00670B25"/>
    <w:rsid w:val="00671550"/>
    <w:rsid w:val="00675596"/>
    <w:rsid w:val="0067711E"/>
    <w:rsid w:val="00683173"/>
    <w:rsid w:val="006A7453"/>
    <w:rsid w:val="006B27DA"/>
    <w:rsid w:val="006B7860"/>
    <w:rsid w:val="006C3B8E"/>
    <w:rsid w:val="006C56CE"/>
    <w:rsid w:val="006D026D"/>
    <w:rsid w:val="006D52EC"/>
    <w:rsid w:val="006F7FBC"/>
    <w:rsid w:val="00707DA7"/>
    <w:rsid w:val="007148B9"/>
    <w:rsid w:val="00725452"/>
    <w:rsid w:val="00727045"/>
    <w:rsid w:val="00730486"/>
    <w:rsid w:val="00737C70"/>
    <w:rsid w:val="00743E36"/>
    <w:rsid w:val="00745BE9"/>
    <w:rsid w:val="00755E7A"/>
    <w:rsid w:val="00760636"/>
    <w:rsid w:val="00773537"/>
    <w:rsid w:val="00782088"/>
    <w:rsid w:val="00792957"/>
    <w:rsid w:val="007A28BE"/>
    <w:rsid w:val="007A6973"/>
    <w:rsid w:val="007B0B49"/>
    <w:rsid w:val="007C0D45"/>
    <w:rsid w:val="007F49D1"/>
    <w:rsid w:val="007F7B5B"/>
    <w:rsid w:val="00802E6C"/>
    <w:rsid w:val="008034B5"/>
    <w:rsid w:val="0080362A"/>
    <w:rsid w:val="0081084E"/>
    <w:rsid w:val="00826977"/>
    <w:rsid w:val="00832841"/>
    <w:rsid w:val="008372AE"/>
    <w:rsid w:val="00842D75"/>
    <w:rsid w:val="008558F8"/>
    <w:rsid w:val="00864E0D"/>
    <w:rsid w:val="00872B70"/>
    <w:rsid w:val="00886B68"/>
    <w:rsid w:val="008A26B3"/>
    <w:rsid w:val="008B24BA"/>
    <w:rsid w:val="008B79EF"/>
    <w:rsid w:val="008C5554"/>
    <w:rsid w:val="008C70B7"/>
    <w:rsid w:val="008C7555"/>
    <w:rsid w:val="008D1993"/>
    <w:rsid w:val="008D5A96"/>
    <w:rsid w:val="008D655B"/>
    <w:rsid w:val="008D7992"/>
    <w:rsid w:val="008F7EA6"/>
    <w:rsid w:val="00903FB1"/>
    <w:rsid w:val="00910E70"/>
    <w:rsid w:val="00923E3F"/>
    <w:rsid w:val="00934290"/>
    <w:rsid w:val="00952964"/>
    <w:rsid w:val="00974C37"/>
    <w:rsid w:val="00982EA2"/>
    <w:rsid w:val="009A115D"/>
    <w:rsid w:val="009A4BDB"/>
    <w:rsid w:val="009A5AB9"/>
    <w:rsid w:val="009E6C72"/>
    <w:rsid w:val="009F2684"/>
    <w:rsid w:val="009F4D62"/>
    <w:rsid w:val="00A024CF"/>
    <w:rsid w:val="00A13A6F"/>
    <w:rsid w:val="00A15643"/>
    <w:rsid w:val="00A21B47"/>
    <w:rsid w:val="00A461EF"/>
    <w:rsid w:val="00A5148D"/>
    <w:rsid w:val="00A75A27"/>
    <w:rsid w:val="00A82397"/>
    <w:rsid w:val="00A82C1A"/>
    <w:rsid w:val="00A85085"/>
    <w:rsid w:val="00A90863"/>
    <w:rsid w:val="00A92C29"/>
    <w:rsid w:val="00A9378F"/>
    <w:rsid w:val="00AA4EE0"/>
    <w:rsid w:val="00AB121A"/>
    <w:rsid w:val="00AB1F91"/>
    <w:rsid w:val="00AC0E45"/>
    <w:rsid w:val="00AC0FB8"/>
    <w:rsid w:val="00AC493D"/>
    <w:rsid w:val="00AC70C5"/>
    <w:rsid w:val="00AD6EA6"/>
    <w:rsid w:val="00AE2BD1"/>
    <w:rsid w:val="00AF08B7"/>
    <w:rsid w:val="00AF5A81"/>
    <w:rsid w:val="00B43016"/>
    <w:rsid w:val="00B51DA9"/>
    <w:rsid w:val="00B56946"/>
    <w:rsid w:val="00B82120"/>
    <w:rsid w:val="00B84010"/>
    <w:rsid w:val="00B86CA3"/>
    <w:rsid w:val="00BC0D63"/>
    <w:rsid w:val="00BC1C67"/>
    <w:rsid w:val="00BC2326"/>
    <w:rsid w:val="00BC76E2"/>
    <w:rsid w:val="00BD4E6B"/>
    <w:rsid w:val="00BD6106"/>
    <w:rsid w:val="00BE0E12"/>
    <w:rsid w:val="00BE774E"/>
    <w:rsid w:val="00BF3492"/>
    <w:rsid w:val="00C0030B"/>
    <w:rsid w:val="00C05D99"/>
    <w:rsid w:val="00C3004D"/>
    <w:rsid w:val="00C35314"/>
    <w:rsid w:val="00C51267"/>
    <w:rsid w:val="00C54F66"/>
    <w:rsid w:val="00C6137C"/>
    <w:rsid w:val="00CA3279"/>
    <w:rsid w:val="00CC59D7"/>
    <w:rsid w:val="00CC5A49"/>
    <w:rsid w:val="00CD2678"/>
    <w:rsid w:val="00CD5ADD"/>
    <w:rsid w:val="00CE0B40"/>
    <w:rsid w:val="00CE3AE3"/>
    <w:rsid w:val="00CE69D6"/>
    <w:rsid w:val="00CE7DF7"/>
    <w:rsid w:val="00CE7EA6"/>
    <w:rsid w:val="00CF2947"/>
    <w:rsid w:val="00CF3676"/>
    <w:rsid w:val="00CF78A1"/>
    <w:rsid w:val="00D108E9"/>
    <w:rsid w:val="00D22C56"/>
    <w:rsid w:val="00D33507"/>
    <w:rsid w:val="00D4296E"/>
    <w:rsid w:val="00D43E1F"/>
    <w:rsid w:val="00D45487"/>
    <w:rsid w:val="00D4581C"/>
    <w:rsid w:val="00D53687"/>
    <w:rsid w:val="00D60F0E"/>
    <w:rsid w:val="00DA2D34"/>
    <w:rsid w:val="00DA4F95"/>
    <w:rsid w:val="00DA7868"/>
    <w:rsid w:val="00DB1EE8"/>
    <w:rsid w:val="00DB35D5"/>
    <w:rsid w:val="00DC34CB"/>
    <w:rsid w:val="00DC4338"/>
    <w:rsid w:val="00DD3805"/>
    <w:rsid w:val="00DE269D"/>
    <w:rsid w:val="00E00A89"/>
    <w:rsid w:val="00E0191B"/>
    <w:rsid w:val="00E0589D"/>
    <w:rsid w:val="00E108AB"/>
    <w:rsid w:val="00E1462C"/>
    <w:rsid w:val="00E15784"/>
    <w:rsid w:val="00E628D6"/>
    <w:rsid w:val="00E636E4"/>
    <w:rsid w:val="00E66CBE"/>
    <w:rsid w:val="00E817B7"/>
    <w:rsid w:val="00E83D57"/>
    <w:rsid w:val="00E87B84"/>
    <w:rsid w:val="00E91C3F"/>
    <w:rsid w:val="00E94F0D"/>
    <w:rsid w:val="00E958FE"/>
    <w:rsid w:val="00EA3CAB"/>
    <w:rsid w:val="00EA77CA"/>
    <w:rsid w:val="00EB3D07"/>
    <w:rsid w:val="00EB60D7"/>
    <w:rsid w:val="00EB6A17"/>
    <w:rsid w:val="00EC2A49"/>
    <w:rsid w:val="00ED118A"/>
    <w:rsid w:val="00ED40A8"/>
    <w:rsid w:val="00EE1464"/>
    <w:rsid w:val="00EE1F63"/>
    <w:rsid w:val="00EF4020"/>
    <w:rsid w:val="00F15862"/>
    <w:rsid w:val="00F227B1"/>
    <w:rsid w:val="00F22892"/>
    <w:rsid w:val="00F2672A"/>
    <w:rsid w:val="00F330C5"/>
    <w:rsid w:val="00F47A69"/>
    <w:rsid w:val="00F521EB"/>
    <w:rsid w:val="00F62221"/>
    <w:rsid w:val="00F64BB9"/>
    <w:rsid w:val="00F7568E"/>
    <w:rsid w:val="00F759A9"/>
    <w:rsid w:val="00F85CE1"/>
    <w:rsid w:val="00F93E01"/>
    <w:rsid w:val="00FC253A"/>
    <w:rsid w:val="00FC3450"/>
    <w:rsid w:val="00FC3D6E"/>
    <w:rsid w:val="00FD4A68"/>
    <w:rsid w:val="00FE21BA"/>
    <w:rsid w:val="00FE4987"/>
    <w:rsid w:val="00FF4B3E"/>
    <w:rsid w:val="00FF4F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560F"/>
  <w15:chartTrackingRefBased/>
  <w15:docId w15:val="{7A818F76-E4B3-40E2-9255-B29BB13A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17D"/>
    <w:rPr>
      <w:rFonts w:cs="Times New Roman"/>
      <w:szCs w:val="24"/>
    </w:rPr>
  </w:style>
  <w:style w:type="paragraph" w:styleId="Header">
    <w:name w:val="header"/>
    <w:basedOn w:val="Normal"/>
    <w:link w:val="HeaderChar"/>
    <w:uiPriority w:val="99"/>
    <w:unhideWhenUsed/>
    <w:rsid w:val="0057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1FD"/>
  </w:style>
  <w:style w:type="paragraph" w:styleId="Footer">
    <w:name w:val="footer"/>
    <w:basedOn w:val="Normal"/>
    <w:link w:val="FooterChar"/>
    <w:uiPriority w:val="99"/>
    <w:unhideWhenUsed/>
    <w:rsid w:val="0057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1FD"/>
  </w:style>
  <w:style w:type="character" w:styleId="Hyperlink">
    <w:name w:val="Hyperlink"/>
    <w:basedOn w:val="DefaultParagraphFont"/>
    <w:uiPriority w:val="99"/>
    <w:unhideWhenUsed/>
    <w:rsid w:val="00013A5C"/>
    <w:rPr>
      <w:color w:val="0563C1" w:themeColor="hyperlink"/>
      <w:u w:val="single"/>
    </w:rPr>
  </w:style>
  <w:style w:type="character" w:customStyle="1" w:styleId="UnresolvedMention1">
    <w:name w:val="Unresolved Mention1"/>
    <w:basedOn w:val="DefaultParagraphFont"/>
    <w:uiPriority w:val="99"/>
    <w:semiHidden/>
    <w:unhideWhenUsed/>
    <w:rsid w:val="00013A5C"/>
    <w:rPr>
      <w:color w:val="605E5C"/>
      <w:shd w:val="clear" w:color="auto" w:fill="E1DFDD"/>
    </w:rPr>
  </w:style>
  <w:style w:type="character" w:styleId="FollowedHyperlink">
    <w:name w:val="FollowedHyperlink"/>
    <w:basedOn w:val="DefaultParagraphFont"/>
    <w:uiPriority w:val="99"/>
    <w:semiHidden/>
    <w:unhideWhenUsed/>
    <w:rsid w:val="00826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360">
      <w:bodyDiv w:val="1"/>
      <w:marLeft w:val="0"/>
      <w:marRight w:val="0"/>
      <w:marTop w:val="0"/>
      <w:marBottom w:val="0"/>
      <w:divBdr>
        <w:top w:val="none" w:sz="0" w:space="0" w:color="auto"/>
        <w:left w:val="none" w:sz="0" w:space="0" w:color="auto"/>
        <w:bottom w:val="none" w:sz="0" w:space="0" w:color="auto"/>
        <w:right w:val="none" w:sz="0" w:space="0" w:color="auto"/>
      </w:divBdr>
    </w:div>
    <w:div w:id="600990457">
      <w:bodyDiv w:val="1"/>
      <w:marLeft w:val="0"/>
      <w:marRight w:val="0"/>
      <w:marTop w:val="0"/>
      <w:marBottom w:val="0"/>
      <w:divBdr>
        <w:top w:val="none" w:sz="0" w:space="0" w:color="auto"/>
        <w:left w:val="none" w:sz="0" w:space="0" w:color="auto"/>
        <w:bottom w:val="none" w:sz="0" w:space="0" w:color="auto"/>
        <w:right w:val="none" w:sz="0" w:space="0" w:color="auto"/>
      </w:divBdr>
    </w:div>
    <w:div w:id="1185244501">
      <w:bodyDiv w:val="1"/>
      <w:marLeft w:val="0"/>
      <w:marRight w:val="0"/>
      <w:marTop w:val="0"/>
      <w:marBottom w:val="0"/>
      <w:divBdr>
        <w:top w:val="none" w:sz="0" w:space="0" w:color="auto"/>
        <w:left w:val="none" w:sz="0" w:space="0" w:color="auto"/>
        <w:bottom w:val="none" w:sz="0" w:space="0" w:color="auto"/>
        <w:right w:val="none" w:sz="0" w:space="0" w:color="auto"/>
      </w:divBdr>
    </w:div>
    <w:div w:id="18530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ndaymail.co.zw/19-000-robberies-3-500-murders-rock-zi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17</Pages>
  <Words>7170</Words>
  <Characters>40871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63</cp:revision>
  <cp:lastPrinted>2024-06-06T08:14:00Z</cp:lastPrinted>
  <dcterms:created xsi:type="dcterms:W3CDTF">2024-06-04T14:44:00Z</dcterms:created>
  <dcterms:modified xsi:type="dcterms:W3CDTF">2024-06-07T08:28:00Z</dcterms:modified>
</cp:coreProperties>
</file>