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AB837" w14:textId="2443D30B" w:rsidR="00435A57" w:rsidRPr="00771033" w:rsidRDefault="00435A57" w:rsidP="003C30CF">
      <w:pPr>
        <w:jc w:val="both"/>
        <w:rPr>
          <w:rFonts w:ascii="Times New Roman" w:hAnsi="Times New Roman" w:cs="Times New Roman"/>
          <w:sz w:val="24"/>
          <w:szCs w:val="24"/>
          <w:lang w:val="en-US"/>
        </w:rPr>
      </w:pPr>
      <w:bookmarkStart w:id="0" w:name="_GoBack"/>
      <w:bookmarkEnd w:id="0"/>
      <w:r w:rsidRPr="00771033">
        <w:rPr>
          <w:rFonts w:ascii="Times New Roman" w:hAnsi="Times New Roman" w:cs="Times New Roman"/>
          <w:sz w:val="24"/>
          <w:szCs w:val="24"/>
          <w:lang w:val="en-US"/>
        </w:rPr>
        <w:t>THE STATE</w:t>
      </w:r>
    </w:p>
    <w:p w14:paraId="0873A4CF" w14:textId="5904003F" w:rsidR="00DC4C5B" w:rsidRPr="00771033" w:rsidRDefault="0062192C" w:rsidP="003C30CF">
      <w:pPr>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435A57" w:rsidRPr="00771033">
        <w:rPr>
          <w:rFonts w:ascii="Times New Roman" w:hAnsi="Times New Roman" w:cs="Times New Roman"/>
          <w:sz w:val="24"/>
          <w:szCs w:val="24"/>
          <w:lang w:val="en-US"/>
        </w:rPr>
        <w:t xml:space="preserve">ersus </w:t>
      </w:r>
    </w:p>
    <w:p w14:paraId="3A68EA8B" w14:textId="5AA5AC2E" w:rsidR="00435A57" w:rsidRPr="00771033" w:rsidRDefault="009A77B9" w:rsidP="003C30CF">
      <w:pPr>
        <w:jc w:val="both"/>
        <w:rPr>
          <w:rFonts w:ascii="Times New Roman" w:hAnsi="Times New Roman" w:cs="Times New Roman"/>
          <w:sz w:val="24"/>
          <w:szCs w:val="24"/>
          <w:lang w:val="en-US"/>
        </w:rPr>
      </w:pPr>
      <w:r>
        <w:rPr>
          <w:rFonts w:ascii="Times New Roman" w:hAnsi="Times New Roman" w:cs="Times New Roman"/>
          <w:sz w:val="24"/>
          <w:szCs w:val="24"/>
          <w:lang w:val="en-US"/>
        </w:rPr>
        <w:t>VESCA MACHEKE</w:t>
      </w:r>
    </w:p>
    <w:p w14:paraId="079ACF83" w14:textId="77777777" w:rsidR="00B660B2" w:rsidRDefault="00B660B2" w:rsidP="003C30CF">
      <w:pPr>
        <w:jc w:val="both"/>
        <w:rPr>
          <w:rFonts w:ascii="Times New Roman" w:hAnsi="Times New Roman" w:cs="Times New Roman"/>
          <w:sz w:val="24"/>
          <w:szCs w:val="24"/>
          <w:lang w:val="en-US"/>
        </w:rPr>
      </w:pPr>
    </w:p>
    <w:p w14:paraId="1AC60335" w14:textId="77777777" w:rsidR="0062192C" w:rsidRPr="00771033" w:rsidRDefault="0062192C" w:rsidP="003C30CF">
      <w:pPr>
        <w:jc w:val="both"/>
        <w:rPr>
          <w:rFonts w:ascii="Times New Roman" w:hAnsi="Times New Roman" w:cs="Times New Roman"/>
          <w:sz w:val="24"/>
          <w:szCs w:val="24"/>
          <w:lang w:val="en-US"/>
        </w:rPr>
      </w:pPr>
    </w:p>
    <w:p w14:paraId="59178824" w14:textId="2E3FCE3D" w:rsidR="00B660B2" w:rsidRPr="00771033" w:rsidRDefault="00B660B2" w:rsidP="003C30CF">
      <w:pPr>
        <w:jc w:val="both"/>
        <w:rPr>
          <w:rFonts w:ascii="Times New Roman" w:hAnsi="Times New Roman" w:cs="Times New Roman"/>
          <w:sz w:val="24"/>
          <w:szCs w:val="24"/>
          <w:lang w:val="en-US"/>
        </w:rPr>
      </w:pPr>
      <w:r w:rsidRPr="00771033">
        <w:rPr>
          <w:rFonts w:ascii="Times New Roman" w:hAnsi="Times New Roman" w:cs="Times New Roman"/>
          <w:sz w:val="24"/>
          <w:szCs w:val="24"/>
          <w:lang w:val="en-US"/>
        </w:rPr>
        <w:t>HIGH COURT OF ZIMBABWE</w:t>
      </w:r>
    </w:p>
    <w:p w14:paraId="539EA6D9" w14:textId="780DE433" w:rsidR="00DC4C5B" w:rsidRPr="00771033" w:rsidRDefault="00B660B2" w:rsidP="003C30CF">
      <w:pPr>
        <w:jc w:val="both"/>
        <w:rPr>
          <w:rFonts w:ascii="Times New Roman" w:hAnsi="Times New Roman" w:cs="Times New Roman"/>
          <w:sz w:val="24"/>
          <w:szCs w:val="24"/>
          <w:lang w:val="en-US"/>
        </w:rPr>
      </w:pPr>
      <w:r w:rsidRPr="00771033">
        <w:rPr>
          <w:rFonts w:ascii="Times New Roman" w:hAnsi="Times New Roman" w:cs="Times New Roman"/>
          <w:sz w:val="24"/>
          <w:szCs w:val="24"/>
          <w:lang w:val="en-US"/>
        </w:rPr>
        <w:t>MU</w:t>
      </w:r>
      <w:r w:rsidR="009A77B9">
        <w:rPr>
          <w:rFonts w:ascii="Times New Roman" w:hAnsi="Times New Roman" w:cs="Times New Roman"/>
          <w:sz w:val="24"/>
          <w:szCs w:val="24"/>
          <w:lang w:val="en-US"/>
        </w:rPr>
        <w:t>REMBA J</w:t>
      </w:r>
    </w:p>
    <w:p w14:paraId="30F6ED04" w14:textId="3EE9DEA3" w:rsidR="00B660B2" w:rsidRDefault="00B7071F" w:rsidP="003C30CF">
      <w:pPr>
        <w:jc w:val="both"/>
        <w:rPr>
          <w:rFonts w:ascii="Times New Roman" w:hAnsi="Times New Roman" w:cs="Times New Roman"/>
          <w:sz w:val="24"/>
          <w:szCs w:val="24"/>
          <w:lang w:val="en-US"/>
        </w:rPr>
      </w:pPr>
      <w:r w:rsidRPr="00771033">
        <w:rPr>
          <w:rFonts w:ascii="Times New Roman" w:hAnsi="Times New Roman" w:cs="Times New Roman"/>
          <w:sz w:val="24"/>
          <w:szCs w:val="24"/>
          <w:lang w:val="en-US"/>
        </w:rPr>
        <w:t>HARARE</w:t>
      </w:r>
      <w:r w:rsidR="009A77B9">
        <w:rPr>
          <w:rFonts w:ascii="Times New Roman" w:hAnsi="Times New Roman" w:cs="Times New Roman"/>
          <w:sz w:val="24"/>
          <w:szCs w:val="24"/>
          <w:lang w:val="en-US"/>
        </w:rPr>
        <w:t>: 24 July 2024</w:t>
      </w:r>
    </w:p>
    <w:p w14:paraId="41119084" w14:textId="77777777" w:rsidR="00870A99" w:rsidRDefault="00870A99" w:rsidP="003C30CF">
      <w:pPr>
        <w:jc w:val="both"/>
        <w:rPr>
          <w:rFonts w:ascii="Times New Roman" w:hAnsi="Times New Roman" w:cs="Times New Roman"/>
          <w:sz w:val="24"/>
          <w:szCs w:val="24"/>
          <w:lang w:val="en-US"/>
        </w:rPr>
      </w:pPr>
    </w:p>
    <w:p w14:paraId="4D47BBEF" w14:textId="77777777" w:rsidR="00870A99" w:rsidRDefault="00870A99" w:rsidP="003C30CF">
      <w:pPr>
        <w:jc w:val="both"/>
        <w:rPr>
          <w:rFonts w:ascii="Times New Roman" w:hAnsi="Times New Roman" w:cs="Times New Roman"/>
          <w:sz w:val="24"/>
          <w:szCs w:val="24"/>
          <w:lang w:val="en-US"/>
        </w:rPr>
      </w:pPr>
    </w:p>
    <w:p w14:paraId="5C31A346" w14:textId="2236BCBF" w:rsidR="00870A99" w:rsidRPr="00870A99" w:rsidRDefault="00870A99" w:rsidP="003C30CF">
      <w:pPr>
        <w:jc w:val="both"/>
        <w:rPr>
          <w:rFonts w:ascii="Times New Roman" w:hAnsi="Times New Roman" w:cs="Times New Roman"/>
          <w:b/>
          <w:bCs/>
          <w:sz w:val="24"/>
          <w:szCs w:val="24"/>
          <w:lang w:val="en-US"/>
        </w:rPr>
      </w:pPr>
      <w:r w:rsidRPr="00870A99">
        <w:rPr>
          <w:rFonts w:ascii="Times New Roman" w:hAnsi="Times New Roman" w:cs="Times New Roman"/>
          <w:b/>
          <w:bCs/>
          <w:sz w:val="24"/>
          <w:szCs w:val="24"/>
          <w:lang w:val="en-US"/>
        </w:rPr>
        <w:t>Criminal Review Judgement</w:t>
      </w:r>
    </w:p>
    <w:p w14:paraId="56475CE9" w14:textId="77777777" w:rsidR="00170553" w:rsidRPr="00771033" w:rsidRDefault="00170553" w:rsidP="003C30CF">
      <w:pPr>
        <w:jc w:val="both"/>
        <w:rPr>
          <w:rFonts w:ascii="Times New Roman" w:hAnsi="Times New Roman" w:cs="Times New Roman"/>
          <w:sz w:val="24"/>
          <w:szCs w:val="24"/>
          <w:lang w:val="en-US"/>
        </w:rPr>
      </w:pPr>
    </w:p>
    <w:p w14:paraId="4486299B" w14:textId="77777777" w:rsidR="005448FD" w:rsidRDefault="005448FD" w:rsidP="003C30CF">
      <w:pPr>
        <w:jc w:val="both"/>
        <w:rPr>
          <w:rFonts w:ascii="Times New Roman" w:hAnsi="Times New Roman" w:cs="Times New Roman"/>
          <w:i/>
          <w:iCs/>
          <w:sz w:val="24"/>
          <w:szCs w:val="24"/>
          <w:lang w:val="en-US"/>
        </w:rPr>
      </w:pPr>
    </w:p>
    <w:p w14:paraId="5A81D010" w14:textId="77777777" w:rsidR="00B32DEC" w:rsidRPr="00B32DEC" w:rsidRDefault="00B32DEC" w:rsidP="003C30CF">
      <w:pPr>
        <w:jc w:val="both"/>
        <w:rPr>
          <w:rFonts w:ascii="Times New Roman" w:hAnsi="Times New Roman" w:cs="Times New Roman"/>
          <w:sz w:val="24"/>
          <w:szCs w:val="24"/>
          <w:lang w:val="en-US"/>
        </w:rPr>
      </w:pPr>
    </w:p>
    <w:p w14:paraId="51522721" w14:textId="28F3A2A6" w:rsidR="00EF6C36" w:rsidRDefault="005448FD" w:rsidP="00B32DEC">
      <w:pPr>
        <w:pStyle w:val="p1"/>
        <w:spacing w:line="360" w:lineRule="auto"/>
        <w:jc w:val="both"/>
        <w:divId w:val="298540872"/>
        <w:rPr>
          <w:rStyle w:val="s1"/>
          <w:rFonts w:ascii="Times New Roman" w:hAnsi="Times New Roman"/>
          <w:sz w:val="24"/>
          <w:szCs w:val="24"/>
        </w:rPr>
      </w:pPr>
      <w:r w:rsidRPr="00771033">
        <w:rPr>
          <w:rFonts w:ascii="Times New Roman" w:hAnsi="Times New Roman"/>
          <w:i/>
          <w:iCs/>
          <w:sz w:val="24"/>
          <w:szCs w:val="24"/>
          <w:lang w:val="en-US"/>
        </w:rPr>
        <w:t xml:space="preserve">          </w:t>
      </w:r>
      <w:r w:rsidR="00160A43" w:rsidRPr="00775FAD">
        <w:rPr>
          <w:rFonts w:ascii="Times New Roman" w:hAnsi="Times New Roman"/>
          <w:sz w:val="24"/>
          <w:szCs w:val="24"/>
          <w:lang w:val="en-US"/>
        </w:rPr>
        <w:t>MUREMBA J</w:t>
      </w:r>
      <w:r w:rsidRPr="00775FAD">
        <w:rPr>
          <w:rFonts w:ascii="Times New Roman" w:hAnsi="Times New Roman"/>
          <w:sz w:val="24"/>
          <w:szCs w:val="24"/>
          <w:lang w:val="en-US"/>
        </w:rPr>
        <w:t>:</w:t>
      </w:r>
      <w:r w:rsidRPr="00771033">
        <w:rPr>
          <w:rFonts w:ascii="Times New Roman" w:hAnsi="Times New Roman"/>
          <w:b/>
          <w:bCs/>
          <w:sz w:val="24"/>
          <w:szCs w:val="24"/>
          <w:lang w:val="en-US"/>
        </w:rPr>
        <w:t xml:space="preserve"> </w:t>
      </w:r>
      <w:r w:rsidR="00B32DEC">
        <w:rPr>
          <w:rFonts w:ascii="Times New Roman" w:hAnsi="Times New Roman"/>
          <w:b/>
          <w:bCs/>
          <w:sz w:val="24"/>
          <w:szCs w:val="24"/>
          <w:lang w:val="en-US"/>
        </w:rPr>
        <w:t xml:space="preserve">  </w:t>
      </w:r>
      <w:r w:rsidR="00B32DEC">
        <w:rPr>
          <w:rStyle w:val="s1"/>
          <w:rFonts w:ascii="Times New Roman" w:hAnsi="Times New Roman"/>
          <w:sz w:val="24"/>
          <w:szCs w:val="24"/>
        </w:rPr>
        <w:t xml:space="preserve">The accused was charged </w:t>
      </w:r>
      <w:r w:rsidR="00160A43">
        <w:rPr>
          <w:rStyle w:val="s1"/>
          <w:rFonts w:ascii="Times New Roman" w:hAnsi="Times New Roman"/>
          <w:sz w:val="24"/>
          <w:szCs w:val="24"/>
        </w:rPr>
        <w:t>with and</w:t>
      </w:r>
      <w:r w:rsidR="00B32DEC">
        <w:rPr>
          <w:rStyle w:val="s1"/>
          <w:rFonts w:ascii="Times New Roman" w:hAnsi="Times New Roman"/>
          <w:sz w:val="24"/>
          <w:szCs w:val="24"/>
        </w:rPr>
        <w:t xml:space="preserve"> convicted of </w:t>
      </w:r>
      <w:r w:rsidR="00160A43">
        <w:rPr>
          <w:rStyle w:val="s1"/>
          <w:rFonts w:ascii="Times New Roman" w:hAnsi="Times New Roman"/>
          <w:sz w:val="24"/>
          <w:szCs w:val="24"/>
        </w:rPr>
        <w:t>unlawful possession</w:t>
      </w:r>
      <w:r w:rsidR="00B32DEC">
        <w:rPr>
          <w:rStyle w:val="s1"/>
          <w:rFonts w:ascii="Times New Roman" w:hAnsi="Times New Roman"/>
          <w:sz w:val="24"/>
          <w:szCs w:val="24"/>
        </w:rPr>
        <w:t xml:space="preserve"> of 700g of </w:t>
      </w:r>
      <w:r w:rsidR="00160A43">
        <w:rPr>
          <w:rStyle w:val="s1"/>
          <w:rFonts w:ascii="Times New Roman" w:hAnsi="Times New Roman"/>
          <w:sz w:val="24"/>
          <w:szCs w:val="24"/>
        </w:rPr>
        <w:t>dagga as</w:t>
      </w:r>
      <w:r w:rsidR="00B32DEC">
        <w:rPr>
          <w:rStyle w:val="s1"/>
          <w:rFonts w:ascii="Times New Roman" w:hAnsi="Times New Roman"/>
          <w:sz w:val="24"/>
          <w:szCs w:val="24"/>
        </w:rPr>
        <w:t xml:space="preserve"> defined in s 157 (1) of </w:t>
      </w:r>
      <w:r w:rsidR="00160A43">
        <w:rPr>
          <w:rStyle w:val="s1"/>
          <w:rFonts w:ascii="Times New Roman" w:hAnsi="Times New Roman"/>
          <w:sz w:val="24"/>
          <w:szCs w:val="24"/>
        </w:rPr>
        <w:t>the Criminal</w:t>
      </w:r>
      <w:r w:rsidR="00B32DEC">
        <w:rPr>
          <w:rStyle w:val="s1"/>
          <w:rFonts w:ascii="Times New Roman" w:hAnsi="Times New Roman"/>
          <w:sz w:val="24"/>
          <w:szCs w:val="24"/>
        </w:rPr>
        <w:t xml:space="preserve"> Law Code. </w:t>
      </w:r>
      <w:r w:rsidR="00870A99">
        <w:rPr>
          <w:rStyle w:val="s1"/>
          <w:rFonts w:ascii="Times New Roman" w:hAnsi="Times New Roman"/>
          <w:sz w:val="24"/>
          <w:szCs w:val="24"/>
        </w:rPr>
        <w:t xml:space="preserve"> </w:t>
      </w:r>
      <w:r w:rsidR="00B32DEC">
        <w:rPr>
          <w:rStyle w:val="s1"/>
          <w:rFonts w:ascii="Times New Roman" w:hAnsi="Times New Roman"/>
          <w:sz w:val="24"/>
          <w:szCs w:val="24"/>
        </w:rPr>
        <w:t xml:space="preserve">She </w:t>
      </w:r>
      <w:r w:rsidR="00160A43">
        <w:rPr>
          <w:rStyle w:val="s1"/>
          <w:rFonts w:ascii="Times New Roman" w:hAnsi="Times New Roman"/>
          <w:sz w:val="24"/>
          <w:szCs w:val="24"/>
        </w:rPr>
        <w:t>pleaded guilty</w:t>
      </w:r>
      <w:r w:rsidR="00B32DEC">
        <w:rPr>
          <w:rStyle w:val="s1"/>
          <w:rFonts w:ascii="Times New Roman" w:hAnsi="Times New Roman"/>
          <w:sz w:val="24"/>
          <w:szCs w:val="24"/>
        </w:rPr>
        <w:t xml:space="preserve"> to the charge </w:t>
      </w:r>
      <w:r w:rsidR="00160A43">
        <w:rPr>
          <w:rStyle w:val="s1"/>
          <w:rFonts w:ascii="Times New Roman" w:hAnsi="Times New Roman"/>
          <w:sz w:val="24"/>
          <w:szCs w:val="24"/>
        </w:rPr>
        <w:t>and was</w:t>
      </w:r>
      <w:r w:rsidR="00B32DEC">
        <w:rPr>
          <w:rStyle w:val="s1"/>
          <w:rFonts w:ascii="Times New Roman" w:hAnsi="Times New Roman"/>
          <w:sz w:val="24"/>
          <w:szCs w:val="24"/>
        </w:rPr>
        <w:t xml:space="preserve"> </w:t>
      </w:r>
      <w:r w:rsidR="00160A43">
        <w:rPr>
          <w:rStyle w:val="s1"/>
          <w:rFonts w:ascii="Times New Roman" w:hAnsi="Times New Roman"/>
          <w:sz w:val="24"/>
          <w:szCs w:val="24"/>
        </w:rPr>
        <w:t>duly convicted</w:t>
      </w:r>
      <w:r w:rsidR="00B32DEC">
        <w:rPr>
          <w:rStyle w:val="s1"/>
          <w:rFonts w:ascii="Times New Roman" w:hAnsi="Times New Roman"/>
          <w:sz w:val="24"/>
          <w:szCs w:val="24"/>
        </w:rPr>
        <w:t xml:space="preserve">. I hereby confirm </w:t>
      </w:r>
      <w:r w:rsidR="00160A43">
        <w:rPr>
          <w:rStyle w:val="s1"/>
          <w:rFonts w:ascii="Times New Roman" w:hAnsi="Times New Roman"/>
          <w:sz w:val="24"/>
          <w:szCs w:val="24"/>
        </w:rPr>
        <w:t>the conviction</w:t>
      </w:r>
      <w:r w:rsidR="00B32DEC">
        <w:rPr>
          <w:rStyle w:val="s1"/>
          <w:rFonts w:ascii="Times New Roman" w:hAnsi="Times New Roman"/>
          <w:sz w:val="24"/>
          <w:szCs w:val="24"/>
        </w:rPr>
        <w:t xml:space="preserve">. </w:t>
      </w:r>
    </w:p>
    <w:p w14:paraId="0A604161" w14:textId="51BE2DE3" w:rsidR="004F632B" w:rsidRDefault="00B32DEC" w:rsidP="00B32DEC">
      <w:pPr>
        <w:pStyle w:val="p1"/>
        <w:spacing w:line="360" w:lineRule="auto"/>
        <w:jc w:val="both"/>
        <w:divId w:val="298540872"/>
        <w:rPr>
          <w:rStyle w:val="s1"/>
          <w:rFonts w:ascii="Times New Roman" w:hAnsi="Times New Roman"/>
          <w:sz w:val="24"/>
          <w:szCs w:val="24"/>
        </w:rPr>
      </w:pPr>
      <w:r>
        <w:rPr>
          <w:rStyle w:val="s1"/>
          <w:rFonts w:ascii="Times New Roman" w:hAnsi="Times New Roman"/>
          <w:sz w:val="24"/>
          <w:szCs w:val="24"/>
        </w:rPr>
        <w:tab/>
        <w:t xml:space="preserve"> The accused was </w:t>
      </w:r>
      <w:r w:rsidR="00160A43">
        <w:rPr>
          <w:rStyle w:val="s1"/>
          <w:rFonts w:ascii="Times New Roman" w:hAnsi="Times New Roman"/>
          <w:sz w:val="24"/>
          <w:szCs w:val="24"/>
        </w:rPr>
        <w:t>sentenced to</w:t>
      </w:r>
      <w:r>
        <w:rPr>
          <w:rStyle w:val="s1"/>
          <w:rFonts w:ascii="Times New Roman" w:hAnsi="Times New Roman"/>
          <w:sz w:val="24"/>
          <w:szCs w:val="24"/>
        </w:rPr>
        <w:t xml:space="preserve"> 24 months</w:t>
      </w:r>
      <w:r w:rsidR="00012708">
        <w:rPr>
          <w:rStyle w:val="s1"/>
          <w:rFonts w:ascii="Times New Roman" w:hAnsi="Times New Roman"/>
          <w:sz w:val="24"/>
          <w:szCs w:val="24"/>
        </w:rPr>
        <w:t>’</w:t>
      </w:r>
      <w:r>
        <w:rPr>
          <w:rStyle w:val="s1"/>
          <w:rFonts w:ascii="Times New Roman" w:hAnsi="Times New Roman"/>
          <w:sz w:val="24"/>
          <w:szCs w:val="24"/>
        </w:rPr>
        <w:t xml:space="preserve"> imprisonment of which 6 months</w:t>
      </w:r>
      <w:r w:rsidR="00012708">
        <w:rPr>
          <w:rStyle w:val="s1"/>
          <w:rFonts w:ascii="Times New Roman" w:hAnsi="Times New Roman"/>
          <w:sz w:val="24"/>
          <w:szCs w:val="24"/>
        </w:rPr>
        <w:t>’</w:t>
      </w:r>
      <w:r>
        <w:rPr>
          <w:rStyle w:val="s1"/>
          <w:rFonts w:ascii="Times New Roman" w:hAnsi="Times New Roman"/>
          <w:sz w:val="24"/>
          <w:szCs w:val="24"/>
        </w:rPr>
        <w:t xml:space="preserve"> </w:t>
      </w:r>
      <w:r w:rsidR="00160A43">
        <w:rPr>
          <w:rStyle w:val="s1"/>
          <w:rFonts w:ascii="Times New Roman" w:hAnsi="Times New Roman"/>
          <w:sz w:val="24"/>
          <w:szCs w:val="24"/>
        </w:rPr>
        <w:t>imprisonment was</w:t>
      </w:r>
      <w:r>
        <w:rPr>
          <w:rStyle w:val="s1"/>
          <w:rFonts w:ascii="Times New Roman" w:hAnsi="Times New Roman"/>
          <w:sz w:val="24"/>
          <w:szCs w:val="24"/>
        </w:rPr>
        <w:t xml:space="preserve"> suspended for 5 years </w:t>
      </w:r>
      <w:r w:rsidR="00160A43">
        <w:rPr>
          <w:rStyle w:val="s1"/>
          <w:rFonts w:ascii="Times New Roman" w:hAnsi="Times New Roman"/>
          <w:sz w:val="24"/>
          <w:szCs w:val="24"/>
        </w:rPr>
        <w:t>on condition</w:t>
      </w:r>
      <w:r>
        <w:rPr>
          <w:rStyle w:val="s1"/>
          <w:rFonts w:ascii="Times New Roman" w:hAnsi="Times New Roman"/>
          <w:sz w:val="24"/>
          <w:szCs w:val="24"/>
        </w:rPr>
        <w:t xml:space="preserve"> she does not </w:t>
      </w:r>
      <w:r w:rsidR="00160A43">
        <w:rPr>
          <w:rStyle w:val="s1"/>
          <w:rFonts w:ascii="Times New Roman" w:hAnsi="Times New Roman"/>
          <w:sz w:val="24"/>
          <w:szCs w:val="24"/>
        </w:rPr>
        <w:t>within that</w:t>
      </w:r>
      <w:r>
        <w:rPr>
          <w:rStyle w:val="s1"/>
          <w:rFonts w:ascii="Times New Roman" w:hAnsi="Times New Roman"/>
          <w:sz w:val="24"/>
          <w:szCs w:val="24"/>
        </w:rPr>
        <w:t xml:space="preserve"> </w:t>
      </w:r>
      <w:r w:rsidR="005C1FA5">
        <w:rPr>
          <w:rStyle w:val="s1"/>
          <w:rFonts w:ascii="Times New Roman" w:hAnsi="Times New Roman"/>
          <w:sz w:val="24"/>
          <w:szCs w:val="24"/>
        </w:rPr>
        <w:t>period commit</w:t>
      </w:r>
      <w:r w:rsidR="00CD32FA">
        <w:rPr>
          <w:rStyle w:val="s1"/>
          <w:rFonts w:ascii="Times New Roman" w:hAnsi="Times New Roman"/>
          <w:sz w:val="24"/>
          <w:szCs w:val="24"/>
        </w:rPr>
        <w:t xml:space="preserve"> an offence </w:t>
      </w:r>
      <w:r w:rsidR="005C1FA5">
        <w:rPr>
          <w:rStyle w:val="s1"/>
          <w:rFonts w:ascii="Times New Roman" w:hAnsi="Times New Roman"/>
          <w:sz w:val="24"/>
          <w:szCs w:val="24"/>
        </w:rPr>
        <w:t xml:space="preserve">involving </w:t>
      </w:r>
      <w:r w:rsidR="00012708">
        <w:rPr>
          <w:rStyle w:val="s1"/>
          <w:rFonts w:ascii="Times New Roman" w:hAnsi="Times New Roman"/>
          <w:sz w:val="24"/>
          <w:szCs w:val="24"/>
        </w:rPr>
        <w:t>un</w:t>
      </w:r>
      <w:r w:rsidR="00CD32FA">
        <w:rPr>
          <w:rStyle w:val="s1"/>
          <w:rFonts w:ascii="Times New Roman" w:hAnsi="Times New Roman"/>
          <w:sz w:val="24"/>
          <w:szCs w:val="24"/>
        </w:rPr>
        <w:t xml:space="preserve">lawful </w:t>
      </w:r>
      <w:r w:rsidR="005C1FA5">
        <w:rPr>
          <w:rStyle w:val="s1"/>
          <w:rFonts w:ascii="Times New Roman" w:hAnsi="Times New Roman"/>
          <w:sz w:val="24"/>
          <w:szCs w:val="24"/>
        </w:rPr>
        <w:t>possession of dangerous</w:t>
      </w:r>
      <w:r w:rsidR="00CD32FA">
        <w:rPr>
          <w:rStyle w:val="s1"/>
          <w:rFonts w:ascii="Times New Roman" w:hAnsi="Times New Roman"/>
          <w:sz w:val="24"/>
          <w:szCs w:val="24"/>
        </w:rPr>
        <w:t xml:space="preserve"> </w:t>
      </w:r>
      <w:r w:rsidR="005C1FA5">
        <w:rPr>
          <w:rStyle w:val="s1"/>
          <w:rFonts w:ascii="Times New Roman" w:hAnsi="Times New Roman"/>
          <w:sz w:val="24"/>
          <w:szCs w:val="24"/>
        </w:rPr>
        <w:t>drugs for</w:t>
      </w:r>
      <w:r w:rsidR="00CD32FA">
        <w:rPr>
          <w:rStyle w:val="s1"/>
          <w:rFonts w:ascii="Times New Roman" w:hAnsi="Times New Roman"/>
          <w:sz w:val="24"/>
          <w:szCs w:val="24"/>
        </w:rPr>
        <w:t xml:space="preserve"> </w:t>
      </w:r>
      <w:r w:rsidR="005C1FA5">
        <w:rPr>
          <w:rStyle w:val="s1"/>
          <w:rFonts w:ascii="Times New Roman" w:hAnsi="Times New Roman"/>
          <w:sz w:val="24"/>
          <w:szCs w:val="24"/>
        </w:rPr>
        <w:t>which upon</w:t>
      </w:r>
      <w:r w:rsidR="00CD32FA">
        <w:rPr>
          <w:rStyle w:val="s1"/>
          <w:rFonts w:ascii="Times New Roman" w:hAnsi="Times New Roman"/>
          <w:sz w:val="24"/>
          <w:szCs w:val="24"/>
        </w:rPr>
        <w:t xml:space="preserve"> conviction </w:t>
      </w:r>
      <w:r w:rsidR="004F632B">
        <w:rPr>
          <w:rStyle w:val="s1"/>
          <w:rFonts w:ascii="Times New Roman" w:hAnsi="Times New Roman"/>
          <w:sz w:val="24"/>
          <w:szCs w:val="24"/>
        </w:rPr>
        <w:t xml:space="preserve">she is sentenced </w:t>
      </w:r>
      <w:r w:rsidR="005C1FA5">
        <w:rPr>
          <w:rStyle w:val="s1"/>
          <w:rFonts w:ascii="Times New Roman" w:hAnsi="Times New Roman"/>
          <w:sz w:val="24"/>
          <w:szCs w:val="24"/>
        </w:rPr>
        <w:t>to imprisonment</w:t>
      </w:r>
      <w:r w:rsidR="004F632B">
        <w:rPr>
          <w:rStyle w:val="s1"/>
          <w:rFonts w:ascii="Times New Roman" w:hAnsi="Times New Roman"/>
          <w:sz w:val="24"/>
          <w:szCs w:val="24"/>
        </w:rPr>
        <w:t xml:space="preserve"> without the </w:t>
      </w:r>
      <w:r w:rsidR="005C1FA5">
        <w:rPr>
          <w:rStyle w:val="s1"/>
          <w:rFonts w:ascii="Times New Roman" w:hAnsi="Times New Roman"/>
          <w:sz w:val="24"/>
          <w:szCs w:val="24"/>
        </w:rPr>
        <w:t>option of</w:t>
      </w:r>
      <w:r w:rsidR="004F632B">
        <w:rPr>
          <w:rStyle w:val="s1"/>
          <w:rFonts w:ascii="Times New Roman" w:hAnsi="Times New Roman"/>
          <w:sz w:val="24"/>
          <w:szCs w:val="24"/>
        </w:rPr>
        <w:t xml:space="preserve"> a fine. The remaining </w:t>
      </w:r>
      <w:r w:rsidR="005C1FA5">
        <w:rPr>
          <w:rStyle w:val="s1"/>
          <w:rFonts w:ascii="Times New Roman" w:hAnsi="Times New Roman"/>
          <w:sz w:val="24"/>
          <w:szCs w:val="24"/>
        </w:rPr>
        <w:t>18 months</w:t>
      </w:r>
      <w:r w:rsidR="00264B1A">
        <w:rPr>
          <w:rStyle w:val="s1"/>
          <w:rFonts w:ascii="Times New Roman" w:hAnsi="Times New Roman"/>
          <w:sz w:val="24"/>
          <w:szCs w:val="24"/>
        </w:rPr>
        <w:t>’</w:t>
      </w:r>
      <w:r w:rsidR="004F632B">
        <w:rPr>
          <w:rStyle w:val="s1"/>
          <w:rFonts w:ascii="Times New Roman" w:hAnsi="Times New Roman"/>
          <w:sz w:val="24"/>
          <w:szCs w:val="24"/>
        </w:rPr>
        <w:t xml:space="preserve"> </w:t>
      </w:r>
      <w:r w:rsidR="00AD7ADC">
        <w:rPr>
          <w:rStyle w:val="s1"/>
          <w:rFonts w:ascii="Times New Roman" w:hAnsi="Times New Roman"/>
          <w:sz w:val="24"/>
          <w:szCs w:val="24"/>
        </w:rPr>
        <w:t>imprisonment was</w:t>
      </w:r>
      <w:r w:rsidR="005C1FA5">
        <w:rPr>
          <w:rStyle w:val="s1"/>
          <w:rFonts w:ascii="Times New Roman" w:hAnsi="Times New Roman"/>
          <w:sz w:val="24"/>
          <w:szCs w:val="24"/>
        </w:rPr>
        <w:t xml:space="preserve"> suspended</w:t>
      </w:r>
      <w:r w:rsidR="004F632B">
        <w:rPr>
          <w:rStyle w:val="s1"/>
          <w:rFonts w:ascii="Times New Roman" w:hAnsi="Times New Roman"/>
          <w:sz w:val="24"/>
          <w:szCs w:val="24"/>
        </w:rPr>
        <w:t xml:space="preserve"> on condition of </w:t>
      </w:r>
      <w:r w:rsidR="005C1FA5">
        <w:rPr>
          <w:rStyle w:val="s1"/>
          <w:rFonts w:ascii="Times New Roman" w:hAnsi="Times New Roman"/>
          <w:sz w:val="24"/>
          <w:szCs w:val="24"/>
        </w:rPr>
        <w:t>performance of</w:t>
      </w:r>
      <w:r w:rsidR="004F632B">
        <w:rPr>
          <w:rStyle w:val="s1"/>
          <w:rFonts w:ascii="Times New Roman" w:hAnsi="Times New Roman"/>
          <w:sz w:val="24"/>
          <w:szCs w:val="24"/>
        </w:rPr>
        <w:t xml:space="preserve"> 630 hours of </w:t>
      </w:r>
      <w:r w:rsidR="005C1FA5">
        <w:rPr>
          <w:rStyle w:val="s1"/>
          <w:rFonts w:ascii="Times New Roman" w:hAnsi="Times New Roman"/>
          <w:sz w:val="24"/>
          <w:szCs w:val="24"/>
        </w:rPr>
        <w:t>community service</w:t>
      </w:r>
      <w:r w:rsidR="004F632B">
        <w:rPr>
          <w:rStyle w:val="s1"/>
          <w:rFonts w:ascii="Times New Roman" w:hAnsi="Times New Roman"/>
          <w:sz w:val="24"/>
          <w:szCs w:val="24"/>
        </w:rPr>
        <w:t xml:space="preserve">. </w:t>
      </w:r>
    </w:p>
    <w:p w14:paraId="2ED0E6C8" w14:textId="25B37F6E" w:rsidR="00475859" w:rsidRDefault="004F632B" w:rsidP="00475859">
      <w:pPr>
        <w:pStyle w:val="p1"/>
        <w:spacing w:line="360" w:lineRule="auto"/>
        <w:jc w:val="both"/>
        <w:divId w:val="298540872"/>
        <w:rPr>
          <w:rStyle w:val="s1"/>
          <w:rFonts w:ascii="Times New Roman" w:hAnsi="Times New Roman"/>
          <w:sz w:val="24"/>
          <w:szCs w:val="24"/>
        </w:rPr>
      </w:pPr>
      <w:r>
        <w:rPr>
          <w:rStyle w:val="s1"/>
          <w:rFonts w:ascii="Times New Roman" w:hAnsi="Times New Roman"/>
          <w:sz w:val="24"/>
          <w:szCs w:val="24"/>
        </w:rPr>
        <w:tab/>
      </w:r>
      <w:r w:rsidR="00475859" w:rsidRPr="00475859">
        <w:rPr>
          <w:rStyle w:val="s1"/>
          <w:rFonts w:ascii="Times New Roman" w:hAnsi="Times New Roman"/>
          <w:sz w:val="24"/>
          <w:szCs w:val="24"/>
        </w:rPr>
        <w:t>I have reservations about this sentence because, in sentencing the accused, the learned magistrate did not properly follow the sentencing guidelines. The facts of the case are that detectives from CID Drugs and Narcotics went to the accused’s house after receiving a tip-off that the accused was in possession of dangerous drugs.</w:t>
      </w:r>
      <w:r w:rsidR="00870A99">
        <w:rPr>
          <w:rStyle w:val="s1"/>
          <w:rFonts w:ascii="Times New Roman" w:hAnsi="Times New Roman"/>
          <w:sz w:val="24"/>
          <w:szCs w:val="24"/>
        </w:rPr>
        <w:t xml:space="preserve"> </w:t>
      </w:r>
      <w:r w:rsidR="00475859" w:rsidRPr="00475859">
        <w:rPr>
          <w:rStyle w:val="s1"/>
          <w:rFonts w:ascii="Times New Roman" w:hAnsi="Times New Roman"/>
          <w:sz w:val="24"/>
          <w:szCs w:val="24"/>
        </w:rPr>
        <w:t xml:space="preserve"> A search was conducted, and a satchel containing loose dagga was found. The dagga was weighed and it amounted to 700g.</w:t>
      </w:r>
    </w:p>
    <w:p w14:paraId="28375263" w14:textId="5C161B65" w:rsidR="00EC7626" w:rsidRDefault="00475859" w:rsidP="00EC7626">
      <w:pPr>
        <w:pStyle w:val="p1"/>
        <w:spacing w:line="360" w:lineRule="auto"/>
        <w:ind w:firstLine="720"/>
        <w:jc w:val="both"/>
        <w:divId w:val="298540872"/>
        <w:rPr>
          <w:rStyle w:val="s1"/>
          <w:rFonts w:ascii="Times New Roman" w:hAnsi="Times New Roman"/>
          <w:sz w:val="24"/>
          <w:szCs w:val="24"/>
        </w:rPr>
      </w:pPr>
      <w:r w:rsidRPr="00475859">
        <w:rPr>
          <w:rStyle w:val="s1"/>
          <w:rFonts w:ascii="Times New Roman" w:hAnsi="Times New Roman"/>
          <w:sz w:val="24"/>
          <w:szCs w:val="24"/>
        </w:rPr>
        <w:t>It is common knowledge that 700g of dagga is a substantial quantity. The statutory penalty for this offence is a level 10 fine</w:t>
      </w:r>
      <w:r w:rsidR="00586E74">
        <w:rPr>
          <w:rStyle w:val="s1"/>
          <w:rFonts w:ascii="Times New Roman" w:hAnsi="Times New Roman"/>
          <w:sz w:val="24"/>
          <w:szCs w:val="24"/>
        </w:rPr>
        <w:t>/</w:t>
      </w:r>
      <w:r w:rsidRPr="00475859">
        <w:rPr>
          <w:rStyle w:val="s1"/>
          <w:rFonts w:ascii="Times New Roman" w:hAnsi="Times New Roman"/>
          <w:sz w:val="24"/>
          <w:szCs w:val="24"/>
        </w:rPr>
        <w:t>5 years’ imprisonment. According to the sentencing guidelines - S.I. 146 of 2023, the presumptive penalty for possessing large quantities of dangerous drugs is 3 years’ imprisonment. The learned magistrate misdirected herself when she stated in her sentencing judgment that the presumptive penalty is a level 5 fine or 3 years’ imprisonment. This is not what the sentencing guidelines stipulate. A level 5 fine is for possession of a small quantity of drugs and for drugs intended for medicinal use.</w:t>
      </w:r>
    </w:p>
    <w:p w14:paraId="65E1CFBF" w14:textId="64FE685E" w:rsidR="00475859" w:rsidRPr="00475859" w:rsidRDefault="00475859" w:rsidP="00EC7626">
      <w:pPr>
        <w:pStyle w:val="p1"/>
        <w:spacing w:line="360" w:lineRule="auto"/>
        <w:ind w:firstLine="720"/>
        <w:jc w:val="both"/>
        <w:divId w:val="298540872"/>
        <w:rPr>
          <w:rStyle w:val="s1"/>
          <w:rFonts w:ascii="Times New Roman" w:hAnsi="Times New Roman"/>
          <w:sz w:val="24"/>
          <w:szCs w:val="24"/>
        </w:rPr>
      </w:pPr>
      <w:r w:rsidRPr="00475859">
        <w:rPr>
          <w:rStyle w:val="s1"/>
          <w:rFonts w:ascii="Times New Roman" w:hAnsi="Times New Roman"/>
          <w:sz w:val="24"/>
          <w:szCs w:val="24"/>
        </w:rPr>
        <w:t xml:space="preserve">In arriving at the </w:t>
      </w:r>
      <w:r w:rsidR="00870A99" w:rsidRPr="00475859">
        <w:rPr>
          <w:rStyle w:val="s1"/>
          <w:rFonts w:ascii="Times New Roman" w:hAnsi="Times New Roman"/>
          <w:sz w:val="24"/>
          <w:szCs w:val="24"/>
        </w:rPr>
        <w:t>sentence,</w:t>
      </w:r>
      <w:r w:rsidRPr="00475859">
        <w:rPr>
          <w:rStyle w:val="s1"/>
          <w:rFonts w:ascii="Times New Roman" w:hAnsi="Times New Roman"/>
          <w:sz w:val="24"/>
          <w:szCs w:val="24"/>
        </w:rPr>
        <w:t xml:space="preserve"> she imposed, the learned magistrate considered that the accused is a 26-year-old female first offender who possessed the drug in a private place and that the drug was for “rituals for healing purposes.” In aggravation, she took into account that </w:t>
      </w:r>
      <w:r w:rsidRPr="00475859">
        <w:rPr>
          <w:rStyle w:val="s1"/>
          <w:rFonts w:ascii="Times New Roman" w:hAnsi="Times New Roman"/>
          <w:sz w:val="24"/>
          <w:szCs w:val="24"/>
        </w:rPr>
        <w:lastRenderedPageBreak/>
        <w:t>the quantity of the dagga was substantial and that the offence was serious. The learned magistrate then stated that due to these factors, a custodial sentence would be too harsh for a female first offender. She opined that community service would serve as a deterrent.</w:t>
      </w:r>
    </w:p>
    <w:p w14:paraId="3E2CB8E5" w14:textId="1F3786CF" w:rsidR="006E6A1D" w:rsidRDefault="00DF7FAD" w:rsidP="00EC7626">
      <w:pPr>
        <w:pStyle w:val="p1"/>
        <w:spacing w:line="360" w:lineRule="auto"/>
        <w:ind w:firstLine="720"/>
        <w:jc w:val="both"/>
        <w:divId w:val="298540872"/>
        <w:rPr>
          <w:rStyle w:val="s1"/>
          <w:rFonts w:ascii="Times New Roman" w:hAnsi="Times New Roman"/>
          <w:sz w:val="24"/>
          <w:szCs w:val="24"/>
        </w:rPr>
      </w:pPr>
      <w:r w:rsidRPr="00DF7FAD">
        <w:rPr>
          <w:rFonts w:ascii="Times New Roman" w:hAnsi="Times New Roman"/>
          <w:sz w:val="24"/>
          <w:szCs w:val="24"/>
        </w:rPr>
        <w:t>Clearly, aside from merely stating the statutory penalty and incorrectly stating the presumptive penalty, the learned magistrate failed to follow the sentencing guidelines entirely when sentencing the accused.</w:t>
      </w:r>
      <w:r>
        <w:rPr>
          <w:rFonts w:ascii="Times New Roman" w:hAnsi="Times New Roman"/>
          <w:sz w:val="24"/>
          <w:szCs w:val="24"/>
        </w:rPr>
        <w:t xml:space="preserve"> She simply followed the old sentencing approach before the sentencing guidelines came into force. </w:t>
      </w:r>
      <w:r w:rsidR="00475859" w:rsidRPr="00475859">
        <w:rPr>
          <w:rStyle w:val="s1"/>
          <w:rFonts w:ascii="Times New Roman" w:hAnsi="Times New Roman"/>
          <w:sz w:val="24"/>
          <w:szCs w:val="24"/>
        </w:rPr>
        <w:t>She started with a sentence of two years’ imprisonment without explaining the rationale in her sentencing judgment. Her starting point should have been the presumptive penalty of 3 years</w:t>
      </w:r>
      <w:r w:rsidR="00EC7626">
        <w:rPr>
          <w:rStyle w:val="s1"/>
          <w:rFonts w:ascii="Times New Roman" w:hAnsi="Times New Roman"/>
          <w:sz w:val="24"/>
          <w:szCs w:val="24"/>
        </w:rPr>
        <w:t>’ imprisonment</w:t>
      </w:r>
      <w:r w:rsidR="00475859" w:rsidRPr="00475859">
        <w:rPr>
          <w:rStyle w:val="s1"/>
          <w:rFonts w:ascii="Times New Roman" w:hAnsi="Times New Roman"/>
          <w:sz w:val="24"/>
          <w:szCs w:val="24"/>
        </w:rPr>
        <w:t>.</w:t>
      </w:r>
      <w:r w:rsidR="00EC7626">
        <w:rPr>
          <w:rStyle w:val="s1"/>
          <w:rFonts w:ascii="Times New Roman" w:hAnsi="Times New Roman"/>
          <w:sz w:val="24"/>
          <w:szCs w:val="24"/>
        </w:rPr>
        <w:t xml:space="preserve"> </w:t>
      </w:r>
      <w:r w:rsidR="00E02D3A">
        <w:rPr>
          <w:rStyle w:val="s1"/>
          <w:rFonts w:ascii="Times New Roman" w:hAnsi="Times New Roman"/>
          <w:sz w:val="24"/>
          <w:szCs w:val="24"/>
        </w:rPr>
        <w:t>S</w:t>
      </w:r>
      <w:r w:rsidR="00497D2E">
        <w:rPr>
          <w:rStyle w:val="s1"/>
          <w:rFonts w:ascii="Times New Roman" w:hAnsi="Times New Roman"/>
          <w:sz w:val="24"/>
          <w:szCs w:val="24"/>
        </w:rPr>
        <w:t>ection 5</w:t>
      </w:r>
      <w:r w:rsidR="006E6A1D">
        <w:rPr>
          <w:rStyle w:val="s1"/>
          <w:rFonts w:ascii="Times New Roman" w:hAnsi="Times New Roman"/>
          <w:sz w:val="24"/>
          <w:szCs w:val="24"/>
        </w:rPr>
        <w:t xml:space="preserve">(2) of the Sentencing </w:t>
      </w:r>
      <w:r w:rsidR="00C10302">
        <w:rPr>
          <w:rStyle w:val="s1"/>
          <w:rFonts w:ascii="Times New Roman" w:hAnsi="Times New Roman"/>
          <w:sz w:val="24"/>
          <w:szCs w:val="24"/>
        </w:rPr>
        <w:t>Guidelines</w:t>
      </w:r>
      <w:r w:rsidR="00E02D3A">
        <w:rPr>
          <w:rStyle w:val="s1"/>
          <w:rFonts w:ascii="Times New Roman" w:hAnsi="Times New Roman"/>
          <w:sz w:val="24"/>
          <w:szCs w:val="24"/>
        </w:rPr>
        <w:t xml:space="preserve"> provides that</w:t>
      </w:r>
      <w:r w:rsidR="00C10302">
        <w:rPr>
          <w:rStyle w:val="s1"/>
          <w:rFonts w:ascii="Times New Roman" w:hAnsi="Times New Roman"/>
          <w:sz w:val="24"/>
          <w:szCs w:val="24"/>
        </w:rPr>
        <w:t>: -</w:t>
      </w:r>
    </w:p>
    <w:p w14:paraId="543ACBC1" w14:textId="4F8086CB" w:rsidR="00497D2E" w:rsidRDefault="00497D2E" w:rsidP="00497D2E">
      <w:pPr>
        <w:pStyle w:val="p1"/>
        <w:ind w:left="720" w:firstLine="60"/>
        <w:jc w:val="both"/>
        <w:divId w:val="298540872"/>
        <w:rPr>
          <w:rStyle w:val="s1"/>
          <w:rFonts w:ascii="Times New Roman" w:hAnsi="Times New Roman"/>
          <w:sz w:val="22"/>
          <w:szCs w:val="22"/>
        </w:rPr>
      </w:pPr>
      <w:r>
        <w:rPr>
          <w:rStyle w:val="s1"/>
          <w:rFonts w:ascii="Times New Roman" w:hAnsi="Times New Roman"/>
          <w:sz w:val="24"/>
          <w:szCs w:val="24"/>
        </w:rPr>
        <w:t>“Where</w:t>
      </w:r>
      <w:r w:rsidR="006E6A1D" w:rsidRPr="00497D2E">
        <w:rPr>
          <w:rStyle w:val="s1"/>
          <w:rFonts w:ascii="Times New Roman" w:hAnsi="Times New Roman"/>
          <w:sz w:val="22"/>
          <w:szCs w:val="22"/>
        </w:rPr>
        <w:t xml:space="preserve"> these guidelines </w:t>
      </w:r>
      <w:r w:rsidRPr="00497D2E">
        <w:rPr>
          <w:rStyle w:val="s1"/>
          <w:rFonts w:ascii="Times New Roman" w:hAnsi="Times New Roman"/>
          <w:sz w:val="22"/>
          <w:szCs w:val="22"/>
        </w:rPr>
        <w:t>have provided</w:t>
      </w:r>
      <w:r w:rsidR="006E6A1D" w:rsidRPr="00497D2E">
        <w:rPr>
          <w:rStyle w:val="s1"/>
          <w:rFonts w:ascii="Times New Roman" w:hAnsi="Times New Roman"/>
          <w:sz w:val="22"/>
          <w:szCs w:val="22"/>
        </w:rPr>
        <w:t xml:space="preserve"> for a presumptive </w:t>
      </w:r>
      <w:r w:rsidRPr="00497D2E">
        <w:rPr>
          <w:rStyle w:val="s1"/>
          <w:rFonts w:ascii="Times New Roman" w:hAnsi="Times New Roman"/>
          <w:sz w:val="22"/>
          <w:szCs w:val="22"/>
        </w:rPr>
        <w:t>penalty, the</w:t>
      </w:r>
      <w:r w:rsidR="006E6A1D" w:rsidRPr="00497D2E">
        <w:rPr>
          <w:rStyle w:val="s1"/>
          <w:rFonts w:ascii="Times New Roman" w:hAnsi="Times New Roman"/>
          <w:sz w:val="22"/>
          <w:szCs w:val="22"/>
        </w:rPr>
        <w:t xml:space="preserve"> guidelines shall apply to the </w:t>
      </w:r>
      <w:r w:rsidR="00C10302" w:rsidRPr="00497D2E">
        <w:rPr>
          <w:rStyle w:val="s1"/>
          <w:rFonts w:ascii="Times New Roman" w:hAnsi="Times New Roman"/>
          <w:sz w:val="22"/>
          <w:szCs w:val="22"/>
        </w:rPr>
        <w:t>exclusion of</w:t>
      </w:r>
      <w:r w:rsidR="006E6A1D" w:rsidRPr="00497D2E">
        <w:rPr>
          <w:rStyle w:val="s1"/>
          <w:rFonts w:ascii="Times New Roman" w:hAnsi="Times New Roman"/>
          <w:sz w:val="22"/>
          <w:szCs w:val="22"/>
        </w:rPr>
        <w:t xml:space="preserve"> </w:t>
      </w:r>
      <w:r w:rsidR="00C10302" w:rsidRPr="00497D2E">
        <w:rPr>
          <w:rStyle w:val="s1"/>
          <w:rFonts w:ascii="Times New Roman" w:hAnsi="Times New Roman"/>
          <w:sz w:val="22"/>
          <w:szCs w:val="22"/>
        </w:rPr>
        <w:t>any other</w:t>
      </w:r>
      <w:r w:rsidR="006E6A1D" w:rsidRPr="00497D2E">
        <w:rPr>
          <w:rStyle w:val="s1"/>
          <w:rFonts w:ascii="Times New Roman" w:hAnsi="Times New Roman"/>
          <w:sz w:val="22"/>
          <w:szCs w:val="22"/>
        </w:rPr>
        <w:t xml:space="preserve"> law in terms of which the sentencing </w:t>
      </w:r>
      <w:r w:rsidR="00E02D3A">
        <w:rPr>
          <w:rStyle w:val="s1"/>
          <w:rFonts w:ascii="Times New Roman" w:hAnsi="Times New Roman"/>
          <w:sz w:val="22"/>
          <w:szCs w:val="22"/>
        </w:rPr>
        <w:t xml:space="preserve">of </w:t>
      </w:r>
      <w:r w:rsidR="006E6A1D" w:rsidRPr="00497D2E">
        <w:rPr>
          <w:rStyle w:val="s1"/>
          <w:rFonts w:ascii="Times New Roman" w:hAnsi="Times New Roman"/>
          <w:sz w:val="22"/>
          <w:szCs w:val="22"/>
        </w:rPr>
        <w:t xml:space="preserve">offenders </w:t>
      </w:r>
      <w:r w:rsidR="00C10302" w:rsidRPr="00497D2E">
        <w:rPr>
          <w:rStyle w:val="s1"/>
          <w:rFonts w:ascii="Times New Roman" w:hAnsi="Times New Roman"/>
          <w:sz w:val="22"/>
          <w:szCs w:val="22"/>
        </w:rPr>
        <w:t>may be</w:t>
      </w:r>
      <w:r w:rsidRPr="00497D2E">
        <w:rPr>
          <w:rStyle w:val="s1"/>
          <w:rFonts w:ascii="Times New Roman" w:hAnsi="Times New Roman"/>
          <w:sz w:val="22"/>
          <w:szCs w:val="22"/>
        </w:rPr>
        <w:t xml:space="preserve"> prescribed”</w:t>
      </w:r>
      <w:r w:rsidR="00846A80" w:rsidRPr="00497D2E">
        <w:rPr>
          <w:rStyle w:val="s1"/>
          <w:rFonts w:ascii="Times New Roman" w:hAnsi="Times New Roman"/>
          <w:sz w:val="22"/>
          <w:szCs w:val="22"/>
        </w:rPr>
        <w:t xml:space="preserve"> </w:t>
      </w:r>
      <w:r w:rsidR="005C1FA5" w:rsidRPr="00497D2E">
        <w:rPr>
          <w:rStyle w:val="s1"/>
          <w:rFonts w:ascii="Times New Roman" w:hAnsi="Times New Roman"/>
          <w:sz w:val="22"/>
          <w:szCs w:val="22"/>
        </w:rPr>
        <w:t xml:space="preserve">   </w:t>
      </w:r>
    </w:p>
    <w:p w14:paraId="545EF3FB" w14:textId="77777777" w:rsidR="00497D2E" w:rsidRDefault="00497D2E" w:rsidP="00497D2E">
      <w:pPr>
        <w:pStyle w:val="p1"/>
        <w:jc w:val="both"/>
        <w:divId w:val="298540872"/>
        <w:rPr>
          <w:rStyle w:val="s1"/>
          <w:rFonts w:ascii="Times New Roman" w:hAnsi="Times New Roman"/>
          <w:sz w:val="22"/>
          <w:szCs w:val="22"/>
        </w:rPr>
      </w:pPr>
    </w:p>
    <w:p w14:paraId="76E34187" w14:textId="2DB56262" w:rsidR="00E04A05" w:rsidRDefault="00497D2E" w:rsidP="00EC7626">
      <w:pPr>
        <w:pStyle w:val="p1"/>
        <w:spacing w:line="360" w:lineRule="auto"/>
        <w:jc w:val="both"/>
        <w:divId w:val="298540872"/>
        <w:rPr>
          <w:rFonts w:ascii="Times New Roman" w:hAnsi="Times New Roman"/>
          <w:sz w:val="24"/>
          <w:szCs w:val="24"/>
        </w:rPr>
      </w:pPr>
      <w:r>
        <w:rPr>
          <w:rStyle w:val="s1"/>
          <w:rFonts w:ascii="Times New Roman" w:hAnsi="Times New Roman"/>
          <w:sz w:val="22"/>
          <w:szCs w:val="22"/>
        </w:rPr>
        <w:tab/>
      </w:r>
      <w:r w:rsidR="00E02D3A" w:rsidRPr="00562384">
        <w:rPr>
          <w:rStyle w:val="s1"/>
          <w:rFonts w:ascii="Times New Roman" w:hAnsi="Times New Roman"/>
          <w:sz w:val="24"/>
          <w:szCs w:val="24"/>
        </w:rPr>
        <w:t>This provision means that when the guidelines specify a presumptive penalty for an offen</w:t>
      </w:r>
      <w:r w:rsidR="00562384">
        <w:rPr>
          <w:rStyle w:val="s1"/>
          <w:rFonts w:ascii="Times New Roman" w:hAnsi="Times New Roman"/>
          <w:sz w:val="24"/>
          <w:szCs w:val="24"/>
        </w:rPr>
        <w:t>c</w:t>
      </w:r>
      <w:r w:rsidR="00E02D3A" w:rsidRPr="00562384">
        <w:rPr>
          <w:rStyle w:val="s1"/>
          <w:rFonts w:ascii="Times New Roman" w:hAnsi="Times New Roman"/>
          <w:sz w:val="24"/>
          <w:szCs w:val="24"/>
        </w:rPr>
        <w:t>e, these guidelines take precedence over any other laws that might prescribe different sentencing rules for that offen</w:t>
      </w:r>
      <w:r w:rsidR="00562384">
        <w:rPr>
          <w:rStyle w:val="s1"/>
          <w:rFonts w:ascii="Times New Roman" w:hAnsi="Times New Roman"/>
          <w:sz w:val="24"/>
          <w:szCs w:val="24"/>
        </w:rPr>
        <w:t>c</w:t>
      </w:r>
      <w:r w:rsidR="00E02D3A" w:rsidRPr="00562384">
        <w:rPr>
          <w:rStyle w:val="s1"/>
          <w:rFonts w:ascii="Times New Roman" w:hAnsi="Times New Roman"/>
          <w:sz w:val="24"/>
          <w:szCs w:val="24"/>
        </w:rPr>
        <w:t>e.</w:t>
      </w:r>
      <w:r w:rsidR="009D603D">
        <w:rPr>
          <w:rStyle w:val="s1"/>
          <w:rFonts w:ascii="Times New Roman" w:hAnsi="Times New Roman"/>
          <w:sz w:val="24"/>
          <w:szCs w:val="24"/>
        </w:rPr>
        <w:t xml:space="preserve"> </w:t>
      </w:r>
      <w:r w:rsidR="00E02D3A" w:rsidRPr="00562384">
        <w:rPr>
          <w:rStyle w:val="s1"/>
          <w:rFonts w:ascii="Times New Roman" w:hAnsi="Times New Roman"/>
          <w:sz w:val="24"/>
          <w:szCs w:val="24"/>
        </w:rPr>
        <w:t xml:space="preserve"> In other words, the guidelines become the primary source for determining the sentence, and other laws that might suggest different penalties are not considered</w:t>
      </w:r>
      <w:r w:rsidR="00562384">
        <w:rPr>
          <w:rStyle w:val="s1"/>
          <w:rFonts w:ascii="Times New Roman" w:hAnsi="Times New Roman"/>
          <w:sz w:val="22"/>
          <w:szCs w:val="22"/>
        </w:rPr>
        <w:t xml:space="preserve">. </w:t>
      </w:r>
      <w:r w:rsidR="002A7B53">
        <w:rPr>
          <w:rStyle w:val="s1"/>
          <w:rFonts w:ascii="Times New Roman" w:hAnsi="Times New Roman"/>
          <w:sz w:val="22"/>
          <w:szCs w:val="22"/>
        </w:rPr>
        <w:t xml:space="preserve"> </w:t>
      </w:r>
      <w:r w:rsidR="002A7B53" w:rsidRPr="00EC7626">
        <w:rPr>
          <w:rStyle w:val="s1"/>
          <w:rFonts w:ascii="Times New Roman" w:hAnsi="Times New Roman"/>
          <w:sz w:val="24"/>
          <w:szCs w:val="24"/>
        </w:rPr>
        <w:t xml:space="preserve">The </w:t>
      </w:r>
      <w:r w:rsidR="00EC7626">
        <w:rPr>
          <w:rStyle w:val="s1"/>
          <w:rFonts w:ascii="Times New Roman" w:hAnsi="Times New Roman"/>
          <w:sz w:val="24"/>
          <w:szCs w:val="24"/>
        </w:rPr>
        <w:t>critical</w:t>
      </w:r>
      <w:r w:rsidR="002A7B53" w:rsidRPr="00EC7626">
        <w:rPr>
          <w:rStyle w:val="s1"/>
          <w:rFonts w:ascii="Times New Roman" w:hAnsi="Times New Roman"/>
          <w:sz w:val="24"/>
          <w:szCs w:val="24"/>
        </w:rPr>
        <w:t xml:space="preserve"> question is h</w:t>
      </w:r>
      <w:r w:rsidR="00D102AA" w:rsidRPr="00EC7626">
        <w:rPr>
          <w:rStyle w:val="s1"/>
          <w:rFonts w:ascii="Times New Roman" w:hAnsi="Times New Roman"/>
          <w:sz w:val="24"/>
          <w:szCs w:val="24"/>
        </w:rPr>
        <w:t>ow do courts apply these guidelines in practice?</w:t>
      </w:r>
      <w:r w:rsidR="002A7B53" w:rsidRPr="00EC7626">
        <w:rPr>
          <w:rStyle w:val="s1"/>
          <w:rFonts w:ascii="Times New Roman" w:hAnsi="Times New Roman"/>
          <w:sz w:val="24"/>
          <w:szCs w:val="24"/>
        </w:rPr>
        <w:t xml:space="preserve"> </w:t>
      </w:r>
      <w:r w:rsidR="00D102AA" w:rsidRPr="00EC7626">
        <w:rPr>
          <w:rStyle w:val="s1"/>
          <w:rFonts w:ascii="Times New Roman" w:hAnsi="Times New Roman"/>
          <w:sz w:val="24"/>
          <w:szCs w:val="24"/>
        </w:rPr>
        <w:t>Courts apply sentencing guidelines in practice by following a structured process to ensure consistency and fairness in sentencing. The court first identifies the specific offen</w:t>
      </w:r>
      <w:r w:rsidR="002A7B53" w:rsidRPr="00EC7626">
        <w:rPr>
          <w:rStyle w:val="s1"/>
          <w:rFonts w:ascii="Times New Roman" w:hAnsi="Times New Roman"/>
          <w:sz w:val="24"/>
          <w:szCs w:val="24"/>
        </w:rPr>
        <w:t>c</w:t>
      </w:r>
      <w:r w:rsidR="00D102AA" w:rsidRPr="00EC7626">
        <w:rPr>
          <w:rStyle w:val="s1"/>
          <w:rFonts w:ascii="Times New Roman" w:hAnsi="Times New Roman"/>
          <w:sz w:val="24"/>
          <w:szCs w:val="24"/>
        </w:rPr>
        <w:t xml:space="preserve">e committed by the </w:t>
      </w:r>
      <w:r w:rsidR="002A7B53" w:rsidRPr="00EC7626">
        <w:rPr>
          <w:rStyle w:val="s1"/>
          <w:rFonts w:ascii="Times New Roman" w:hAnsi="Times New Roman"/>
          <w:sz w:val="24"/>
          <w:szCs w:val="24"/>
        </w:rPr>
        <w:t>accused</w:t>
      </w:r>
      <w:r w:rsidR="00D102AA" w:rsidRPr="00EC7626">
        <w:rPr>
          <w:rStyle w:val="s1"/>
          <w:rFonts w:ascii="Times New Roman" w:hAnsi="Times New Roman"/>
          <w:sz w:val="24"/>
          <w:szCs w:val="24"/>
        </w:rPr>
        <w:t>.</w:t>
      </w:r>
      <w:r w:rsidR="002A7B53" w:rsidRPr="00EC7626">
        <w:rPr>
          <w:rStyle w:val="s1"/>
          <w:rFonts w:ascii="Times New Roman" w:hAnsi="Times New Roman"/>
          <w:sz w:val="24"/>
          <w:szCs w:val="24"/>
        </w:rPr>
        <w:t xml:space="preserve"> </w:t>
      </w:r>
      <w:r w:rsidR="00D102AA" w:rsidRPr="00EC7626">
        <w:rPr>
          <w:rStyle w:val="s1"/>
          <w:rFonts w:ascii="Times New Roman" w:hAnsi="Times New Roman"/>
          <w:sz w:val="24"/>
          <w:szCs w:val="24"/>
        </w:rPr>
        <w:t>The court then consults the relevant sentencing guidelines, which provide a range of presumptive penalties based on the severity of the offen</w:t>
      </w:r>
      <w:r w:rsidR="002A7B53" w:rsidRPr="00EC7626">
        <w:rPr>
          <w:rStyle w:val="s1"/>
          <w:rFonts w:ascii="Times New Roman" w:hAnsi="Times New Roman"/>
          <w:sz w:val="24"/>
          <w:szCs w:val="24"/>
        </w:rPr>
        <w:t>c</w:t>
      </w:r>
      <w:r w:rsidR="00D102AA" w:rsidRPr="00EC7626">
        <w:rPr>
          <w:rStyle w:val="s1"/>
          <w:rFonts w:ascii="Times New Roman" w:hAnsi="Times New Roman"/>
          <w:sz w:val="24"/>
          <w:szCs w:val="24"/>
        </w:rPr>
        <w:t>e and other factors.</w:t>
      </w:r>
      <w:r w:rsidR="002A7B53" w:rsidRPr="00EC7626">
        <w:rPr>
          <w:rStyle w:val="s1"/>
          <w:rFonts w:ascii="Times New Roman" w:hAnsi="Times New Roman"/>
          <w:sz w:val="24"/>
          <w:szCs w:val="24"/>
        </w:rPr>
        <w:t xml:space="preserve"> </w:t>
      </w:r>
      <w:r w:rsidR="00D102AA" w:rsidRPr="00EC7626">
        <w:rPr>
          <w:rStyle w:val="s1"/>
          <w:rFonts w:ascii="Times New Roman" w:hAnsi="Times New Roman"/>
          <w:sz w:val="24"/>
          <w:szCs w:val="24"/>
        </w:rPr>
        <w:t xml:space="preserve">The court considers any aggravating factors (which might increase the severity of the sentence) and mitigating factors (which might reduce the severity of the sentence). These factors can include the </w:t>
      </w:r>
      <w:r w:rsidR="002A7B53" w:rsidRPr="00EC7626">
        <w:rPr>
          <w:rStyle w:val="s1"/>
          <w:rFonts w:ascii="Times New Roman" w:hAnsi="Times New Roman"/>
          <w:sz w:val="24"/>
          <w:szCs w:val="24"/>
        </w:rPr>
        <w:t>accused</w:t>
      </w:r>
      <w:r w:rsidR="00D102AA" w:rsidRPr="00EC7626">
        <w:rPr>
          <w:rStyle w:val="s1"/>
          <w:rFonts w:ascii="Times New Roman" w:hAnsi="Times New Roman"/>
          <w:sz w:val="24"/>
          <w:szCs w:val="24"/>
        </w:rPr>
        <w:t>’s criminal history, the circumstances of the offen</w:t>
      </w:r>
      <w:r w:rsidR="002A7B53" w:rsidRPr="00EC7626">
        <w:rPr>
          <w:rStyle w:val="s1"/>
          <w:rFonts w:ascii="Times New Roman" w:hAnsi="Times New Roman"/>
          <w:sz w:val="24"/>
          <w:szCs w:val="24"/>
        </w:rPr>
        <w:t>c</w:t>
      </w:r>
      <w:r w:rsidR="00D102AA" w:rsidRPr="00EC7626">
        <w:rPr>
          <w:rStyle w:val="s1"/>
          <w:rFonts w:ascii="Times New Roman" w:hAnsi="Times New Roman"/>
          <w:sz w:val="24"/>
          <w:szCs w:val="24"/>
        </w:rPr>
        <w:t>e, and the impact on the victims.</w:t>
      </w:r>
      <w:r w:rsidR="002A7B53" w:rsidRPr="00EC7626">
        <w:rPr>
          <w:rStyle w:val="s1"/>
          <w:rFonts w:ascii="Times New Roman" w:hAnsi="Times New Roman"/>
          <w:sz w:val="24"/>
          <w:szCs w:val="24"/>
        </w:rPr>
        <w:t xml:space="preserve"> </w:t>
      </w:r>
      <w:r w:rsidR="00D102AA" w:rsidRPr="00EC7626">
        <w:rPr>
          <w:rStyle w:val="s1"/>
          <w:rFonts w:ascii="Times New Roman" w:hAnsi="Times New Roman"/>
          <w:sz w:val="24"/>
          <w:szCs w:val="24"/>
        </w:rPr>
        <w:t>Based on the guidelines and the specific circumstances of the case, the court determines the appropriate sentence. If the guidelines provide a presumptive penalty, this will generally be followed unless there are compelling reasons to deviate.</w:t>
      </w:r>
      <w:r w:rsidR="002A7B53" w:rsidRPr="00EC7626">
        <w:rPr>
          <w:rStyle w:val="s1"/>
          <w:rFonts w:ascii="Times New Roman" w:hAnsi="Times New Roman"/>
          <w:sz w:val="24"/>
          <w:szCs w:val="24"/>
        </w:rPr>
        <w:t xml:space="preserve"> </w:t>
      </w:r>
      <w:r w:rsidR="009D603D">
        <w:rPr>
          <w:rStyle w:val="s1"/>
          <w:rFonts w:ascii="Times New Roman" w:hAnsi="Times New Roman"/>
          <w:sz w:val="24"/>
          <w:szCs w:val="24"/>
        </w:rPr>
        <w:t xml:space="preserve"> </w:t>
      </w:r>
      <w:r w:rsidR="00E04A05" w:rsidRPr="00EC7626">
        <w:rPr>
          <w:rFonts w:ascii="Times New Roman" w:hAnsi="Times New Roman"/>
          <w:sz w:val="24"/>
          <w:szCs w:val="24"/>
        </w:rPr>
        <w:t xml:space="preserve">Section 5 (1) provides that, </w:t>
      </w:r>
    </w:p>
    <w:p w14:paraId="0B1CE68C" w14:textId="77777777" w:rsidR="00EC7626" w:rsidRPr="00E04A05" w:rsidRDefault="00EC7626" w:rsidP="00EC7626">
      <w:pPr>
        <w:pStyle w:val="p1"/>
        <w:spacing w:line="360" w:lineRule="auto"/>
        <w:jc w:val="both"/>
        <w:divId w:val="298540872"/>
        <w:rPr>
          <w:rFonts w:ascii="Times New Roman" w:hAnsi="Times New Roman"/>
          <w:sz w:val="24"/>
          <w:szCs w:val="24"/>
        </w:rPr>
      </w:pPr>
    </w:p>
    <w:p w14:paraId="0755D70D" w14:textId="77777777" w:rsidR="00E04A05" w:rsidRPr="00E04A05" w:rsidRDefault="00E04A05" w:rsidP="00E04A05">
      <w:pPr>
        <w:pStyle w:val="p1"/>
        <w:ind w:left="720"/>
        <w:divId w:val="298540872"/>
        <w:rPr>
          <w:rFonts w:ascii="Times New Roman" w:hAnsi="Times New Roman"/>
        </w:rPr>
      </w:pPr>
      <w:r w:rsidRPr="00E04A05">
        <w:rPr>
          <w:rFonts w:ascii="Times New Roman" w:hAnsi="Times New Roman"/>
        </w:rPr>
        <w:t>“</w:t>
      </w:r>
      <w:r w:rsidRPr="00E04A05">
        <w:rPr>
          <w:rFonts w:ascii="Times New Roman" w:hAnsi="Times New Roman"/>
          <w:sz w:val="22"/>
          <w:szCs w:val="22"/>
        </w:rPr>
        <w:t>Where a sentencing court departs from a prescribed presumptive penalty as provided for in these guidelines, it shall give reasons for that departure.”</w:t>
      </w:r>
      <w:r w:rsidRPr="00E04A05">
        <w:rPr>
          <w:rFonts w:ascii="Times New Roman" w:hAnsi="Times New Roman"/>
        </w:rPr>
        <w:t xml:space="preserve"> </w:t>
      </w:r>
    </w:p>
    <w:p w14:paraId="0327BCB5" w14:textId="77777777" w:rsidR="00E04A05" w:rsidRPr="00E04A05" w:rsidRDefault="00E04A05" w:rsidP="00E04A05">
      <w:pPr>
        <w:pStyle w:val="p1"/>
        <w:spacing w:line="360" w:lineRule="auto"/>
        <w:divId w:val="298540872"/>
        <w:rPr>
          <w:rFonts w:ascii="Times New Roman" w:hAnsi="Times New Roman"/>
        </w:rPr>
      </w:pPr>
    </w:p>
    <w:p w14:paraId="597D8955" w14:textId="228C1428" w:rsidR="004F3134" w:rsidRDefault="00E04A05" w:rsidP="00E04A05">
      <w:pPr>
        <w:pStyle w:val="p1"/>
        <w:spacing w:line="360" w:lineRule="auto"/>
        <w:ind w:firstLine="720"/>
        <w:jc w:val="both"/>
        <w:divId w:val="298540872"/>
        <w:rPr>
          <w:rStyle w:val="s1"/>
          <w:rFonts w:ascii="Times New Roman" w:hAnsi="Times New Roman"/>
          <w:sz w:val="24"/>
          <w:szCs w:val="24"/>
        </w:rPr>
      </w:pPr>
      <w:r w:rsidRPr="00EC7626">
        <w:rPr>
          <w:rFonts w:ascii="Times New Roman" w:hAnsi="Times New Roman"/>
          <w:sz w:val="24"/>
          <w:szCs w:val="24"/>
        </w:rPr>
        <w:t xml:space="preserve">The provision means that if the court decides to deviate from the presumptive penalty, it must provide a clear and justified reason for doing so. </w:t>
      </w:r>
      <w:r w:rsidR="00D102AA" w:rsidRPr="00EC7626">
        <w:rPr>
          <w:rStyle w:val="s1"/>
          <w:rFonts w:ascii="Times New Roman" w:hAnsi="Times New Roman"/>
          <w:sz w:val="24"/>
          <w:szCs w:val="24"/>
        </w:rPr>
        <w:t xml:space="preserve">This ensures transparency and </w:t>
      </w:r>
      <w:r w:rsidR="00D102AA" w:rsidRPr="00EC7626">
        <w:rPr>
          <w:rStyle w:val="s1"/>
          <w:rFonts w:ascii="Times New Roman" w:hAnsi="Times New Roman"/>
          <w:sz w:val="24"/>
          <w:szCs w:val="24"/>
        </w:rPr>
        <w:lastRenderedPageBreak/>
        <w:t>accountability in the sentencing process</w:t>
      </w:r>
      <w:r w:rsidRPr="00EC7626">
        <w:rPr>
          <w:rFonts w:ascii="Times New Roman" w:hAnsi="Times New Roman"/>
          <w:sz w:val="24"/>
          <w:szCs w:val="24"/>
        </w:rPr>
        <w:t xml:space="preserve">, allowing for a clear understanding of why a different penalty was chosen. </w:t>
      </w:r>
      <w:r w:rsidR="00D102AA" w:rsidRPr="00EC7626">
        <w:rPr>
          <w:rStyle w:val="s1"/>
          <w:rFonts w:ascii="Times New Roman" w:hAnsi="Times New Roman"/>
          <w:sz w:val="24"/>
          <w:szCs w:val="24"/>
        </w:rPr>
        <w:t>This process helps ensure that similar offen</w:t>
      </w:r>
      <w:r w:rsidR="002A7B53" w:rsidRPr="00EC7626">
        <w:rPr>
          <w:rStyle w:val="s1"/>
          <w:rFonts w:ascii="Times New Roman" w:hAnsi="Times New Roman"/>
          <w:sz w:val="24"/>
          <w:szCs w:val="24"/>
        </w:rPr>
        <w:t>c</w:t>
      </w:r>
      <w:r w:rsidR="00D102AA" w:rsidRPr="00EC7626">
        <w:rPr>
          <w:rStyle w:val="s1"/>
          <w:rFonts w:ascii="Times New Roman" w:hAnsi="Times New Roman"/>
          <w:sz w:val="24"/>
          <w:szCs w:val="24"/>
        </w:rPr>
        <w:t>es receive similar penalties, promoting fairness and consistency in the judicial system</w:t>
      </w:r>
      <w:r w:rsidRPr="00EC7626">
        <w:rPr>
          <w:rStyle w:val="s1"/>
          <w:rFonts w:ascii="Times New Roman" w:hAnsi="Times New Roman"/>
          <w:sz w:val="24"/>
          <w:szCs w:val="24"/>
        </w:rPr>
        <w:t>.</w:t>
      </w:r>
      <w:r w:rsidR="009D603D">
        <w:rPr>
          <w:rStyle w:val="s1"/>
          <w:rFonts w:ascii="Times New Roman" w:hAnsi="Times New Roman"/>
          <w:sz w:val="24"/>
          <w:szCs w:val="24"/>
        </w:rPr>
        <w:t xml:space="preserve"> </w:t>
      </w:r>
      <w:r w:rsidRPr="00EC7626">
        <w:rPr>
          <w:rStyle w:val="s1"/>
          <w:rFonts w:ascii="Times New Roman" w:hAnsi="Times New Roman"/>
          <w:sz w:val="24"/>
          <w:szCs w:val="24"/>
        </w:rPr>
        <w:t xml:space="preserve"> </w:t>
      </w:r>
      <w:r w:rsidR="00497D2E" w:rsidRPr="00E04A05">
        <w:rPr>
          <w:rStyle w:val="s1"/>
          <w:rFonts w:ascii="Times New Roman" w:hAnsi="Times New Roman"/>
          <w:sz w:val="24"/>
          <w:szCs w:val="24"/>
        </w:rPr>
        <w:t>In</w:t>
      </w:r>
      <w:r w:rsidR="00497D2E" w:rsidRPr="00497D2E">
        <w:rPr>
          <w:rStyle w:val="s1"/>
          <w:rFonts w:ascii="Times New Roman" w:hAnsi="Times New Roman"/>
          <w:i/>
          <w:iCs/>
          <w:sz w:val="24"/>
          <w:szCs w:val="24"/>
        </w:rPr>
        <w:t xml:space="preserve"> casu</w:t>
      </w:r>
      <w:r w:rsidR="00497D2E">
        <w:rPr>
          <w:rStyle w:val="s1"/>
          <w:rFonts w:ascii="Times New Roman" w:hAnsi="Times New Roman"/>
          <w:sz w:val="24"/>
          <w:szCs w:val="24"/>
        </w:rPr>
        <w:t xml:space="preserve"> the learned magistrate </w:t>
      </w:r>
      <w:r>
        <w:rPr>
          <w:rStyle w:val="s1"/>
          <w:rFonts w:ascii="Times New Roman" w:hAnsi="Times New Roman"/>
          <w:sz w:val="24"/>
          <w:szCs w:val="24"/>
        </w:rPr>
        <w:t xml:space="preserve">must </w:t>
      </w:r>
      <w:r w:rsidR="004F3134">
        <w:rPr>
          <w:rStyle w:val="s1"/>
          <w:rFonts w:ascii="Times New Roman" w:hAnsi="Times New Roman"/>
          <w:sz w:val="24"/>
          <w:szCs w:val="24"/>
        </w:rPr>
        <w:t xml:space="preserve">therefore </w:t>
      </w:r>
      <w:r>
        <w:rPr>
          <w:rStyle w:val="s1"/>
          <w:rFonts w:ascii="Times New Roman" w:hAnsi="Times New Roman"/>
          <w:sz w:val="24"/>
          <w:szCs w:val="24"/>
        </w:rPr>
        <w:t>have</w:t>
      </w:r>
      <w:r w:rsidR="00497D2E">
        <w:rPr>
          <w:rStyle w:val="s1"/>
          <w:rFonts w:ascii="Times New Roman" w:hAnsi="Times New Roman"/>
          <w:sz w:val="24"/>
          <w:szCs w:val="24"/>
        </w:rPr>
        <w:t xml:space="preserve"> explain</w:t>
      </w:r>
      <w:r>
        <w:rPr>
          <w:rStyle w:val="s1"/>
          <w:rFonts w:ascii="Times New Roman" w:hAnsi="Times New Roman"/>
          <w:sz w:val="24"/>
          <w:szCs w:val="24"/>
        </w:rPr>
        <w:t>ed in her sentencing judgment</w:t>
      </w:r>
      <w:r w:rsidR="00497D2E">
        <w:rPr>
          <w:rStyle w:val="s1"/>
          <w:rFonts w:ascii="Times New Roman" w:hAnsi="Times New Roman"/>
          <w:sz w:val="24"/>
          <w:szCs w:val="24"/>
        </w:rPr>
        <w:t xml:space="preserve"> why she </w:t>
      </w:r>
      <w:r>
        <w:rPr>
          <w:rStyle w:val="s1"/>
          <w:rFonts w:ascii="Times New Roman" w:hAnsi="Times New Roman"/>
          <w:sz w:val="24"/>
          <w:szCs w:val="24"/>
        </w:rPr>
        <w:t xml:space="preserve">was </w:t>
      </w:r>
      <w:r w:rsidR="004F3134">
        <w:rPr>
          <w:rStyle w:val="s1"/>
          <w:rFonts w:ascii="Times New Roman" w:hAnsi="Times New Roman"/>
          <w:sz w:val="24"/>
          <w:szCs w:val="24"/>
        </w:rPr>
        <w:t>deviating from</w:t>
      </w:r>
      <w:r w:rsidR="00497D2E">
        <w:rPr>
          <w:rStyle w:val="s1"/>
          <w:rFonts w:ascii="Times New Roman" w:hAnsi="Times New Roman"/>
          <w:sz w:val="24"/>
          <w:szCs w:val="24"/>
        </w:rPr>
        <w:t xml:space="preserve"> the presumptive penalty of 3 years’ imprisonment.  </w:t>
      </w:r>
    </w:p>
    <w:p w14:paraId="11AAB806" w14:textId="1D72629E" w:rsidR="005A491C" w:rsidRPr="00E04A05" w:rsidRDefault="00EC7626" w:rsidP="00E04A05">
      <w:pPr>
        <w:pStyle w:val="p1"/>
        <w:spacing w:line="360" w:lineRule="auto"/>
        <w:ind w:firstLine="720"/>
        <w:jc w:val="both"/>
        <w:divId w:val="298540872"/>
        <w:rPr>
          <w:rStyle w:val="s1"/>
          <w:rFonts w:ascii="Times New Roman" w:hAnsi="Times New Roman"/>
          <w:sz w:val="22"/>
          <w:szCs w:val="22"/>
        </w:rPr>
      </w:pPr>
      <w:r w:rsidRPr="00EC7626">
        <w:rPr>
          <w:rFonts w:ascii="Times New Roman" w:hAnsi="Times New Roman"/>
          <w:sz w:val="24"/>
          <w:szCs w:val="24"/>
        </w:rPr>
        <w:t xml:space="preserve">I asked the learned magistrate to explain the ritual for which the dagga was intended. This issue is of interest due to the large quantity involved. I wondered what kind of ritual would require such a substantial amount of dagga. I also queried </w:t>
      </w:r>
      <w:r w:rsidR="00A759B9">
        <w:rPr>
          <w:rFonts w:ascii="Times New Roman" w:hAnsi="Times New Roman"/>
          <w:sz w:val="24"/>
          <w:szCs w:val="24"/>
        </w:rPr>
        <w:t xml:space="preserve">with </w:t>
      </w:r>
      <w:r w:rsidRPr="00EC7626">
        <w:rPr>
          <w:rFonts w:ascii="Times New Roman" w:hAnsi="Times New Roman"/>
          <w:sz w:val="24"/>
          <w:szCs w:val="24"/>
        </w:rPr>
        <w:t xml:space="preserve">the learned magistrate </w:t>
      </w:r>
      <w:r w:rsidR="00A759B9">
        <w:rPr>
          <w:rFonts w:ascii="Times New Roman" w:hAnsi="Times New Roman"/>
          <w:sz w:val="24"/>
          <w:szCs w:val="24"/>
        </w:rPr>
        <w:t xml:space="preserve">if </w:t>
      </w:r>
      <w:r w:rsidRPr="00EC7626">
        <w:rPr>
          <w:rFonts w:ascii="Times New Roman" w:hAnsi="Times New Roman"/>
          <w:sz w:val="24"/>
          <w:szCs w:val="24"/>
        </w:rPr>
        <w:t>the accused was</w:t>
      </w:r>
      <w:r w:rsidR="00A759B9">
        <w:rPr>
          <w:rFonts w:ascii="Times New Roman" w:hAnsi="Times New Roman"/>
          <w:sz w:val="24"/>
          <w:szCs w:val="24"/>
        </w:rPr>
        <w:t xml:space="preserve"> not</w:t>
      </w:r>
      <w:r w:rsidRPr="00EC7626">
        <w:rPr>
          <w:rFonts w:ascii="Times New Roman" w:hAnsi="Times New Roman"/>
          <w:sz w:val="24"/>
          <w:szCs w:val="24"/>
        </w:rPr>
        <w:t xml:space="preserve"> selling the dagga, considering its substantial quantity and the fact that the police had arrested her based on a tip-off that she was in possession of dagga at her residence. In response, the magistrate stated that the accused claimed the dagga was for her initiation ceremony to become a sangoma. However, this is not clearly reflected in the record of proceedings, which reads:</w:t>
      </w:r>
    </w:p>
    <w:p w14:paraId="36426616" w14:textId="229981FC" w:rsidR="005A491C" w:rsidRDefault="00217E67" w:rsidP="009D603D">
      <w:pPr>
        <w:pStyle w:val="p1"/>
        <w:ind w:firstLine="600"/>
        <w:jc w:val="both"/>
        <w:divId w:val="298540872"/>
        <w:rPr>
          <w:rStyle w:val="s1"/>
          <w:rFonts w:ascii="Times New Roman" w:hAnsi="Times New Roman"/>
          <w:sz w:val="22"/>
          <w:szCs w:val="22"/>
        </w:rPr>
      </w:pPr>
      <w:r w:rsidRPr="005C0326">
        <w:rPr>
          <w:rStyle w:val="s1"/>
          <w:rFonts w:ascii="Times New Roman" w:hAnsi="Times New Roman"/>
          <w:sz w:val="22"/>
          <w:szCs w:val="22"/>
        </w:rPr>
        <w:t>“</w:t>
      </w:r>
      <w:r w:rsidR="00BC7A30" w:rsidRPr="005C0326">
        <w:rPr>
          <w:rStyle w:val="s1"/>
          <w:rFonts w:ascii="Times New Roman" w:hAnsi="Times New Roman"/>
          <w:sz w:val="22"/>
          <w:szCs w:val="22"/>
        </w:rPr>
        <w:t>Q What</w:t>
      </w:r>
      <w:r w:rsidR="005A491C" w:rsidRPr="005C0326">
        <w:rPr>
          <w:rStyle w:val="s1"/>
          <w:rFonts w:ascii="Times New Roman" w:hAnsi="Times New Roman"/>
          <w:sz w:val="22"/>
          <w:szCs w:val="22"/>
        </w:rPr>
        <w:t xml:space="preserve"> was the dagga for?</w:t>
      </w:r>
    </w:p>
    <w:p w14:paraId="70425D60" w14:textId="77777777" w:rsidR="005C0326" w:rsidRPr="005C0326" w:rsidRDefault="005C0326" w:rsidP="00217E67">
      <w:pPr>
        <w:pStyle w:val="p1"/>
        <w:ind w:firstLine="240"/>
        <w:jc w:val="both"/>
        <w:divId w:val="298540872"/>
        <w:rPr>
          <w:rStyle w:val="s1"/>
          <w:rFonts w:ascii="Times New Roman" w:hAnsi="Times New Roman"/>
          <w:sz w:val="22"/>
          <w:szCs w:val="22"/>
        </w:rPr>
      </w:pPr>
    </w:p>
    <w:p w14:paraId="41B58230" w14:textId="2D5AD473" w:rsidR="00217E67" w:rsidRPr="005C0326" w:rsidRDefault="009D603D" w:rsidP="009D603D">
      <w:pPr>
        <w:pStyle w:val="p1"/>
        <w:ind w:left="600"/>
        <w:jc w:val="both"/>
        <w:divId w:val="298540872"/>
        <w:rPr>
          <w:rStyle w:val="s1"/>
          <w:rFonts w:ascii="Times New Roman" w:hAnsi="Times New Roman"/>
          <w:sz w:val="22"/>
          <w:szCs w:val="22"/>
        </w:rPr>
      </w:pPr>
      <w:r>
        <w:rPr>
          <w:rStyle w:val="s1"/>
          <w:rFonts w:ascii="Times New Roman" w:hAnsi="Times New Roman"/>
          <w:sz w:val="22"/>
          <w:szCs w:val="22"/>
        </w:rPr>
        <w:t xml:space="preserve">A. </w:t>
      </w:r>
      <w:r w:rsidR="005A491C" w:rsidRPr="005C0326">
        <w:rPr>
          <w:rStyle w:val="s1"/>
          <w:rFonts w:ascii="Times New Roman" w:hAnsi="Times New Roman"/>
          <w:sz w:val="22"/>
          <w:szCs w:val="22"/>
        </w:rPr>
        <w:t xml:space="preserve"> It was for rituals. I was </w:t>
      </w:r>
      <w:r w:rsidR="00217E67" w:rsidRPr="005C0326">
        <w:rPr>
          <w:rStyle w:val="s1"/>
          <w:rFonts w:ascii="Times New Roman" w:hAnsi="Times New Roman"/>
          <w:sz w:val="22"/>
          <w:szCs w:val="22"/>
        </w:rPr>
        <w:t>told to</w:t>
      </w:r>
      <w:r w:rsidR="005A491C" w:rsidRPr="005C0326">
        <w:rPr>
          <w:rStyle w:val="s1"/>
          <w:rFonts w:ascii="Times New Roman" w:hAnsi="Times New Roman"/>
          <w:sz w:val="22"/>
          <w:szCs w:val="22"/>
        </w:rPr>
        <w:t xml:space="preserve"> bring the dagga to a </w:t>
      </w:r>
      <w:r w:rsidR="005C0326">
        <w:rPr>
          <w:rStyle w:val="s1"/>
          <w:rFonts w:ascii="Times New Roman" w:hAnsi="Times New Roman"/>
          <w:sz w:val="22"/>
          <w:szCs w:val="22"/>
        </w:rPr>
        <w:t>s</w:t>
      </w:r>
      <w:r w:rsidR="005A491C" w:rsidRPr="005C0326">
        <w:rPr>
          <w:rStyle w:val="s1"/>
          <w:rFonts w:ascii="Times New Roman" w:hAnsi="Times New Roman"/>
          <w:sz w:val="22"/>
          <w:szCs w:val="22"/>
        </w:rPr>
        <w:t xml:space="preserve">angoma. </w:t>
      </w:r>
      <w:r w:rsidR="00217E67" w:rsidRPr="005C0326">
        <w:rPr>
          <w:rStyle w:val="s1"/>
          <w:rFonts w:ascii="Times New Roman" w:hAnsi="Times New Roman"/>
          <w:sz w:val="22"/>
          <w:szCs w:val="22"/>
        </w:rPr>
        <w:t>So,</w:t>
      </w:r>
      <w:r w:rsidR="005A491C" w:rsidRPr="005C0326">
        <w:rPr>
          <w:rStyle w:val="s1"/>
          <w:rFonts w:ascii="Times New Roman" w:hAnsi="Times New Roman"/>
          <w:sz w:val="22"/>
          <w:szCs w:val="22"/>
        </w:rPr>
        <w:t xml:space="preserve"> when I approached the person </w:t>
      </w:r>
      <w:r w:rsidR="00217E67" w:rsidRPr="005C0326">
        <w:rPr>
          <w:rStyle w:val="s1"/>
          <w:rFonts w:ascii="Times New Roman" w:hAnsi="Times New Roman"/>
          <w:sz w:val="22"/>
          <w:szCs w:val="22"/>
        </w:rPr>
        <w:t>who sells</w:t>
      </w:r>
      <w:r w:rsidR="005A491C" w:rsidRPr="005C0326">
        <w:rPr>
          <w:rStyle w:val="s1"/>
          <w:rFonts w:ascii="Times New Roman" w:hAnsi="Times New Roman"/>
          <w:sz w:val="22"/>
          <w:szCs w:val="22"/>
        </w:rPr>
        <w:t xml:space="preserve"> the </w:t>
      </w:r>
      <w:r w:rsidR="00217E67" w:rsidRPr="005C0326">
        <w:rPr>
          <w:rStyle w:val="s1"/>
          <w:rFonts w:ascii="Times New Roman" w:hAnsi="Times New Roman"/>
          <w:sz w:val="22"/>
          <w:szCs w:val="22"/>
        </w:rPr>
        <w:t>dagga,</w:t>
      </w:r>
      <w:r w:rsidR="005A491C" w:rsidRPr="005C0326">
        <w:rPr>
          <w:rStyle w:val="s1"/>
          <w:rFonts w:ascii="Times New Roman" w:hAnsi="Times New Roman"/>
          <w:sz w:val="22"/>
          <w:szCs w:val="22"/>
        </w:rPr>
        <w:t xml:space="preserve"> she gave me a small </w:t>
      </w:r>
      <w:r w:rsidR="00217E67" w:rsidRPr="005C0326">
        <w:rPr>
          <w:rStyle w:val="s1"/>
          <w:rFonts w:ascii="Times New Roman" w:hAnsi="Times New Roman"/>
          <w:sz w:val="22"/>
          <w:szCs w:val="22"/>
        </w:rPr>
        <w:t>plastic with</w:t>
      </w:r>
      <w:r w:rsidR="005A491C" w:rsidRPr="005C0326">
        <w:rPr>
          <w:rStyle w:val="s1"/>
          <w:rFonts w:ascii="Times New Roman" w:hAnsi="Times New Roman"/>
          <w:sz w:val="22"/>
          <w:szCs w:val="22"/>
        </w:rPr>
        <w:t xml:space="preserve"> dagga saying he (</w:t>
      </w:r>
      <w:r w:rsidR="00217E67" w:rsidRPr="005C0326">
        <w:rPr>
          <w:rStyle w:val="s1"/>
          <w:rFonts w:ascii="Times New Roman" w:hAnsi="Times New Roman"/>
          <w:sz w:val="22"/>
          <w:szCs w:val="22"/>
        </w:rPr>
        <w:t>sic) was</w:t>
      </w:r>
      <w:r w:rsidR="005A491C" w:rsidRPr="005C0326">
        <w:rPr>
          <w:rStyle w:val="s1"/>
          <w:rFonts w:ascii="Times New Roman" w:hAnsi="Times New Roman"/>
          <w:sz w:val="22"/>
          <w:szCs w:val="22"/>
        </w:rPr>
        <w:t xml:space="preserve"> going to give me the quantity I wanted when his back (sic). He </w:t>
      </w:r>
      <w:r w:rsidR="00217E67" w:rsidRPr="005C0326">
        <w:rPr>
          <w:rStyle w:val="s1"/>
          <w:rFonts w:ascii="Times New Roman" w:hAnsi="Times New Roman"/>
          <w:sz w:val="22"/>
          <w:szCs w:val="22"/>
        </w:rPr>
        <w:t>left me</w:t>
      </w:r>
      <w:r w:rsidR="005A491C" w:rsidRPr="005C0326">
        <w:rPr>
          <w:rStyle w:val="s1"/>
          <w:rFonts w:ascii="Times New Roman" w:hAnsi="Times New Roman"/>
          <w:sz w:val="22"/>
          <w:szCs w:val="22"/>
        </w:rPr>
        <w:t xml:space="preserve"> with the bag </w:t>
      </w:r>
      <w:r w:rsidR="00217E67" w:rsidRPr="005C0326">
        <w:rPr>
          <w:rStyle w:val="s1"/>
          <w:rFonts w:ascii="Times New Roman" w:hAnsi="Times New Roman"/>
          <w:sz w:val="22"/>
          <w:szCs w:val="22"/>
        </w:rPr>
        <w:t>and told</w:t>
      </w:r>
      <w:r w:rsidR="005A491C" w:rsidRPr="005C0326">
        <w:rPr>
          <w:rStyle w:val="s1"/>
          <w:rFonts w:ascii="Times New Roman" w:hAnsi="Times New Roman"/>
          <w:sz w:val="22"/>
          <w:szCs w:val="22"/>
        </w:rPr>
        <w:t xml:space="preserve"> me to lock it in a bag ……. at my house.  A</w:t>
      </w:r>
      <w:r w:rsidR="00AD7ADC" w:rsidRPr="005C0326">
        <w:rPr>
          <w:rStyle w:val="s1"/>
          <w:rFonts w:ascii="Times New Roman" w:hAnsi="Times New Roman"/>
          <w:sz w:val="22"/>
          <w:szCs w:val="22"/>
        </w:rPr>
        <w:t>t</w:t>
      </w:r>
      <w:r w:rsidR="005A491C" w:rsidRPr="005C0326">
        <w:rPr>
          <w:rStyle w:val="s1"/>
          <w:rFonts w:ascii="Times New Roman" w:hAnsi="Times New Roman"/>
          <w:sz w:val="22"/>
          <w:szCs w:val="22"/>
        </w:rPr>
        <w:t xml:space="preserve"> 6 pm CID </w:t>
      </w:r>
      <w:r w:rsidR="00217E67" w:rsidRPr="005C0326">
        <w:rPr>
          <w:rStyle w:val="s1"/>
          <w:rFonts w:ascii="Times New Roman" w:hAnsi="Times New Roman"/>
          <w:sz w:val="22"/>
          <w:szCs w:val="22"/>
        </w:rPr>
        <w:t>office</w:t>
      </w:r>
      <w:r w:rsidR="005C0326">
        <w:rPr>
          <w:rStyle w:val="s1"/>
          <w:rFonts w:ascii="Times New Roman" w:hAnsi="Times New Roman"/>
          <w:sz w:val="22"/>
          <w:szCs w:val="22"/>
        </w:rPr>
        <w:t>r</w:t>
      </w:r>
      <w:r w:rsidR="00217E67" w:rsidRPr="005C0326">
        <w:rPr>
          <w:rStyle w:val="s1"/>
          <w:rFonts w:ascii="Times New Roman" w:hAnsi="Times New Roman"/>
          <w:sz w:val="22"/>
          <w:szCs w:val="22"/>
        </w:rPr>
        <w:t>s came</w:t>
      </w:r>
      <w:r w:rsidR="00AD7ADC" w:rsidRPr="005C0326">
        <w:rPr>
          <w:rStyle w:val="s1"/>
          <w:rFonts w:ascii="Times New Roman" w:hAnsi="Times New Roman"/>
          <w:sz w:val="22"/>
          <w:szCs w:val="22"/>
        </w:rPr>
        <w:t>,</w:t>
      </w:r>
      <w:r w:rsidR="005A491C" w:rsidRPr="005C0326">
        <w:rPr>
          <w:rStyle w:val="s1"/>
          <w:rFonts w:ascii="Times New Roman" w:hAnsi="Times New Roman"/>
          <w:sz w:val="22"/>
          <w:szCs w:val="22"/>
        </w:rPr>
        <w:t xml:space="preserve"> carried out a search and found the dagga. I </w:t>
      </w:r>
      <w:r w:rsidR="00217E67" w:rsidRPr="005C0326">
        <w:rPr>
          <w:rStyle w:val="s1"/>
          <w:rFonts w:ascii="Times New Roman" w:hAnsi="Times New Roman"/>
          <w:sz w:val="22"/>
          <w:szCs w:val="22"/>
        </w:rPr>
        <w:t>was only going</w:t>
      </w:r>
      <w:r w:rsidR="005A491C" w:rsidRPr="005C0326">
        <w:rPr>
          <w:rStyle w:val="s1"/>
          <w:rFonts w:ascii="Times New Roman" w:hAnsi="Times New Roman"/>
          <w:sz w:val="22"/>
          <w:szCs w:val="22"/>
        </w:rPr>
        <w:t xml:space="preserve"> to get a handful of </w:t>
      </w:r>
      <w:r w:rsidR="00217E67" w:rsidRPr="005C0326">
        <w:rPr>
          <w:rStyle w:val="s1"/>
          <w:rFonts w:ascii="Times New Roman" w:hAnsi="Times New Roman"/>
          <w:sz w:val="22"/>
          <w:szCs w:val="22"/>
        </w:rPr>
        <w:t>the dagga from the quantity that the police recovered.”</w:t>
      </w:r>
      <w:r w:rsidR="005A491C" w:rsidRPr="005C0326">
        <w:rPr>
          <w:rStyle w:val="s1"/>
          <w:rFonts w:ascii="Times New Roman" w:hAnsi="Times New Roman"/>
          <w:sz w:val="22"/>
          <w:szCs w:val="22"/>
        </w:rPr>
        <w:t xml:space="preserve">  </w:t>
      </w:r>
    </w:p>
    <w:p w14:paraId="3AC520F0" w14:textId="77777777" w:rsidR="00217E67" w:rsidRPr="005C0326" w:rsidRDefault="00217E67" w:rsidP="00217E67">
      <w:pPr>
        <w:pStyle w:val="p1"/>
        <w:spacing w:line="360" w:lineRule="auto"/>
        <w:jc w:val="both"/>
        <w:divId w:val="298540872"/>
        <w:rPr>
          <w:rStyle w:val="s1"/>
          <w:rFonts w:ascii="Times New Roman" w:hAnsi="Times New Roman"/>
          <w:sz w:val="22"/>
          <w:szCs w:val="22"/>
        </w:rPr>
      </w:pPr>
    </w:p>
    <w:p w14:paraId="220EB0C4" w14:textId="5A2E03B6" w:rsidR="005A0BE6" w:rsidRDefault="005A0BE6" w:rsidP="004E2D46">
      <w:pPr>
        <w:pStyle w:val="p1"/>
        <w:spacing w:line="360" w:lineRule="auto"/>
        <w:ind w:firstLine="600"/>
        <w:jc w:val="both"/>
        <w:divId w:val="298540872"/>
        <w:rPr>
          <w:rFonts w:ascii="Times New Roman" w:hAnsi="Times New Roman"/>
          <w:sz w:val="24"/>
          <w:szCs w:val="24"/>
        </w:rPr>
      </w:pPr>
      <w:r w:rsidRPr="005A0BE6">
        <w:rPr>
          <w:rFonts w:ascii="Times New Roman" w:hAnsi="Times New Roman"/>
          <w:sz w:val="24"/>
          <w:szCs w:val="24"/>
        </w:rPr>
        <w:t>From the accused’s answer, it is not indicated that she was going to be initiated to become a sangoma</w:t>
      </w:r>
      <w:r w:rsidR="00A759B9">
        <w:rPr>
          <w:rFonts w:ascii="Times New Roman" w:hAnsi="Times New Roman"/>
          <w:sz w:val="24"/>
          <w:szCs w:val="24"/>
        </w:rPr>
        <w:t xml:space="preserve"> as the learned magistrate explained in her response to my query</w:t>
      </w:r>
      <w:r w:rsidRPr="005A0BE6">
        <w:rPr>
          <w:rFonts w:ascii="Times New Roman" w:hAnsi="Times New Roman"/>
          <w:sz w:val="24"/>
          <w:szCs w:val="24"/>
        </w:rPr>
        <w:t>. The</w:t>
      </w:r>
      <w:r w:rsidR="00A759B9">
        <w:rPr>
          <w:rFonts w:ascii="Times New Roman" w:hAnsi="Times New Roman"/>
          <w:sz w:val="24"/>
          <w:szCs w:val="24"/>
        </w:rPr>
        <w:t xml:space="preserve"> explanation is confusing</w:t>
      </w:r>
      <w:r w:rsidRPr="005A0BE6">
        <w:rPr>
          <w:rFonts w:ascii="Times New Roman" w:hAnsi="Times New Roman"/>
          <w:sz w:val="24"/>
          <w:szCs w:val="24"/>
        </w:rPr>
        <w:t xml:space="preserve"> because, elsewhere in the sentencing judgment, the magistrate wrote that the dagga was for “rituals, for healing purposes.” </w:t>
      </w:r>
      <w:r w:rsidR="00A759B9">
        <w:rPr>
          <w:rFonts w:ascii="Times New Roman" w:hAnsi="Times New Roman"/>
          <w:sz w:val="24"/>
          <w:szCs w:val="24"/>
        </w:rPr>
        <w:t xml:space="preserve">When I raised the </w:t>
      </w:r>
      <w:r w:rsidR="00C365AC">
        <w:rPr>
          <w:rFonts w:ascii="Times New Roman" w:hAnsi="Times New Roman"/>
          <w:sz w:val="24"/>
          <w:szCs w:val="24"/>
        </w:rPr>
        <w:t>query,</w:t>
      </w:r>
      <w:r w:rsidR="00A759B9">
        <w:rPr>
          <w:rFonts w:ascii="Times New Roman" w:hAnsi="Times New Roman"/>
          <w:sz w:val="24"/>
          <w:szCs w:val="24"/>
        </w:rPr>
        <w:t xml:space="preserve"> I had thought that the magistrate would explain the type of sickness the dagga was meant to heal. </w:t>
      </w:r>
      <w:r w:rsidRPr="005A0BE6">
        <w:rPr>
          <w:rFonts w:ascii="Times New Roman" w:hAnsi="Times New Roman"/>
          <w:sz w:val="24"/>
          <w:szCs w:val="24"/>
        </w:rPr>
        <w:t>Rituals for being initiated as a sangoma cannot be the same as rituals for healing.</w:t>
      </w:r>
      <w:r w:rsidR="009D603D">
        <w:rPr>
          <w:rFonts w:ascii="Times New Roman" w:hAnsi="Times New Roman"/>
          <w:sz w:val="24"/>
          <w:szCs w:val="24"/>
        </w:rPr>
        <w:t xml:space="preserve"> </w:t>
      </w:r>
      <w:r w:rsidRPr="005A0BE6">
        <w:rPr>
          <w:rFonts w:ascii="Times New Roman" w:hAnsi="Times New Roman"/>
          <w:sz w:val="24"/>
          <w:szCs w:val="24"/>
        </w:rPr>
        <w:t xml:space="preserve"> It is crucial for judicial officers to accurately capture what accused persons say to ensure readers understand the proceedings. However, regardless of the ritual’s purpose, the question remains: what kind of ritual would require 700 grams of dagga? The substantial quantity raises the suspicion that the accused might have been dealing in dagga.</w:t>
      </w:r>
      <w:r>
        <w:rPr>
          <w:rFonts w:ascii="Times New Roman" w:hAnsi="Times New Roman"/>
          <w:sz w:val="24"/>
          <w:szCs w:val="24"/>
        </w:rPr>
        <w:t xml:space="preserve"> </w:t>
      </w:r>
    </w:p>
    <w:p w14:paraId="19C894F7" w14:textId="7549F97F" w:rsidR="003F00DB" w:rsidRDefault="003F00DB" w:rsidP="003F00DB">
      <w:pPr>
        <w:pStyle w:val="p1"/>
        <w:spacing w:line="360" w:lineRule="auto"/>
        <w:ind w:firstLine="600"/>
        <w:jc w:val="both"/>
        <w:divId w:val="298540872"/>
        <w:rPr>
          <w:rFonts w:ascii="Times New Roman" w:hAnsi="Times New Roman"/>
          <w:sz w:val="24"/>
          <w:szCs w:val="24"/>
        </w:rPr>
      </w:pPr>
      <w:r>
        <w:rPr>
          <w:rFonts w:ascii="Times New Roman" w:hAnsi="Times New Roman"/>
          <w:sz w:val="24"/>
          <w:szCs w:val="24"/>
        </w:rPr>
        <w:tab/>
      </w:r>
      <w:r w:rsidRPr="003F00DB">
        <w:rPr>
          <w:rFonts w:ascii="Times New Roman" w:hAnsi="Times New Roman"/>
          <w:sz w:val="24"/>
          <w:szCs w:val="24"/>
        </w:rPr>
        <w:t xml:space="preserve">In response to my question about whether the accused was selling the dagga, given the quantity involved, the magistrate stated that the </w:t>
      </w:r>
      <w:r>
        <w:rPr>
          <w:rFonts w:ascii="Times New Roman" w:hAnsi="Times New Roman"/>
          <w:sz w:val="24"/>
          <w:szCs w:val="24"/>
        </w:rPr>
        <w:t>S</w:t>
      </w:r>
      <w:r w:rsidRPr="003F00DB">
        <w:rPr>
          <w:rFonts w:ascii="Times New Roman" w:hAnsi="Times New Roman"/>
          <w:sz w:val="24"/>
          <w:szCs w:val="24"/>
        </w:rPr>
        <w:t xml:space="preserve">tate had not rebutted the accused’s explanation in mitigation. The </w:t>
      </w:r>
      <w:r w:rsidR="00E571BA">
        <w:rPr>
          <w:rFonts w:ascii="Times New Roman" w:hAnsi="Times New Roman"/>
          <w:sz w:val="24"/>
          <w:szCs w:val="24"/>
        </w:rPr>
        <w:t xml:space="preserve">magistrate said that the </w:t>
      </w:r>
      <w:r w:rsidRPr="003F00DB">
        <w:rPr>
          <w:rFonts w:ascii="Times New Roman" w:hAnsi="Times New Roman"/>
          <w:sz w:val="24"/>
          <w:szCs w:val="24"/>
        </w:rPr>
        <w:t>accused claimed that the plastic bag of dagga was brought by someone who was to sell her a handful needed for rituals. The magistrate</w:t>
      </w:r>
      <w:r w:rsidR="00E571BA">
        <w:rPr>
          <w:rFonts w:ascii="Times New Roman" w:hAnsi="Times New Roman"/>
          <w:sz w:val="24"/>
          <w:szCs w:val="24"/>
        </w:rPr>
        <w:t xml:space="preserve"> </w:t>
      </w:r>
      <w:r w:rsidR="00E571BA">
        <w:rPr>
          <w:rFonts w:ascii="Times New Roman" w:hAnsi="Times New Roman"/>
          <w:sz w:val="24"/>
          <w:szCs w:val="24"/>
        </w:rPr>
        <w:lastRenderedPageBreak/>
        <w:t>said she</w:t>
      </w:r>
      <w:r w:rsidRPr="003F00DB">
        <w:rPr>
          <w:rFonts w:ascii="Times New Roman" w:hAnsi="Times New Roman"/>
          <w:sz w:val="24"/>
          <w:szCs w:val="24"/>
        </w:rPr>
        <w:t xml:space="preserve"> then assumed that the accused could possibly have been trapped.</w:t>
      </w:r>
      <w:r>
        <w:rPr>
          <w:rFonts w:ascii="Times New Roman" w:hAnsi="Times New Roman"/>
          <w:sz w:val="24"/>
          <w:szCs w:val="24"/>
        </w:rPr>
        <w:t xml:space="preserve"> </w:t>
      </w:r>
      <w:r w:rsidRPr="003F00DB">
        <w:rPr>
          <w:rFonts w:ascii="Times New Roman" w:hAnsi="Times New Roman"/>
          <w:sz w:val="24"/>
          <w:szCs w:val="24"/>
        </w:rPr>
        <w:t>The problem I have with the magistrate’s explanation is that it is not consistent with the accused’s explanation as recorded in the proceedings.</w:t>
      </w:r>
      <w:r w:rsidR="009D603D">
        <w:rPr>
          <w:rFonts w:ascii="Times New Roman" w:hAnsi="Times New Roman"/>
          <w:sz w:val="24"/>
          <w:szCs w:val="24"/>
        </w:rPr>
        <w:t xml:space="preserve"> </w:t>
      </w:r>
      <w:r w:rsidRPr="003F00DB">
        <w:rPr>
          <w:rFonts w:ascii="Times New Roman" w:hAnsi="Times New Roman"/>
          <w:sz w:val="24"/>
          <w:szCs w:val="24"/>
        </w:rPr>
        <w:t xml:space="preserve"> In the record, the accused did not say that the plastic bag of dagga was brought to her by the person selling it. </w:t>
      </w:r>
      <w:r w:rsidR="009D603D">
        <w:rPr>
          <w:rFonts w:ascii="Times New Roman" w:hAnsi="Times New Roman"/>
          <w:sz w:val="24"/>
          <w:szCs w:val="24"/>
        </w:rPr>
        <w:t xml:space="preserve"> </w:t>
      </w:r>
      <w:r w:rsidRPr="003F00DB">
        <w:rPr>
          <w:rFonts w:ascii="Times New Roman" w:hAnsi="Times New Roman"/>
          <w:sz w:val="24"/>
          <w:szCs w:val="24"/>
        </w:rPr>
        <w:t xml:space="preserve">Instead, the accused stated that she approached the seller, who then gave her the plastic bag of dagga. </w:t>
      </w:r>
      <w:r w:rsidR="009D603D">
        <w:rPr>
          <w:rFonts w:ascii="Times New Roman" w:hAnsi="Times New Roman"/>
          <w:sz w:val="24"/>
          <w:szCs w:val="24"/>
        </w:rPr>
        <w:t xml:space="preserve"> </w:t>
      </w:r>
      <w:r w:rsidRPr="003F00DB">
        <w:rPr>
          <w:rFonts w:ascii="Times New Roman" w:hAnsi="Times New Roman"/>
          <w:sz w:val="24"/>
          <w:szCs w:val="24"/>
        </w:rPr>
        <w:t xml:space="preserve">I do not understand why the magistrate’s explanations are not consistent with the record. </w:t>
      </w:r>
      <w:r w:rsidR="009D603D">
        <w:rPr>
          <w:rFonts w:ascii="Times New Roman" w:hAnsi="Times New Roman"/>
          <w:sz w:val="24"/>
          <w:szCs w:val="24"/>
        </w:rPr>
        <w:t xml:space="preserve"> </w:t>
      </w:r>
      <w:r w:rsidRPr="003F00DB">
        <w:rPr>
          <w:rFonts w:ascii="Times New Roman" w:hAnsi="Times New Roman"/>
          <w:sz w:val="24"/>
          <w:szCs w:val="24"/>
        </w:rPr>
        <w:t xml:space="preserve">I also have issues with the magistrate’s </w:t>
      </w:r>
      <w:r w:rsidR="006A383E">
        <w:rPr>
          <w:rFonts w:ascii="Times New Roman" w:hAnsi="Times New Roman"/>
          <w:sz w:val="24"/>
          <w:szCs w:val="24"/>
        </w:rPr>
        <w:t>assumption</w:t>
      </w:r>
      <w:r w:rsidRPr="003F00DB">
        <w:rPr>
          <w:rFonts w:ascii="Times New Roman" w:hAnsi="Times New Roman"/>
          <w:sz w:val="24"/>
          <w:szCs w:val="24"/>
        </w:rPr>
        <w:t xml:space="preserve"> that the accused could have been trapped, as she did not specify who might have trapped the accused</w:t>
      </w:r>
      <w:r>
        <w:rPr>
          <w:rFonts w:ascii="Times New Roman" w:hAnsi="Times New Roman"/>
          <w:sz w:val="24"/>
          <w:szCs w:val="24"/>
        </w:rPr>
        <w:t xml:space="preserve"> and </w:t>
      </w:r>
      <w:r w:rsidR="006A383E">
        <w:rPr>
          <w:rFonts w:ascii="Times New Roman" w:hAnsi="Times New Roman"/>
          <w:sz w:val="24"/>
          <w:szCs w:val="24"/>
        </w:rPr>
        <w:t>the</w:t>
      </w:r>
      <w:r w:rsidR="00E571BA">
        <w:rPr>
          <w:rFonts w:ascii="Times New Roman" w:hAnsi="Times New Roman"/>
          <w:sz w:val="24"/>
          <w:szCs w:val="24"/>
        </w:rPr>
        <w:t>ir</w:t>
      </w:r>
      <w:r>
        <w:rPr>
          <w:rFonts w:ascii="Times New Roman" w:hAnsi="Times New Roman"/>
          <w:sz w:val="24"/>
          <w:szCs w:val="24"/>
        </w:rPr>
        <w:t xml:space="preserve"> reason</w:t>
      </w:r>
      <w:r w:rsidR="006A383E">
        <w:rPr>
          <w:rFonts w:ascii="Times New Roman" w:hAnsi="Times New Roman"/>
          <w:sz w:val="24"/>
          <w:szCs w:val="24"/>
        </w:rPr>
        <w:t xml:space="preserve"> for doing so</w:t>
      </w:r>
      <w:r>
        <w:rPr>
          <w:rFonts w:ascii="Times New Roman" w:hAnsi="Times New Roman"/>
          <w:sz w:val="24"/>
          <w:szCs w:val="24"/>
        </w:rPr>
        <w:t>.</w:t>
      </w:r>
    </w:p>
    <w:p w14:paraId="10A3A445" w14:textId="43C06180" w:rsidR="003F00DB" w:rsidRDefault="003253B4" w:rsidP="0046262E">
      <w:pPr>
        <w:pStyle w:val="p1"/>
        <w:spacing w:line="360" w:lineRule="auto"/>
        <w:ind w:firstLine="600"/>
        <w:jc w:val="both"/>
        <w:divId w:val="298540872"/>
        <w:rPr>
          <w:rStyle w:val="s1"/>
          <w:rFonts w:ascii="Times New Roman" w:hAnsi="Times New Roman"/>
          <w:sz w:val="24"/>
          <w:szCs w:val="24"/>
        </w:rPr>
      </w:pPr>
      <w:r w:rsidRPr="003253B4">
        <w:rPr>
          <w:rFonts w:ascii="Times New Roman" w:hAnsi="Times New Roman"/>
          <w:sz w:val="24"/>
          <w:szCs w:val="24"/>
        </w:rPr>
        <w:t>In my considered view, the learned magistrate accepted the accused’s explanation for possession of dagga without question, despite the explanation being unsatisfactory</w:t>
      </w:r>
      <w:r w:rsidR="00E571BA">
        <w:rPr>
          <w:rFonts w:ascii="Times New Roman" w:hAnsi="Times New Roman"/>
          <w:sz w:val="24"/>
          <w:szCs w:val="24"/>
        </w:rPr>
        <w:t xml:space="preserve"> in the face of the substantial quantity involved</w:t>
      </w:r>
      <w:r w:rsidRPr="003253B4">
        <w:rPr>
          <w:rFonts w:ascii="Times New Roman" w:hAnsi="Times New Roman"/>
          <w:sz w:val="24"/>
          <w:szCs w:val="24"/>
        </w:rPr>
        <w:t>. When an accused provides an unsatisfactory explanation in mitigation, the court should not merely record it without further probing or seeking clarification.</w:t>
      </w:r>
      <w:r>
        <w:rPr>
          <w:rFonts w:ascii="Times New Roman" w:hAnsi="Times New Roman"/>
          <w:sz w:val="24"/>
          <w:szCs w:val="24"/>
        </w:rPr>
        <w:t xml:space="preserve"> </w:t>
      </w:r>
      <w:r w:rsidRPr="003253B4">
        <w:rPr>
          <w:rFonts w:ascii="Times New Roman" w:hAnsi="Times New Roman"/>
          <w:sz w:val="24"/>
          <w:szCs w:val="24"/>
        </w:rPr>
        <w:t xml:space="preserve">The court must not accept explanations blindly. </w:t>
      </w:r>
      <w:r w:rsidR="009D603D">
        <w:rPr>
          <w:rFonts w:ascii="Times New Roman" w:hAnsi="Times New Roman"/>
          <w:sz w:val="24"/>
          <w:szCs w:val="24"/>
        </w:rPr>
        <w:t xml:space="preserve"> </w:t>
      </w:r>
      <w:r w:rsidRPr="003253B4">
        <w:rPr>
          <w:rFonts w:ascii="Times New Roman" w:hAnsi="Times New Roman"/>
          <w:sz w:val="24"/>
          <w:szCs w:val="24"/>
        </w:rPr>
        <w:t>In this case, the explanation given by the accused</w:t>
      </w:r>
      <w:r>
        <w:rPr>
          <w:rFonts w:ascii="Times New Roman" w:hAnsi="Times New Roman"/>
          <w:sz w:val="24"/>
          <w:szCs w:val="24"/>
        </w:rPr>
        <w:t xml:space="preserve"> </w:t>
      </w:r>
      <w:r w:rsidRPr="003253B4">
        <w:rPr>
          <w:rFonts w:ascii="Times New Roman" w:hAnsi="Times New Roman"/>
          <w:sz w:val="24"/>
          <w:szCs w:val="24"/>
        </w:rPr>
        <w:t>that she approached the seller of drugs, who then gave her a whole plastic bag of dagga when she only needed a handful</w:t>
      </w:r>
      <w:r>
        <w:rPr>
          <w:rFonts w:ascii="Times New Roman" w:hAnsi="Times New Roman"/>
          <w:sz w:val="24"/>
          <w:szCs w:val="24"/>
        </w:rPr>
        <w:t xml:space="preserve"> </w:t>
      </w:r>
      <w:r w:rsidRPr="003253B4">
        <w:rPr>
          <w:rFonts w:ascii="Times New Roman" w:hAnsi="Times New Roman"/>
          <w:sz w:val="24"/>
          <w:szCs w:val="24"/>
        </w:rPr>
        <w:t xml:space="preserve">does not make any sense. Why would the accused accept the entire bag instead of just taking the handful she needed? Why would she even take the plastic bag of dagga to her house? The accused did not </w:t>
      </w:r>
      <w:r w:rsidR="00E571BA">
        <w:rPr>
          <w:rFonts w:ascii="Times New Roman" w:hAnsi="Times New Roman"/>
          <w:sz w:val="24"/>
          <w:szCs w:val="24"/>
        </w:rPr>
        <w:t xml:space="preserve">even </w:t>
      </w:r>
      <w:r w:rsidRPr="003253B4">
        <w:rPr>
          <w:rFonts w:ascii="Times New Roman" w:hAnsi="Times New Roman"/>
          <w:sz w:val="24"/>
          <w:szCs w:val="24"/>
        </w:rPr>
        <w:t>explain where this transaction took place or what the ritual was about. Many questions remained unanswered, yet the learned magistrate believed the accused’s explanation without question.</w:t>
      </w:r>
      <w:r>
        <w:rPr>
          <w:rFonts w:ascii="Times New Roman" w:hAnsi="Times New Roman"/>
          <w:sz w:val="24"/>
          <w:szCs w:val="24"/>
        </w:rPr>
        <w:t xml:space="preserve"> </w:t>
      </w:r>
      <w:r w:rsidRPr="003253B4">
        <w:rPr>
          <w:rFonts w:ascii="Times New Roman" w:hAnsi="Times New Roman"/>
          <w:sz w:val="24"/>
          <w:szCs w:val="24"/>
        </w:rPr>
        <w:t>The magistrate did not even consider what the prosecutor said, which was valid and pertinent in the circumstances of the case. The prosecutor stated, “</w:t>
      </w:r>
      <w:r w:rsidRPr="00E571BA">
        <w:rPr>
          <w:rFonts w:ascii="Times New Roman" w:hAnsi="Times New Roman"/>
          <w:i/>
          <w:iCs/>
          <w:sz w:val="24"/>
          <w:szCs w:val="24"/>
        </w:rPr>
        <w:t>May the court take into account that this is a serious offen</w:t>
      </w:r>
      <w:r w:rsidR="007C48AB" w:rsidRPr="00E571BA">
        <w:rPr>
          <w:rFonts w:ascii="Times New Roman" w:hAnsi="Times New Roman"/>
          <w:i/>
          <w:iCs/>
          <w:sz w:val="24"/>
          <w:szCs w:val="24"/>
        </w:rPr>
        <w:t>c</w:t>
      </w:r>
      <w:r w:rsidRPr="00E571BA">
        <w:rPr>
          <w:rFonts w:ascii="Times New Roman" w:hAnsi="Times New Roman"/>
          <w:i/>
          <w:iCs/>
          <w:sz w:val="24"/>
          <w:szCs w:val="24"/>
        </w:rPr>
        <w:t>e and people are abusing the drug. The quantity is substantial, which suggests that it was for dealing.</w:t>
      </w:r>
      <w:r w:rsidRPr="003253B4">
        <w:rPr>
          <w:rFonts w:ascii="Times New Roman" w:hAnsi="Times New Roman"/>
          <w:sz w:val="24"/>
          <w:szCs w:val="24"/>
        </w:rPr>
        <w:t>”</w:t>
      </w:r>
      <w:r w:rsidR="0046262E" w:rsidRPr="0046262E">
        <w:rPr>
          <w:rFonts w:ascii="Roboto" w:hAnsi="Roboto" w:cstheme="minorBidi"/>
          <w:color w:val="111111"/>
          <w:kern w:val="2"/>
          <w:sz w:val="21"/>
          <w:szCs w:val="21"/>
          <w:shd w:val="clear" w:color="auto" w:fill="FFFFFF"/>
          <w14:ligatures w14:val="standardContextual"/>
        </w:rPr>
        <w:t xml:space="preserve"> </w:t>
      </w:r>
      <w:r w:rsidR="0046262E" w:rsidRPr="0046262E">
        <w:rPr>
          <w:rFonts w:ascii="Times New Roman" w:hAnsi="Times New Roman"/>
          <w:sz w:val="24"/>
          <w:szCs w:val="24"/>
        </w:rPr>
        <w:t>The prosecutor</w:t>
      </w:r>
      <w:r w:rsidR="0046262E">
        <w:rPr>
          <w:rFonts w:ascii="Times New Roman" w:hAnsi="Times New Roman"/>
          <w:sz w:val="24"/>
          <w:szCs w:val="24"/>
        </w:rPr>
        <w:t xml:space="preserve"> clearly</w:t>
      </w:r>
      <w:r w:rsidR="0046262E" w:rsidRPr="0046262E">
        <w:rPr>
          <w:rFonts w:ascii="Times New Roman" w:hAnsi="Times New Roman"/>
          <w:sz w:val="24"/>
          <w:szCs w:val="24"/>
        </w:rPr>
        <w:t xml:space="preserve"> suggested that the large quantity of dagga implie</w:t>
      </w:r>
      <w:r w:rsidR="00E571BA">
        <w:rPr>
          <w:rFonts w:ascii="Times New Roman" w:hAnsi="Times New Roman"/>
          <w:sz w:val="24"/>
          <w:szCs w:val="24"/>
        </w:rPr>
        <w:t>d</w:t>
      </w:r>
      <w:r w:rsidR="0046262E" w:rsidRPr="0046262E">
        <w:rPr>
          <w:rFonts w:ascii="Times New Roman" w:hAnsi="Times New Roman"/>
          <w:sz w:val="24"/>
          <w:szCs w:val="24"/>
        </w:rPr>
        <w:t xml:space="preserve"> the accused was likely involved in distributing or selling the drug, rather than just using it personally. The fact that the police received a tip-off about the accused possessing dagga at her residence further strengthens this suspicion. If the accused was not dealing in drugs, how did other</w:t>
      </w:r>
      <w:r w:rsidR="00BD2D78">
        <w:rPr>
          <w:rFonts w:ascii="Times New Roman" w:hAnsi="Times New Roman"/>
          <w:sz w:val="24"/>
          <w:szCs w:val="24"/>
        </w:rPr>
        <w:t xml:space="preserve"> people</w:t>
      </w:r>
      <w:r w:rsidR="0046262E" w:rsidRPr="0046262E">
        <w:rPr>
          <w:rFonts w:ascii="Times New Roman" w:hAnsi="Times New Roman"/>
          <w:sz w:val="24"/>
          <w:szCs w:val="24"/>
        </w:rPr>
        <w:t xml:space="preserve"> know she had dagga at her place of residence?</w:t>
      </w:r>
      <w:r w:rsidR="0046262E">
        <w:rPr>
          <w:rFonts w:ascii="Times New Roman" w:hAnsi="Times New Roman"/>
          <w:sz w:val="24"/>
          <w:szCs w:val="24"/>
        </w:rPr>
        <w:t xml:space="preserve"> This is the sort of question that should have exercised the learned magistrate’s </w:t>
      </w:r>
      <w:r w:rsidR="005A0DAE">
        <w:rPr>
          <w:rFonts w:ascii="Times New Roman" w:hAnsi="Times New Roman"/>
          <w:sz w:val="24"/>
          <w:szCs w:val="24"/>
        </w:rPr>
        <w:t xml:space="preserve">mind. </w:t>
      </w:r>
    </w:p>
    <w:p w14:paraId="4461C343" w14:textId="664F3D9B" w:rsidR="0031262A" w:rsidRDefault="0031262A" w:rsidP="0031262A">
      <w:pPr>
        <w:pStyle w:val="p1"/>
        <w:spacing w:line="360" w:lineRule="auto"/>
        <w:ind w:firstLine="720"/>
        <w:jc w:val="both"/>
        <w:divId w:val="298540872"/>
        <w:rPr>
          <w:rFonts w:ascii="Times New Roman" w:hAnsi="Times New Roman"/>
          <w:sz w:val="24"/>
          <w:szCs w:val="24"/>
        </w:rPr>
      </w:pPr>
      <w:r>
        <w:rPr>
          <w:rFonts w:ascii="Times New Roman" w:hAnsi="Times New Roman"/>
          <w:sz w:val="24"/>
          <w:szCs w:val="24"/>
        </w:rPr>
        <w:t xml:space="preserve">In </w:t>
      </w:r>
      <w:r w:rsidRPr="009D603D">
        <w:rPr>
          <w:rFonts w:ascii="Times New Roman" w:hAnsi="Times New Roman"/>
          <w:i/>
          <w:iCs/>
          <w:sz w:val="24"/>
          <w:szCs w:val="24"/>
        </w:rPr>
        <w:t xml:space="preserve">S </w:t>
      </w:r>
      <w:r w:rsidRPr="0031262A">
        <w:rPr>
          <w:rFonts w:ascii="Times New Roman" w:hAnsi="Times New Roman"/>
          <w:sz w:val="24"/>
          <w:szCs w:val="24"/>
        </w:rPr>
        <w:t xml:space="preserve">v </w:t>
      </w:r>
      <w:r w:rsidRPr="009D603D">
        <w:rPr>
          <w:rFonts w:ascii="Times New Roman" w:hAnsi="Times New Roman"/>
          <w:i/>
          <w:iCs/>
          <w:sz w:val="24"/>
          <w:szCs w:val="24"/>
        </w:rPr>
        <w:t xml:space="preserve">Dube </w:t>
      </w:r>
      <w:r w:rsidRPr="0031262A">
        <w:rPr>
          <w:rFonts w:ascii="Times New Roman" w:hAnsi="Times New Roman"/>
          <w:sz w:val="24"/>
          <w:szCs w:val="24"/>
        </w:rPr>
        <w:t>Sixpence HH 77</w:t>
      </w:r>
      <w:r>
        <w:rPr>
          <w:rFonts w:ascii="Times New Roman" w:hAnsi="Times New Roman"/>
          <w:sz w:val="24"/>
          <w:szCs w:val="24"/>
        </w:rPr>
        <w:t xml:space="preserve"> -</w:t>
      </w:r>
      <w:r w:rsidRPr="0031262A">
        <w:rPr>
          <w:rFonts w:ascii="Times New Roman" w:hAnsi="Times New Roman"/>
          <w:sz w:val="24"/>
          <w:szCs w:val="24"/>
        </w:rPr>
        <w:t xml:space="preserve"> 03 </w:t>
      </w:r>
      <w:r w:rsidR="009D603D" w:rsidRPr="009D603D">
        <w:rPr>
          <w:rFonts w:ascii="Times New Roman" w:hAnsi="Times New Roman"/>
          <w:smallCaps/>
          <w:sz w:val="24"/>
          <w:szCs w:val="24"/>
        </w:rPr>
        <w:t>hungwe</w:t>
      </w:r>
      <w:r w:rsidR="009D603D">
        <w:rPr>
          <w:rFonts w:ascii="Times New Roman" w:hAnsi="Times New Roman"/>
          <w:sz w:val="24"/>
          <w:szCs w:val="24"/>
        </w:rPr>
        <w:t xml:space="preserve"> </w:t>
      </w:r>
      <w:r>
        <w:rPr>
          <w:rFonts w:ascii="Times New Roman" w:hAnsi="Times New Roman"/>
          <w:sz w:val="24"/>
          <w:szCs w:val="24"/>
        </w:rPr>
        <w:t>J said,</w:t>
      </w:r>
    </w:p>
    <w:p w14:paraId="46EEFB26" w14:textId="1E7461F2" w:rsidR="0031262A" w:rsidRDefault="0031262A" w:rsidP="0031262A">
      <w:pPr>
        <w:pStyle w:val="p1"/>
        <w:ind w:left="720"/>
        <w:jc w:val="both"/>
        <w:divId w:val="298540872"/>
        <w:rPr>
          <w:rFonts w:ascii="Times New Roman" w:hAnsi="Times New Roman"/>
          <w:sz w:val="24"/>
          <w:szCs w:val="24"/>
        </w:rPr>
      </w:pPr>
      <w:r>
        <w:rPr>
          <w:rFonts w:ascii="Times New Roman" w:hAnsi="Times New Roman"/>
          <w:sz w:val="24"/>
          <w:szCs w:val="24"/>
        </w:rPr>
        <w:t>“</w:t>
      </w:r>
      <w:r w:rsidRPr="0031262A">
        <w:rPr>
          <w:rFonts w:ascii="Times New Roman" w:hAnsi="Times New Roman"/>
          <w:sz w:val="24"/>
          <w:szCs w:val="24"/>
        </w:rPr>
        <w:t xml:space="preserve">I would add that what further justifies a custodial sentence in possession where there is no evidence that it was intended for supply to other persons is the quantity possessed. The larger the quantity the easier the inference that it was intended for supply, but since the accused is being charged for possession or has been convicted for possession it </w:t>
      </w:r>
      <w:r w:rsidRPr="0031262A">
        <w:rPr>
          <w:rFonts w:ascii="Times New Roman" w:hAnsi="Times New Roman"/>
          <w:sz w:val="24"/>
          <w:szCs w:val="24"/>
        </w:rPr>
        <w:lastRenderedPageBreak/>
        <w:t xml:space="preserve">follows that the </w:t>
      </w:r>
      <w:r w:rsidR="00E571BA">
        <w:rPr>
          <w:rFonts w:ascii="Times New Roman" w:hAnsi="Times New Roman"/>
          <w:sz w:val="24"/>
          <w:szCs w:val="24"/>
        </w:rPr>
        <w:t>c</w:t>
      </w:r>
      <w:r w:rsidRPr="0031262A">
        <w:rPr>
          <w:rFonts w:ascii="Times New Roman" w:hAnsi="Times New Roman"/>
          <w:sz w:val="24"/>
          <w:szCs w:val="24"/>
        </w:rPr>
        <w:t>ourts recognise the temptation to supply as being inherent where dagga is possessed in large quantities.</w:t>
      </w:r>
      <w:r>
        <w:rPr>
          <w:rFonts w:ascii="Times New Roman" w:hAnsi="Times New Roman"/>
          <w:sz w:val="24"/>
          <w:szCs w:val="24"/>
        </w:rPr>
        <w:t>”</w:t>
      </w:r>
    </w:p>
    <w:p w14:paraId="458B263F" w14:textId="77777777" w:rsidR="0031262A" w:rsidRPr="0031262A" w:rsidRDefault="0031262A" w:rsidP="0031262A">
      <w:pPr>
        <w:pStyle w:val="p1"/>
        <w:ind w:left="720"/>
        <w:jc w:val="both"/>
        <w:divId w:val="298540872"/>
        <w:rPr>
          <w:rFonts w:ascii="Times New Roman" w:hAnsi="Times New Roman"/>
          <w:sz w:val="24"/>
          <w:szCs w:val="24"/>
        </w:rPr>
      </w:pPr>
    </w:p>
    <w:p w14:paraId="06C659ED" w14:textId="3D5DFB24" w:rsidR="00D302E3" w:rsidRPr="00D302E3" w:rsidRDefault="009D603D" w:rsidP="002A6A3F">
      <w:pPr>
        <w:pStyle w:val="p1"/>
        <w:spacing w:line="360" w:lineRule="auto"/>
        <w:ind w:firstLine="720"/>
        <w:jc w:val="both"/>
        <w:divId w:val="298540872"/>
        <w:rPr>
          <w:rFonts w:ascii="Times New Roman" w:hAnsi="Times New Roman"/>
          <w:sz w:val="24"/>
          <w:szCs w:val="24"/>
        </w:rPr>
      </w:pPr>
      <w:r w:rsidRPr="009D603D">
        <w:rPr>
          <w:rStyle w:val="s1"/>
          <w:rFonts w:ascii="Times New Roman" w:hAnsi="Times New Roman"/>
          <w:smallCaps/>
          <w:sz w:val="24"/>
          <w:szCs w:val="24"/>
        </w:rPr>
        <w:t>hungwe</w:t>
      </w:r>
      <w:r>
        <w:rPr>
          <w:rStyle w:val="s1"/>
          <w:rFonts w:ascii="Times New Roman" w:hAnsi="Times New Roman"/>
          <w:sz w:val="24"/>
          <w:szCs w:val="24"/>
        </w:rPr>
        <w:t xml:space="preserve"> </w:t>
      </w:r>
      <w:r w:rsidR="0031262A">
        <w:rPr>
          <w:rStyle w:val="s1"/>
          <w:rFonts w:ascii="Times New Roman" w:hAnsi="Times New Roman"/>
          <w:sz w:val="24"/>
          <w:szCs w:val="24"/>
        </w:rPr>
        <w:t xml:space="preserve">J was </w:t>
      </w:r>
      <w:r w:rsidR="0031262A" w:rsidRPr="0031262A">
        <w:rPr>
          <w:rStyle w:val="s1"/>
          <w:rFonts w:ascii="Times New Roman" w:hAnsi="Times New Roman"/>
          <w:sz w:val="24"/>
          <w:szCs w:val="24"/>
        </w:rPr>
        <w:t xml:space="preserve">explaining why </w:t>
      </w:r>
      <w:r w:rsidR="0031262A">
        <w:rPr>
          <w:rStyle w:val="s1"/>
          <w:rFonts w:ascii="Times New Roman" w:hAnsi="Times New Roman"/>
          <w:sz w:val="24"/>
          <w:szCs w:val="24"/>
        </w:rPr>
        <w:t>an accused</w:t>
      </w:r>
      <w:r w:rsidR="0031262A" w:rsidRPr="0031262A">
        <w:rPr>
          <w:rStyle w:val="s1"/>
          <w:rFonts w:ascii="Times New Roman" w:hAnsi="Times New Roman"/>
          <w:sz w:val="24"/>
          <w:szCs w:val="24"/>
        </w:rPr>
        <w:t xml:space="preserve"> might receive a custodial sentence for possessing a large quantity of dagga, even if there is no direct evidence that they intended to supply it to others. The larger the amount of dagga, the more likely it is that the court will assume the person intended to sell it, even if there is no direct evidence of this.</w:t>
      </w:r>
      <w:r>
        <w:rPr>
          <w:rStyle w:val="s1"/>
          <w:rFonts w:ascii="Times New Roman" w:hAnsi="Times New Roman"/>
          <w:sz w:val="24"/>
          <w:szCs w:val="24"/>
        </w:rPr>
        <w:t xml:space="preserve"> </w:t>
      </w:r>
      <w:r w:rsidR="00BD2D78">
        <w:rPr>
          <w:rStyle w:val="s1"/>
          <w:rFonts w:ascii="Times New Roman" w:hAnsi="Times New Roman"/>
          <w:sz w:val="24"/>
          <w:szCs w:val="24"/>
        </w:rPr>
        <w:t xml:space="preserve"> He said that the </w:t>
      </w:r>
      <w:r w:rsidR="0031262A" w:rsidRPr="0031262A">
        <w:rPr>
          <w:rStyle w:val="s1"/>
          <w:rFonts w:ascii="Times New Roman" w:hAnsi="Times New Roman"/>
          <w:sz w:val="24"/>
          <w:szCs w:val="24"/>
        </w:rPr>
        <w:t>court recognizes that having a large quantity of dagga might tempt someone to sell it, which justifies a harsher punishment.</w:t>
      </w:r>
      <w:r w:rsidR="00B55CD6" w:rsidRPr="00B55CD6">
        <w:rPr>
          <w:rFonts w:ascii="Roboto" w:hAnsi="Roboto" w:cstheme="minorBidi"/>
          <w:color w:val="111111"/>
          <w:kern w:val="2"/>
          <w:sz w:val="21"/>
          <w:szCs w:val="21"/>
          <w:shd w:val="clear" w:color="auto" w:fill="FFFFFF"/>
          <w14:ligatures w14:val="standardContextual"/>
        </w:rPr>
        <w:t xml:space="preserve"> </w:t>
      </w:r>
      <w:r w:rsidR="00B55CD6" w:rsidRPr="00B55CD6">
        <w:rPr>
          <w:rFonts w:ascii="Times New Roman" w:hAnsi="Times New Roman"/>
          <w:sz w:val="24"/>
          <w:szCs w:val="24"/>
        </w:rPr>
        <w:t xml:space="preserve">In essence, he was saying that possessing a large amount of dagga can lead to a prison sentence because it suggests the person might be tempted to supply it to others, even if they have not been caught doing so. </w:t>
      </w:r>
      <w:r w:rsidR="008F428F">
        <w:rPr>
          <w:rFonts w:ascii="Times New Roman" w:hAnsi="Times New Roman"/>
          <w:sz w:val="24"/>
          <w:szCs w:val="24"/>
        </w:rPr>
        <w:t xml:space="preserve">I am in accord with </w:t>
      </w:r>
      <w:r w:rsidR="008F428F" w:rsidRPr="008F428F">
        <w:rPr>
          <w:rFonts w:ascii="Times New Roman" w:hAnsi="Times New Roman"/>
          <w:sz w:val="22"/>
          <w:szCs w:val="22"/>
        </w:rPr>
        <w:t>HUNGWE J</w:t>
      </w:r>
      <w:r w:rsidR="008F428F">
        <w:rPr>
          <w:rFonts w:ascii="Times New Roman" w:hAnsi="Times New Roman"/>
          <w:sz w:val="24"/>
          <w:szCs w:val="24"/>
        </w:rPr>
        <w:t xml:space="preserve">. </w:t>
      </w:r>
      <w:r w:rsidR="00B55CD6" w:rsidRPr="00B55CD6">
        <w:rPr>
          <w:rFonts w:ascii="Times New Roman" w:hAnsi="Times New Roman"/>
          <w:sz w:val="24"/>
          <w:szCs w:val="24"/>
        </w:rPr>
        <w:t>In the absence of a good and clear explanation by the accused</w:t>
      </w:r>
      <w:r w:rsidR="005B2484">
        <w:rPr>
          <w:rFonts w:ascii="Times New Roman" w:hAnsi="Times New Roman"/>
          <w:sz w:val="24"/>
          <w:szCs w:val="24"/>
        </w:rPr>
        <w:t xml:space="preserve"> for their possession of a large quantity of dangerous drugs</w:t>
      </w:r>
      <w:r w:rsidR="00B55CD6" w:rsidRPr="00B55CD6">
        <w:rPr>
          <w:rFonts w:ascii="Times New Roman" w:hAnsi="Times New Roman"/>
          <w:sz w:val="24"/>
          <w:szCs w:val="24"/>
        </w:rPr>
        <w:t xml:space="preserve">, that can only be the logical conclusion. The present case is one such instance. The accused offered no reasonable explanation for possessing a large quantity of dagga. Why would someone selling dagga ask her to keep it for them? And why would she agree to keep it? She was not even able to specify the ritual she claimed to need the dagga for. The only logical conclusion is that she possessed it with the intent to deal. It is no wonder the police were tipped off that she had dagga at her residence. </w:t>
      </w:r>
      <w:r w:rsidR="00D302E3" w:rsidRPr="00D302E3">
        <w:rPr>
          <w:rFonts w:ascii="Times New Roman" w:hAnsi="Times New Roman"/>
          <w:sz w:val="24"/>
          <w:szCs w:val="24"/>
        </w:rPr>
        <w:t xml:space="preserve">The learned magistrate should have </w:t>
      </w:r>
      <w:r w:rsidR="002A6A3F">
        <w:rPr>
          <w:rFonts w:ascii="Times New Roman" w:hAnsi="Times New Roman"/>
          <w:sz w:val="24"/>
          <w:szCs w:val="24"/>
        </w:rPr>
        <w:t>paid attention to</w:t>
      </w:r>
      <w:r w:rsidR="00D302E3" w:rsidRPr="00D302E3">
        <w:rPr>
          <w:rFonts w:ascii="Times New Roman" w:hAnsi="Times New Roman"/>
          <w:sz w:val="24"/>
          <w:szCs w:val="24"/>
        </w:rPr>
        <w:t xml:space="preserve"> </w:t>
      </w:r>
      <w:r w:rsidR="002A6A3F">
        <w:rPr>
          <w:rFonts w:ascii="Times New Roman" w:hAnsi="Times New Roman"/>
          <w:sz w:val="24"/>
          <w:szCs w:val="24"/>
        </w:rPr>
        <w:t xml:space="preserve">all these issues </w:t>
      </w:r>
      <w:r w:rsidR="006A383E">
        <w:rPr>
          <w:rFonts w:ascii="Times New Roman" w:hAnsi="Times New Roman"/>
          <w:sz w:val="24"/>
          <w:szCs w:val="24"/>
        </w:rPr>
        <w:t>during the hearing and</w:t>
      </w:r>
      <w:r w:rsidR="002A6A3F">
        <w:rPr>
          <w:rFonts w:ascii="Times New Roman" w:hAnsi="Times New Roman"/>
          <w:sz w:val="24"/>
          <w:szCs w:val="24"/>
        </w:rPr>
        <w:t xml:space="preserve"> clearly articulated them</w:t>
      </w:r>
      <w:r w:rsidR="006A383E">
        <w:rPr>
          <w:rFonts w:ascii="Times New Roman" w:hAnsi="Times New Roman"/>
          <w:sz w:val="24"/>
          <w:szCs w:val="24"/>
        </w:rPr>
        <w:t xml:space="preserve"> </w:t>
      </w:r>
      <w:r w:rsidR="00D302E3" w:rsidRPr="00D302E3">
        <w:rPr>
          <w:rFonts w:ascii="Times New Roman" w:hAnsi="Times New Roman"/>
          <w:sz w:val="24"/>
          <w:szCs w:val="24"/>
        </w:rPr>
        <w:t>in her sentencing judgment. After addressing these issues, she should have then discussed whether there was a need to depart from the presumptive penalty of three years’ imprisonment.</w:t>
      </w:r>
    </w:p>
    <w:p w14:paraId="3773097C" w14:textId="64F4DBCD" w:rsidR="00D302E3" w:rsidRDefault="00D302E3" w:rsidP="006F14E9">
      <w:pPr>
        <w:pStyle w:val="p1"/>
        <w:spacing w:line="360" w:lineRule="auto"/>
        <w:ind w:firstLine="720"/>
        <w:jc w:val="both"/>
        <w:divId w:val="298540872"/>
        <w:rPr>
          <w:rStyle w:val="s1"/>
          <w:rFonts w:ascii="Times New Roman" w:hAnsi="Times New Roman"/>
          <w:sz w:val="24"/>
          <w:szCs w:val="24"/>
        </w:rPr>
      </w:pPr>
      <w:r w:rsidRPr="00D302E3">
        <w:rPr>
          <w:rFonts w:ascii="Times New Roman" w:hAnsi="Times New Roman"/>
          <w:sz w:val="24"/>
          <w:szCs w:val="24"/>
        </w:rPr>
        <w:t>I note that in responding to my query, the magistrate mentioned that she took guidance from a Mutare High Court review case where an accused was fined for possession of 1,000 plants of dagga. The learned magistrate’s manner of citing cases leaves much to be desired. I am at a loss to understand what exactly she expected me to do with this referenced case. She did not provide a proper citation of the case. A proper citation of a case means stating the names of the parties and the case number. I do not know if the learned magistrate expected me to phone the Mutare High Court to inquire about the case</w:t>
      </w:r>
      <w:r>
        <w:rPr>
          <w:rFonts w:ascii="Times New Roman" w:hAnsi="Times New Roman"/>
          <w:sz w:val="24"/>
          <w:szCs w:val="24"/>
        </w:rPr>
        <w:t xml:space="preserve">. </w:t>
      </w:r>
      <w:r w:rsidRPr="00D302E3">
        <w:rPr>
          <w:rFonts w:ascii="Times New Roman" w:hAnsi="Times New Roman"/>
          <w:sz w:val="24"/>
          <w:szCs w:val="24"/>
        </w:rPr>
        <w:t>To make matters worse, this is not a case she referenced in her sentencing judgment or anywhere in the record of proceedings. So, how did she take guidance from it without referring to it in her sentencing judgment? She did not explain the relevance of the case to the present case. It is not even known if that case was decided before or after the promulgation of the sentencing guidelines</w:t>
      </w:r>
      <w:r>
        <w:rPr>
          <w:rFonts w:ascii="Times New Roman" w:hAnsi="Times New Roman"/>
          <w:sz w:val="24"/>
          <w:szCs w:val="24"/>
        </w:rPr>
        <w:t xml:space="preserve"> in August 2023</w:t>
      </w:r>
      <w:r w:rsidRPr="00D302E3">
        <w:rPr>
          <w:rFonts w:ascii="Times New Roman" w:hAnsi="Times New Roman"/>
          <w:sz w:val="24"/>
          <w:szCs w:val="24"/>
        </w:rPr>
        <w:t xml:space="preserve">. In </w:t>
      </w:r>
      <w:r w:rsidRPr="009D603D">
        <w:rPr>
          <w:rFonts w:ascii="Times New Roman" w:hAnsi="Times New Roman"/>
          <w:i/>
          <w:iCs/>
          <w:sz w:val="24"/>
          <w:szCs w:val="24"/>
        </w:rPr>
        <w:t xml:space="preserve">S </w:t>
      </w:r>
      <w:r w:rsidRPr="00D302E3">
        <w:rPr>
          <w:rFonts w:ascii="Times New Roman" w:hAnsi="Times New Roman"/>
          <w:sz w:val="24"/>
          <w:szCs w:val="24"/>
        </w:rPr>
        <w:t xml:space="preserve">v </w:t>
      </w:r>
      <w:r w:rsidRPr="00D302E3">
        <w:rPr>
          <w:rFonts w:ascii="Times New Roman" w:hAnsi="Times New Roman"/>
          <w:i/>
          <w:iCs/>
          <w:sz w:val="24"/>
          <w:szCs w:val="24"/>
        </w:rPr>
        <w:t>Wallace Kufandada &amp; Anor</w:t>
      </w:r>
      <w:r w:rsidRPr="00D302E3">
        <w:rPr>
          <w:rFonts w:ascii="Times New Roman" w:hAnsi="Times New Roman"/>
          <w:sz w:val="24"/>
          <w:szCs w:val="24"/>
        </w:rPr>
        <w:t xml:space="preserve"> HH 233/24, it was held that cases decided before the sentencing </w:t>
      </w:r>
      <w:r w:rsidRPr="00D302E3">
        <w:rPr>
          <w:rFonts w:ascii="Times New Roman" w:hAnsi="Times New Roman"/>
          <w:sz w:val="24"/>
          <w:szCs w:val="24"/>
        </w:rPr>
        <w:lastRenderedPageBreak/>
        <w:t>guidelines were promulgated should only be used if they are consistent with the sentencing guidelines. Sentencing guidelines were put in place to promote consistency</w:t>
      </w:r>
      <w:r>
        <w:rPr>
          <w:rFonts w:ascii="Times New Roman" w:hAnsi="Times New Roman"/>
          <w:sz w:val="24"/>
          <w:szCs w:val="24"/>
        </w:rPr>
        <w:t xml:space="preserve"> and remove unwarranted disparities </w:t>
      </w:r>
      <w:r w:rsidRPr="00D302E3">
        <w:rPr>
          <w:rFonts w:ascii="Times New Roman" w:hAnsi="Times New Roman"/>
          <w:sz w:val="24"/>
          <w:szCs w:val="24"/>
        </w:rPr>
        <w:t>in</w:t>
      </w:r>
      <w:r>
        <w:rPr>
          <w:rFonts w:ascii="Times New Roman" w:hAnsi="Times New Roman"/>
          <w:sz w:val="24"/>
          <w:szCs w:val="24"/>
        </w:rPr>
        <w:t xml:space="preserve"> the</w:t>
      </w:r>
      <w:r w:rsidRPr="00D302E3">
        <w:rPr>
          <w:rFonts w:ascii="Times New Roman" w:hAnsi="Times New Roman"/>
          <w:sz w:val="24"/>
          <w:szCs w:val="24"/>
        </w:rPr>
        <w:t xml:space="preserve"> </w:t>
      </w:r>
      <w:r>
        <w:rPr>
          <w:rFonts w:ascii="Times New Roman" w:hAnsi="Times New Roman"/>
          <w:sz w:val="24"/>
          <w:szCs w:val="24"/>
        </w:rPr>
        <w:t>punishment of offenders</w:t>
      </w:r>
      <w:r w:rsidRPr="00D302E3">
        <w:rPr>
          <w:rFonts w:ascii="Times New Roman" w:hAnsi="Times New Roman"/>
          <w:sz w:val="24"/>
          <w:szCs w:val="24"/>
        </w:rPr>
        <w:t>. This means that judicial officers should only use past cases that are consistent with these guidelines.</w:t>
      </w:r>
    </w:p>
    <w:p w14:paraId="57CBCA0C" w14:textId="04BE4E7D" w:rsidR="008D2E40" w:rsidRDefault="00C6406E" w:rsidP="00DE005F">
      <w:pPr>
        <w:pStyle w:val="p1"/>
        <w:spacing w:line="360" w:lineRule="auto"/>
        <w:ind w:firstLine="720"/>
        <w:jc w:val="both"/>
        <w:divId w:val="298540872"/>
        <w:rPr>
          <w:rFonts w:ascii="Times New Roman" w:hAnsi="Times New Roman"/>
          <w:sz w:val="24"/>
          <w:szCs w:val="24"/>
        </w:rPr>
      </w:pPr>
      <w:r w:rsidRPr="00C6406E">
        <w:rPr>
          <w:rFonts w:ascii="Times New Roman" w:hAnsi="Times New Roman"/>
          <w:sz w:val="24"/>
          <w:szCs w:val="24"/>
        </w:rPr>
        <w:t>Before concluding this judgment, I would like to address one additional issue.</w:t>
      </w:r>
      <w:r>
        <w:rPr>
          <w:rFonts w:ascii="Times New Roman" w:hAnsi="Times New Roman"/>
          <w:sz w:val="24"/>
          <w:szCs w:val="24"/>
        </w:rPr>
        <w:t xml:space="preserve"> </w:t>
      </w:r>
      <w:r w:rsidR="008D2E40" w:rsidRPr="008D2E40">
        <w:rPr>
          <w:rFonts w:ascii="Times New Roman" w:hAnsi="Times New Roman"/>
          <w:sz w:val="24"/>
          <w:szCs w:val="24"/>
        </w:rPr>
        <w:t>In suspending a portion of the accused’s sentence on the condition of future good behavio</w:t>
      </w:r>
      <w:r w:rsidR="008D2E40">
        <w:rPr>
          <w:rFonts w:ascii="Times New Roman" w:hAnsi="Times New Roman"/>
          <w:sz w:val="24"/>
          <w:szCs w:val="24"/>
        </w:rPr>
        <w:t>u</w:t>
      </w:r>
      <w:r w:rsidR="008D2E40" w:rsidRPr="008D2E40">
        <w:rPr>
          <w:rFonts w:ascii="Times New Roman" w:hAnsi="Times New Roman"/>
          <w:sz w:val="24"/>
          <w:szCs w:val="24"/>
        </w:rPr>
        <w:t>r, the learned magistrate should have imposed a broader condition of suspension that bars the accused from possessing, cultivating, and dealing in drugs. A condition of suspension that only prohibits the accused from possessing dangerous drugs in the future is too restrictive and does not serve the interests of justice. If the accused is convicted of cultivating dagga, the suspended sentence will not be enforced.</w:t>
      </w:r>
      <w:r w:rsidR="001D0A1A" w:rsidRPr="001D0A1A">
        <w:rPr>
          <w:rFonts w:ascii="Roboto" w:hAnsi="Roboto" w:cstheme="minorBidi"/>
          <w:color w:val="111111"/>
          <w:kern w:val="2"/>
          <w:sz w:val="21"/>
          <w:szCs w:val="21"/>
          <w:shd w:val="clear" w:color="auto" w:fill="FFFFFF"/>
          <w14:ligatures w14:val="standardContextual"/>
        </w:rPr>
        <w:t xml:space="preserve"> </w:t>
      </w:r>
      <w:r w:rsidR="001D0A1A">
        <w:rPr>
          <w:rFonts w:ascii="Times New Roman" w:hAnsi="Times New Roman"/>
          <w:sz w:val="24"/>
          <w:szCs w:val="24"/>
        </w:rPr>
        <w:t>T</w:t>
      </w:r>
      <w:r w:rsidR="001D0A1A" w:rsidRPr="001D0A1A">
        <w:rPr>
          <w:rFonts w:ascii="Times New Roman" w:hAnsi="Times New Roman"/>
          <w:sz w:val="24"/>
          <w:szCs w:val="24"/>
        </w:rPr>
        <w:t>he</w:t>
      </w:r>
      <w:r w:rsidR="001D0A1A">
        <w:rPr>
          <w:rFonts w:ascii="Times New Roman" w:hAnsi="Times New Roman"/>
          <w:sz w:val="24"/>
          <w:szCs w:val="24"/>
        </w:rPr>
        <w:t>re is</w:t>
      </w:r>
      <w:r w:rsidR="001D0A1A" w:rsidRPr="001D0A1A">
        <w:rPr>
          <w:rFonts w:ascii="Times New Roman" w:hAnsi="Times New Roman"/>
          <w:sz w:val="24"/>
          <w:szCs w:val="24"/>
        </w:rPr>
        <w:t xml:space="preserve"> need for a broader condition of suspension to cover all aspects of drug-related offen</w:t>
      </w:r>
      <w:r w:rsidR="001D0A1A">
        <w:rPr>
          <w:rFonts w:ascii="Times New Roman" w:hAnsi="Times New Roman"/>
          <w:sz w:val="24"/>
          <w:szCs w:val="24"/>
        </w:rPr>
        <w:t>c</w:t>
      </w:r>
      <w:r w:rsidR="001D0A1A" w:rsidRPr="001D0A1A">
        <w:rPr>
          <w:rFonts w:ascii="Times New Roman" w:hAnsi="Times New Roman"/>
          <w:sz w:val="24"/>
          <w:szCs w:val="24"/>
        </w:rPr>
        <w:t>es.</w:t>
      </w:r>
      <w:r w:rsidR="00DE005F" w:rsidRPr="00DE005F">
        <w:t xml:space="preserve"> </w:t>
      </w:r>
      <w:r w:rsidR="00DE005F" w:rsidRPr="00DE005F">
        <w:rPr>
          <w:rFonts w:ascii="Times New Roman" w:hAnsi="Times New Roman"/>
          <w:sz w:val="24"/>
          <w:szCs w:val="24"/>
        </w:rPr>
        <w:t>A broader condition of suspension is necessary to cover all aspects of drug-related offenses for several reasons:</w:t>
      </w:r>
      <w:r w:rsidR="00DE005F">
        <w:rPr>
          <w:rFonts w:ascii="Times New Roman" w:hAnsi="Times New Roman"/>
          <w:sz w:val="24"/>
          <w:szCs w:val="24"/>
        </w:rPr>
        <w:t xml:space="preserve"> </w:t>
      </w:r>
      <w:r w:rsidR="00DE005F" w:rsidRPr="00DE005F">
        <w:rPr>
          <w:rFonts w:ascii="Times New Roman" w:hAnsi="Times New Roman"/>
          <w:sz w:val="24"/>
          <w:szCs w:val="24"/>
        </w:rPr>
        <w:t>By including possession, cultivation, and dealing in drugs, the condition serves as a stronger deterrent against any form of drug-related activity. This helps prevent the accused from engaging in other drug offen</w:t>
      </w:r>
      <w:r w:rsidR="00DE005F">
        <w:rPr>
          <w:rFonts w:ascii="Times New Roman" w:hAnsi="Times New Roman"/>
          <w:sz w:val="24"/>
          <w:szCs w:val="24"/>
        </w:rPr>
        <w:t>c</w:t>
      </w:r>
      <w:r w:rsidR="00DE005F" w:rsidRPr="00DE005F">
        <w:rPr>
          <w:rFonts w:ascii="Times New Roman" w:hAnsi="Times New Roman"/>
          <w:sz w:val="24"/>
          <w:szCs w:val="24"/>
        </w:rPr>
        <w:t>es that are not explicitly prohibited by a narrower condition.</w:t>
      </w:r>
      <w:r w:rsidR="00DE005F">
        <w:rPr>
          <w:rFonts w:ascii="Times New Roman" w:hAnsi="Times New Roman"/>
          <w:sz w:val="24"/>
          <w:szCs w:val="24"/>
        </w:rPr>
        <w:t xml:space="preserve"> </w:t>
      </w:r>
      <w:r w:rsidR="00DE005F" w:rsidRPr="00DE005F">
        <w:rPr>
          <w:rFonts w:ascii="Times New Roman" w:hAnsi="Times New Roman"/>
          <w:sz w:val="24"/>
          <w:szCs w:val="24"/>
        </w:rPr>
        <w:t xml:space="preserve">A broader condition ensures that the accused cannot exploit any loopholes. </w:t>
      </w:r>
      <w:r w:rsidR="00DE005F">
        <w:rPr>
          <w:rFonts w:ascii="Times New Roman" w:hAnsi="Times New Roman"/>
          <w:sz w:val="24"/>
          <w:szCs w:val="24"/>
        </w:rPr>
        <w:t>I</w:t>
      </w:r>
      <w:r w:rsidR="00DE005F" w:rsidRPr="00DE005F">
        <w:rPr>
          <w:rFonts w:ascii="Times New Roman" w:hAnsi="Times New Roman"/>
          <w:sz w:val="24"/>
          <w:szCs w:val="24"/>
        </w:rPr>
        <w:t>f only possession is prohibited, the accused might still engage in cultivation or dealing, which would not trigger the suspended sentence.</w:t>
      </w:r>
      <w:r w:rsidR="00DE005F">
        <w:rPr>
          <w:rFonts w:ascii="Times New Roman" w:hAnsi="Times New Roman"/>
          <w:sz w:val="24"/>
          <w:szCs w:val="24"/>
        </w:rPr>
        <w:t xml:space="preserve"> </w:t>
      </w:r>
      <w:r w:rsidR="00DE005F" w:rsidRPr="00DE005F">
        <w:rPr>
          <w:rFonts w:ascii="Times New Roman" w:hAnsi="Times New Roman"/>
          <w:sz w:val="24"/>
          <w:szCs w:val="24"/>
        </w:rPr>
        <w:t>Broader conditions help protect public safety by reducing the likelihood of the accused engaging in any drug-related activities. This contributes to a safer community by addressing all potential drug-related behavio</w:t>
      </w:r>
      <w:r w:rsidR="00DE005F">
        <w:rPr>
          <w:rFonts w:ascii="Times New Roman" w:hAnsi="Times New Roman"/>
          <w:sz w:val="24"/>
          <w:szCs w:val="24"/>
        </w:rPr>
        <w:t>u</w:t>
      </w:r>
      <w:r w:rsidR="00DE005F" w:rsidRPr="00DE005F">
        <w:rPr>
          <w:rFonts w:ascii="Times New Roman" w:hAnsi="Times New Roman"/>
          <w:sz w:val="24"/>
          <w:szCs w:val="24"/>
        </w:rPr>
        <w:t>rs.</w:t>
      </w:r>
      <w:r w:rsidR="00DE005F">
        <w:rPr>
          <w:rFonts w:ascii="Times New Roman" w:hAnsi="Times New Roman"/>
          <w:sz w:val="24"/>
          <w:szCs w:val="24"/>
        </w:rPr>
        <w:t xml:space="preserve"> A broader condition </w:t>
      </w:r>
      <w:r w:rsidR="00DE005F" w:rsidRPr="00DE005F">
        <w:rPr>
          <w:rFonts w:ascii="Times New Roman" w:hAnsi="Times New Roman"/>
          <w:sz w:val="24"/>
          <w:szCs w:val="24"/>
        </w:rPr>
        <w:t>supports the rehabilitation of the accused by setting clear and comprehensive boundaries. This can help the accused understand the full scope of unacceptable behavio</w:t>
      </w:r>
      <w:r w:rsidR="00DE005F">
        <w:rPr>
          <w:rFonts w:ascii="Times New Roman" w:hAnsi="Times New Roman"/>
          <w:sz w:val="24"/>
          <w:szCs w:val="24"/>
        </w:rPr>
        <w:t>u</w:t>
      </w:r>
      <w:r w:rsidR="00DE005F" w:rsidRPr="00DE005F">
        <w:rPr>
          <w:rFonts w:ascii="Times New Roman" w:hAnsi="Times New Roman"/>
          <w:sz w:val="24"/>
          <w:szCs w:val="24"/>
        </w:rPr>
        <w:t xml:space="preserve">r and encourage </w:t>
      </w:r>
      <w:r w:rsidR="00DE005F">
        <w:rPr>
          <w:rFonts w:ascii="Times New Roman" w:hAnsi="Times New Roman"/>
          <w:sz w:val="24"/>
          <w:szCs w:val="24"/>
        </w:rPr>
        <w:t>her</w:t>
      </w:r>
      <w:r w:rsidR="00DE005F" w:rsidRPr="00DE005F">
        <w:rPr>
          <w:rFonts w:ascii="Times New Roman" w:hAnsi="Times New Roman"/>
          <w:sz w:val="24"/>
          <w:szCs w:val="24"/>
        </w:rPr>
        <w:t xml:space="preserve"> to avoid all forms of drug-related activities.</w:t>
      </w:r>
      <w:r w:rsidR="00DE005F">
        <w:rPr>
          <w:rFonts w:ascii="Times New Roman" w:hAnsi="Times New Roman"/>
          <w:sz w:val="24"/>
          <w:szCs w:val="24"/>
        </w:rPr>
        <w:t xml:space="preserve"> </w:t>
      </w:r>
      <w:r w:rsidR="00DE005F" w:rsidRPr="00DE005F">
        <w:rPr>
          <w:rFonts w:ascii="Times New Roman" w:hAnsi="Times New Roman"/>
          <w:sz w:val="24"/>
          <w:szCs w:val="24"/>
        </w:rPr>
        <w:t>Overall, a broader condition of suspension ensures a more effective and just approach to preventing drug-related offen</w:t>
      </w:r>
      <w:r w:rsidR="00DE005F">
        <w:rPr>
          <w:rFonts w:ascii="Times New Roman" w:hAnsi="Times New Roman"/>
          <w:sz w:val="24"/>
          <w:szCs w:val="24"/>
        </w:rPr>
        <w:t>c</w:t>
      </w:r>
      <w:r w:rsidR="00DE005F" w:rsidRPr="00DE005F">
        <w:rPr>
          <w:rFonts w:ascii="Times New Roman" w:hAnsi="Times New Roman"/>
          <w:sz w:val="24"/>
          <w:szCs w:val="24"/>
        </w:rPr>
        <w:t>es and promoting public safety.</w:t>
      </w:r>
    </w:p>
    <w:p w14:paraId="0B137949" w14:textId="535F5CA8" w:rsidR="00BC7A30" w:rsidRDefault="00A84D2F" w:rsidP="00672B5C">
      <w:pPr>
        <w:pStyle w:val="p1"/>
        <w:spacing w:line="360" w:lineRule="auto"/>
        <w:ind w:firstLine="720"/>
        <w:jc w:val="both"/>
        <w:divId w:val="298540872"/>
        <w:rPr>
          <w:rStyle w:val="s1"/>
          <w:rFonts w:ascii="Times New Roman" w:hAnsi="Times New Roman"/>
          <w:sz w:val="24"/>
          <w:szCs w:val="24"/>
        </w:rPr>
      </w:pPr>
      <w:r>
        <w:rPr>
          <w:rStyle w:val="s1"/>
          <w:rFonts w:ascii="Times New Roman" w:hAnsi="Times New Roman"/>
          <w:sz w:val="24"/>
          <w:szCs w:val="24"/>
        </w:rPr>
        <w:t>In conclusion, t</w:t>
      </w:r>
      <w:r w:rsidR="00604B45">
        <w:rPr>
          <w:rStyle w:val="s1"/>
          <w:rFonts w:ascii="Times New Roman" w:hAnsi="Times New Roman"/>
          <w:sz w:val="24"/>
          <w:szCs w:val="24"/>
        </w:rPr>
        <w:t xml:space="preserve">he </w:t>
      </w:r>
      <w:r w:rsidR="001C3E2A">
        <w:rPr>
          <w:rStyle w:val="s1"/>
          <w:rFonts w:ascii="Times New Roman" w:hAnsi="Times New Roman"/>
          <w:sz w:val="24"/>
          <w:szCs w:val="24"/>
        </w:rPr>
        <w:t>trial magistrate</w:t>
      </w:r>
      <w:r w:rsidR="00604B45">
        <w:rPr>
          <w:rStyle w:val="s1"/>
          <w:rFonts w:ascii="Times New Roman" w:hAnsi="Times New Roman"/>
          <w:sz w:val="24"/>
          <w:szCs w:val="24"/>
        </w:rPr>
        <w:t xml:space="preserve"> having </w:t>
      </w:r>
      <w:r w:rsidR="005D1CF8">
        <w:rPr>
          <w:rStyle w:val="s1"/>
          <w:rFonts w:ascii="Times New Roman" w:hAnsi="Times New Roman"/>
          <w:sz w:val="24"/>
          <w:szCs w:val="24"/>
        </w:rPr>
        <w:t>failed</w:t>
      </w:r>
      <w:r w:rsidR="00604B45">
        <w:rPr>
          <w:rStyle w:val="s1"/>
          <w:rFonts w:ascii="Times New Roman" w:hAnsi="Times New Roman"/>
          <w:sz w:val="24"/>
          <w:szCs w:val="24"/>
        </w:rPr>
        <w:t xml:space="preserve"> </w:t>
      </w:r>
      <w:r w:rsidR="001C3E2A">
        <w:rPr>
          <w:rStyle w:val="s1"/>
          <w:rFonts w:ascii="Times New Roman" w:hAnsi="Times New Roman"/>
          <w:sz w:val="24"/>
          <w:szCs w:val="24"/>
        </w:rPr>
        <w:t>to properly</w:t>
      </w:r>
      <w:r w:rsidR="00604B45">
        <w:rPr>
          <w:rStyle w:val="s1"/>
          <w:rFonts w:ascii="Times New Roman" w:hAnsi="Times New Roman"/>
          <w:sz w:val="24"/>
          <w:szCs w:val="24"/>
        </w:rPr>
        <w:t xml:space="preserve"> follow the </w:t>
      </w:r>
      <w:r w:rsidR="001C3E2A">
        <w:rPr>
          <w:rStyle w:val="s1"/>
          <w:rFonts w:ascii="Times New Roman" w:hAnsi="Times New Roman"/>
          <w:sz w:val="24"/>
          <w:szCs w:val="24"/>
        </w:rPr>
        <w:t>sentencing guidelines</w:t>
      </w:r>
      <w:r w:rsidR="00604B45">
        <w:rPr>
          <w:rStyle w:val="s1"/>
          <w:rFonts w:ascii="Times New Roman" w:hAnsi="Times New Roman"/>
          <w:sz w:val="24"/>
          <w:szCs w:val="24"/>
        </w:rPr>
        <w:t xml:space="preserve"> and explain her departure from </w:t>
      </w:r>
      <w:r w:rsidR="001C3E2A">
        <w:rPr>
          <w:rStyle w:val="s1"/>
          <w:rFonts w:ascii="Times New Roman" w:hAnsi="Times New Roman"/>
          <w:sz w:val="24"/>
          <w:szCs w:val="24"/>
        </w:rPr>
        <w:t>the presumptive</w:t>
      </w:r>
      <w:r w:rsidR="00604B45">
        <w:rPr>
          <w:rStyle w:val="s1"/>
          <w:rFonts w:ascii="Times New Roman" w:hAnsi="Times New Roman"/>
          <w:sz w:val="24"/>
          <w:szCs w:val="24"/>
        </w:rPr>
        <w:t xml:space="preserve"> penalty of 3 years’ imprisonment</w:t>
      </w:r>
      <w:r w:rsidR="005D1CF8">
        <w:rPr>
          <w:rStyle w:val="s1"/>
          <w:rFonts w:ascii="Times New Roman" w:hAnsi="Times New Roman"/>
          <w:sz w:val="24"/>
          <w:szCs w:val="24"/>
        </w:rPr>
        <w:t>,</w:t>
      </w:r>
      <w:r w:rsidR="00604B45">
        <w:rPr>
          <w:rStyle w:val="s1"/>
          <w:rFonts w:ascii="Times New Roman" w:hAnsi="Times New Roman"/>
          <w:sz w:val="24"/>
          <w:szCs w:val="24"/>
        </w:rPr>
        <w:t xml:space="preserve"> I am </w:t>
      </w:r>
      <w:r w:rsidR="001C3E2A">
        <w:rPr>
          <w:rStyle w:val="s1"/>
          <w:rFonts w:ascii="Times New Roman" w:hAnsi="Times New Roman"/>
          <w:sz w:val="24"/>
          <w:szCs w:val="24"/>
        </w:rPr>
        <w:t>unable to</w:t>
      </w:r>
      <w:r w:rsidR="00604B45">
        <w:rPr>
          <w:rStyle w:val="s1"/>
          <w:rFonts w:ascii="Times New Roman" w:hAnsi="Times New Roman"/>
          <w:sz w:val="24"/>
          <w:szCs w:val="24"/>
        </w:rPr>
        <w:t xml:space="preserve"> certify </w:t>
      </w:r>
      <w:r w:rsidR="005D1CF8">
        <w:rPr>
          <w:rStyle w:val="s1"/>
          <w:rFonts w:ascii="Times New Roman" w:hAnsi="Times New Roman"/>
          <w:sz w:val="24"/>
          <w:szCs w:val="24"/>
        </w:rPr>
        <w:t xml:space="preserve">the </w:t>
      </w:r>
      <w:r w:rsidR="00604B45">
        <w:rPr>
          <w:rStyle w:val="s1"/>
          <w:rFonts w:ascii="Times New Roman" w:hAnsi="Times New Roman"/>
          <w:sz w:val="24"/>
          <w:szCs w:val="24"/>
        </w:rPr>
        <w:t xml:space="preserve">sentence imposed as being in accordance with real </w:t>
      </w:r>
      <w:r w:rsidR="001C3E2A">
        <w:rPr>
          <w:rStyle w:val="s1"/>
          <w:rFonts w:ascii="Times New Roman" w:hAnsi="Times New Roman"/>
          <w:sz w:val="24"/>
          <w:szCs w:val="24"/>
        </w:rPr>
        <w:t>and substantial</w:t>
      </w:r>
      <w:r w:rsidR="00604B45">
        <w:rPr>
          <w:rStyle w:val="s1"/>
          <w:rFonts w:ascii="Times New Roman" w:hAnsi="Times New Roman"/>
          <w:sz w:val="24"/>
          <w:szCs w:val="24"/>
        </w:rPr>
        <w:t xml:space="preserve"> justice. I thus withhold my certificate.   </w:t>
      </w:r>
      <w:r w:rsidR="00A35482">
        <w:rPr>
          <w:rStyle w:val="s1"/>
          <w:rFonts w:ascii="Times New Roman" w:hAnsi="Times New Roman"/>
          <w:sz w:val="24"/>
          <w:szCs w:val="24"/>
        </w:rPr>
        <w:t xml:space="preserve">    </w:t>
      </w:r>
    </w:p>
    <w:p w14:paraId="4C6C9966" w14:textId="77777777" w:rsidR="00BC7A30" w:rsidRDefault="00BC7A30" w:rsidP="00672B5C">
      <w:pPr>
        <w:pStyle w:val="p1"/>
        <w:spacing w:line="360" w:lineRule="auto"/>
        <w:ind w:firstLine="720"/>
        <w:jc w:val="both"/>
        <w:divId w:val="298540872"/>
        <w:rPr>
          <w:rStyle w:val="s1"/>
          <w:rFonts w:ascii="Times New Roman" w:hAnsi="Times New Roman"/>
          <w:sz w:val="24"/>
          <w:szCs w:val="24"/>
        </w:rPr>
      </w:pPr>
    </w:p>
    <w:p w14:paraId="75AFA93E" w14:textId="77777777" w:rsidR="00BC7A30" w:rsidRDefault="00BC7A30" w:rsidP="00672B5C">
      <w:pPr>
        <w:pStyle w:val="p1"/>
        <w:spacing w:line="360" w:lineRule="auto"/>
        <w:ind w:firstLine="720"/>
        <w:jc w:val="both"/>
        <w:divId w:val="298540872"/>
        <w:rPr>
          <w:rStyle w:val="s1"/>
          <w:rFonts w:ascii="Times New Roman" w:hAnsi="Times New Roman"/>
          <w:sz w:val="24"/>
          <w:szCs w:val="24"/>
        </w:rPr>
      </w:pPr>
    </w:p>
    <w:p w14:paraId="1F52F5DC" w14:textId="6E64CBB2" w:rsidR="00DE682A" w:rsidRPr="00BC7A30" w:rsidRDefault="00BC7A30" w:rsidP="009D603D">
      <w:pPr>
        <w:pStyle w:val="p1"/>
        <w:spacing w:line="360" w:lineRule="auto"/>
        <w:jc w:val="both"/>
        <w:divId w:val="298540872"/>
        <w:rPr>
          <w:rFonts w:ascii="Times New Roman" w:hAnsi="Times New Roman"/>
          <w:b/>
          <w:bCs/>
          <w:sz w:val="24"/>
          <w:szCs w:val="24"/>
        </w:rPr>
      </w:pPr>
      <w:r w:rsidRPr="00BC7A30">
        <w:rPr>
          <w:rStyle w:val="s1"/>
          <w:rFonts w:ascii="Times New Roman" w:hAnsi="Times New Roman"/>
          <w:b/>
          <w:bCs/>
          <w:sz w:val="24"/>
          <w:szCs w:val="24"/>
        </w:rPr>
        <w:t>MUREMBA J</w:t>
      </w:r>
      <w:r>
        <w:rPr>
          <w:rStyle w:val="s1"/>
          <w:rFonts w:ascii="Times New Roman" w:hAnsi="Times New Roman"/>
          <w:b/>
          <w:bCs/>
          <w:sz w:val="24"/>
          <w:szCs w:val="24"/>
        </w:rPr>
        <w:t xml:space="preserve"> :…………………………</w:t>
      </w:r>
    </w:p>
    <w:sectPr w:rsidR="00DE682A" w:rsidRPr="00BC7A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401D" w14:textId="77777777" w:rsidR="00092CBA" w:rsidRDefault="00092CBA" w:rsidP="00697B18">
      <w:r>
        <w:separator/>
      </w:r>
    </w:p>
  </w:endnote>
  <w:endnote w:type="continuationSeparator" w:id="0">
    <w:p w14:paraId="4533C0B2" w14:textId="77777777" w:rsidR="00092CBA" w:rsidRDefault="00092CBA" w:rsidP="0069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8D6B" w14:textId="77777777" w:rsidR="00092CBA" w:rsidRDefault="00092CBA" w:rsidP="00697B18">
      <w:r>
        <w:separator/>
      </w:r>
    </w:p>
  </w:footnote>
  <w:footnote w:type="continuationSeparator" w:id="0">
    <w:p w14:paraId="5F815EF9" w14:textId="77777777" w:rsidR="00092CBA" w:rsidRDefault="00092CBA" w:rsidP="00697B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10252213"/>
      <w:docPartObj>
        <w:docPartGallery w:val="Page Numbers (Top of Page)"/>
        <w:docPartUnique/>
      </w:docPartObj>
    </w:sdtPr>
    <w:sdtEndPr>
      <w:rPr>
        <w:noProof/>
      </w:rPr>
    </w:sdtEndPr>
    <w:sdtContent>
      <w:p w14:paraId="5C906820" w14:textId="5875F2DB" w:rsidR="0062192C" w:rsidRPr="009A77B9" w:rsidRDefault="0062192C">
        <w:pPr>
          <w:pStyle w:val="Header"/>
          <w:jc w:val="right"/>
          <w:rPr>
            <w:rFonts w:ascii="Times New Roman" w:hAnsi="Times New Roman" w:cs="Times New Roman"/>
            <w:noProof/>
            <w:sz w:val="24"/>
            <w:szCs w:val="24"/>
          </w:rPr>
        </w:pPr>
        <w:r w:rsidRPr="009A77B9">
          <w:rPr>
            <w:rFonts w:ascii="Times New Roman" w:hAnsi="Times New Roman" w:cs="Times New Roman"/>
            <w:sz w:val="24"/>
            <w:szCs w:val="24"/>
          </w:rPr>
          <w:fldChar w:fldCharType="begin"/>
        </w:r>
        <w:r w:rsidRPr="009A77B9">
          <w:rPr>
            <w:rFonts w:ascii="Times New Roman" w:hAnsi="Times New Roman" w:cs="Times New Roman"/>
            <w:sz w:val="24"/>
            <w:szCs w:val="24"/>
          </w:rPr>
          <w:instrText xml:space="preserve"> PAGE   \* MERGEFORMAT </w:instrText>
        </w:r>
        <w:r w:rsidRPr="009A77B9">
          <w:rPr>
            <w:rFonts w:ascii="Times New Roman" w:hAnsi="Times New Roman" w:cs="Times New Roman"/>
            <w:sz w:val="24"/>
            <w:szCs w:val="24"/>
          </w:rPr>
          <w:fldChar w:fldCharType="separate"/>
        </w:r>
        <w:r w:rsidR="009B4010">
          <w:rPr>
            <w:rFonts w:ascii="Times New Roman" w:hAnsi="Times New Roman" w:cs="Times New Roman"/>
            <w:noProof/>
            <w:sz w:val="24"/>
            <w:szCs w:val="24"/>
          </w:rPr>
          <w:t>1</w:t>
        </w:r>
        <w:r w:rsidRPr="009A77B9">
          <w:rPr>
            <w:rFonts w:ascii="Times New Roman" w:hAnsi="Times New Roman" w:cs="Times New Roman"/>
            <w:noProof/>
            <w:sz w:val="24"/>
            <w:szCs w:val="24"/>
          </w:rPr>
          <w:fldChar w:fldCharType="end"/>
        </w:r>
      </w:p>
      <w:p w14:paraId="40F24E53" w14:textId="7E0FA8BE" w:rsidR="0062192C" w:rsidRDefault="0062192C">
        <w:pPr>
          <w:pStyle w:val="Header"/>
          <w:jc w:val="right"/>
          <w:rPr>
            <w:rFonts w:ascii="Times New Roman" w:hAnsi="Times New Roman" w:cs="Times New Roman"/>
            <w:noProof/>
            <w:sz w:val="24"/>
            <w:szCs w:val="24"/>
          </w:rPr>
        </w:pPr>
        <w:r w:rsidRPr="009A77B9">
          <w:rPr>
            <w:rFonts w:ascii="Times New Roman" w:hAnsi="Times New Roman" w:cs="Times New Roman"/>
            <w:noProof/>
            <w:sz w:val="24"/>
            <w:szCs w:val="24"/>
          </w:rPr>
          <w:t>HH</w:t>
        </w:r>
        <w:r w:rsidR="00476E3A">
          <w:rPr>
            <w:rFonts w:ascii="Times New Roman" w:hAnsi="Times New Roman" w:cs="Times New Roman"/>
            <w:noProof/>
            <w:sz w:val="24"/>
            <w:szCs w:val="24"/>
          </w:rPr>
          <w:t xml:space="preserve"> 326-24</w:t>
        </w:r>
      </w:p>
      <w:p w14:paraId="58709489" w14:textId="705FF8B5" w:rsidR="009A77B9" w:rsidRPr="009A77B9" w:rsidRDefault="009A77B9">
        <w:pPr>
          <w:pStyle w:val="Header"/>
          <w:jc w:val="right"/>
          <w:rPr>
            <w:rFonts w:ascii="Times New Roman" w:hAnsi="Times New Roman" w:cs="Times New Roman"/>
            <w:noProof/>
            <w:sz w:val="24"/>
            <w:szCs w:val="24"/>
          </w:rPr>
        </w:pPr>
        <w:r>
          <w:rPr>
            <w:rFonts w:ascii="Times New Roman" w:hAnsi="Times New Roman" w:cs="Times New Roman"/>
            <w:noProof/>
            <w:sz w:val="24"/>
            <w:szCs w:val="24"/>
          </w:rPr>
          <w:t>HCHCR 3000/24</w:t>
        </w:r>
      </w:p>
      <w:p w14:paraId="337B40B0" w14:textId="15C8554B" w:rsidR="0062192C" w:rsidRPr="009A77B9" w:rsidRDefault="0062192C">
        <w:pPr>
          <w:pStyle w:val="Header"/>
          <w:jc w:val="right"/>
          <w:rPr>
            <w:rFonts w:ascii="Times New Roman" w:hAnsi="Times New Roman" w:cs="Times New Roman"/>
            <w:sz w:val="24"/>
            <w:szCs w:val="24"/>
          </w:rPr>
        </w:pPr>
        <w:r w:rsidRPr="009A77B9">
          <w:rPr>
            <w:rFonts w:ascii="Times New Roman" w:hAnsi="Times New Roman" w:cs="Times New Roman"/>
            <w:noProof/>
            <w:sz w:val="24"/>
            <w:szCs w:val="24"/>
          </w:rPr>
          <w:t xml:space="preserve">CRB </w:t>
        </w:r>
        <w:r w:rsidR="009A77B9" w:rsidRPr="009A77B9">
          <w:rPr>
            <w:rFonts w:ascii="Times New Roman" w:hAnsi="Times New Roman" w:cs="Times New Roman"/>
            <w:noProof/>
            <w:sz w:val="24"/>
            <w:szCs w:val="24"/>
          </w:rPr>
          <w:t xml:space="preserve"> BNP 685/24</w:t>
        </w:r>
      </w:p>
    </w:sdtContent>
  </w:sdt>
  <w:p w14:paraId="13A82822" w14:textId="77777777" w:rsidR="0062192C" w:rsidRPr="009A77B9" w:rsidRDefault="0062192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72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23AE3"/>
    <w:multiLevelType w:val="hybridMultilevel"/>
    <w:tmpl w:val="58623F16"/>
    <w:lvl w:ilvl="0" w:tplc="B8FC4506">
      <w:start w:val="1"/>
      <w:numFmt w:val="upperLetter"/>
      <w:lvlText w:val="%1."/>
      <w:lvlJc w:val="left"/>
      <w:pPr>
        <w:ind w:left="600" w:hanging="36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2" w15:restartNumberingAfterBreak="0">
    <w:nsid w:val="0B6D0CB9"/>
    <w:multiLevelType w:val="hybridMultilevel"/>
    <w:tmpl w:val="AD0650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20F040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F00D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857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335AA"/>
    <w:multiLevelType w:val="hybridMultilevel"/>
    <w:tmpl w:val="BC86F6DC"/>
    <w:lvl w:ilvl="0" w:tplc="3998DCF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E9859CC"/>
    <w:multiLevelType w:val="hybridMultilevel"/>
    <w:tmpl w:val="3ED01DB0"/>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8" w15:restartNumberingAfterBreak="0">
    <w:nsid w:val="516C552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930545"/>
    <w:multiLevelType w:val="hybridMultilevel"/>
    <w:tmpl w:val="9324783C"/>
    <w:lvl w:ilvl="0" w:tplc="BCF822B0">
      <w:start w:val="1"/>
      <w:numFmt w:val="decimal"/>
      <w:lvlText w:val="%1."/>
      <w:lvlJc w:val="left"/>
      <w:pPr>
        <w:ind w:left="720" w:hanging="360"/>
      </w:pPr>
      <w:rPr>
        <w:rFonts w:ascii="Tahoma" w:hAnsi="Tahoma"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1B7664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F41FF9"/>
    <w:multiLevelType w:val="hybridMultilevel"/>
    <w:tmpl w:val="99F61AE4"/>
    <w:lvl w:ilvl="0" w:tplc="3009001B">
      <w:start w:val="1"/>
      <w:numFmt w:val="lowerRoman"/>
      <w:lvlText w:val="%1."/>
      <w:lvlJc w:val="right"/>
      <w:pPr>
        <w:ind w:left="780" w:hanging="360"/>
      </w:pPr>
    </w:lvl>
    <w:lvl w:ilvl="1" w:tplc="30090019">
      <w:start w:val="1"/>
      <w:numFmt w:val="lowerLetter"/>
      <w:lvlText w:val="%2."/>
      <w:lvlJc w:val="left"/>
      <w:pPr>
        <w:ind w:left="1500" w:hanging="360"/>
      </w:pPr>
    </w:lvl>
    <w:lvl w:ilvl="2" w:tplc="3009001B">
      <w:start w:val="1"/>
      <w:numFmt w:val="lowerRoman"/>
      <w:lvlText w:val="%3."/>
      <w:lvlJc w:val="right"/>
      <w:pPr>
        <w:ind w:left="2220" w:hanging="180"/>
      </w:pPr>
    </w:lvl>
    <w:lvl w:ilvl="3" w:tplc="3009000F">
      <w:start w:val="1"/>
      <w:numFmt w:val="decimal"/>
      <w:lvlText w:val="%4."/>
      <w:lvlJc w:val="left"/>
      <w:pPr>
        <w:ind w:left="2940" w:hanging="360"/>
      </w:pPr>
    </w:lvl>
    <w:lvl w:ilvl="4" w:tplc="30090019">
      <w:start w:val="1"/>
      <w:numFmt w:val="lowerLetter"/>
      <w:lvlText w:val="%5."/>
      <w:lvlJc w:val="left"/>
      <w:pPr>
        <w:ind w:left="3660" w:hanging="360"/>
      </w:pPr>
    </w:lvl>
    <w:lvl w:ilvl="5" w:tplc="3009001B">
      <w:start w:val="1"/>
      <w:numFmt w:val="lowerRoman"/>
      <w:lvlText w:val="%6."/>
      <w:lvlJc w:val="right"/>
      <w:pPr>
        <w:ind w:left="4380" w:hanging="180"/>
      </w:pPr>
    </w:lvl>
    <w:lvl w:ilvl="6" w:tplc="3009000F">
      <w:start w:val="1"/>
      <w:numFmt w:val="decimal"/>
      <w:lvlText w:val="%7."/>
      <w:lvlJc w:val="left"/>
      <w:pPr>
        <w:ind w:left="5100" w:hanging="360"/>
      </w:pPr>
    </w:lvl>
    <w:lvl w:ilvl="7" w:tplc="30090019">
      <w:start w:val="1"/>
      <w:numFmt w:val="lowerLetter"/>
      <w:lvlText w:val="%8."/>
      <w:lvlJc w:val="left"/>
      <w:pPr>
        <w:ind w:left="5820" w:hanging="360"/>
      </w:pPr>
    </w:lvl>
    <w:lvl w:ilvl="8" w:tplc="3009001B">
      <w:start w:val="1"/>
      <w:numFmt w:val="lowerRoman"/>
      <w:lvlText w:val="%9."/>
      <w:lvlJc w:val="right"/>
      <w:pPr>
        <w:ind w:left="6540" w:hanging="180"/>
      </w:pPr>
    </w:lvl>
  </w:abstractNum>
  <w:abstractNum w:abstractNumId="12" w15:restartNumberingAfterBreak="0">
    <w:nsid w:val="738F0CE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303B2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0"/>
  </w:num>
  <w:num w:numId="4">
    <w:abstractNumId w:val="8"/>
  </w:num>
  <w:num w:numId="5">
    <w:abstractNumId w:val="5"/>
  </w:num>
  <w:num w:numId="6">
    <w:abstractNumId w:val="12"/>
  </w:num>
  <w:num w:numId="7">
    <w:abstractNumId w:val="13"/>
  </w:num>
  <w:num w:numId="8">
    <w:abstractNumId w:val="4"/>
  </w:num>
  <w:num w:numId="9">
    <w:abstractNumId w:val="9"/>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57"/>
    <w:rsid w:val="00010D88"/>
    <w:rsid w:val="00012708"/>
    <w:rsid w:val="00017BBB"/>
    <w:rsid w:val="00021A98"/>
    <w:rsid w:val="00025F5F"/>
    <w:rsid w:val="00031F20"/>
    <w:rsid w:val="00041643"/>
    <w:rsid w:val="0004686B"/>
    <w:rsid w:val="0007464F"/>
    <w:rsid w:val="0007615D"/>
    <w:rsid w:val="00092CBA"/>
    <w:rsid w:val="000D404D"/>
    <w:rsid w:val="000D64DC"/>
    <w:rsid w:val="000D757C"/>
    <w:rsid w:val="000E50D4"/>
    <w:rsid w:val="001019ED"/>
    <w:rsid w:val="001045DC"/>
    <w:rsid w:val="0011314E"/>
    <w:rsid w:val="00122D72"/>
    <w:rsid w:val="00131AFE"/>
    <w:rsid w:val="001358FB"/>
    <w:rsid w:val="001554E9"/>
    <w:rsid w:val="00155B6A"/>
    <w:rsid w:val="00160A43"/>
    <w:rsid w:val="00162A67"/>
    <w:rsid w:val="001638D0"/>
    <w:rsid w:val="00170553"/>
    <w:rsid w:val="0017159D"/>
    <w:rsid w:val="00185D07"/>
    <w:rsid w:val="001A1CD6"/>
    <w:rsid w:val="001B65D4"/>
    <w:rsid w:val="001C3E2A"/>
    <w:rsid w:val="001D0A1A"/>
    <w:rsid w:val="001D4CCC"/>
    <w:rsid w:val="001E19A7"/>
    <w:rsid w:val="001F305A"/>
    <w:rsid w:val="001F44E7"/>
    <w:rsid w:val="00207479"/>
    <w:rsid w:val="00217E67"/>
    <w:rsid w:val="00240C06"/>
    <w:rsid w:val="00244530"/>
    <w:rsid w:val="00244EF9"/>
    <w:rsid w:val="00251A22"/>
    <w:rsid w:val="00251C96"/>
    <w:rsid w:val="002578A5"/>
    <w:rsid w:val="00263BFE"/>
    <w:rsid w:val="00264B1A"/>
    <w:rsid w:val="00276716"/>
    <w:rsid w:val="00293449"/>
    <w:rsid w:val="002A18FE"/>
    <w:rsid w:val="002A4660"/>
    <w:rsid w:val="002A538B"/>
    <w:rsid w:val="002A6A3F"/>
    <w:rsid w:val="002A7B53"/>
    <w:rsid w:val="002C086F"/>
    <w:rsid w:val="002C7B95"/>
    <w:rsid w:val="002E68F3"/>
    <w:rsid w:val="002F4498"/>
    <w:rsid w:val="002F519D"/>
    <w:rsid w:val="00301B12"/>
    <w:rsid w:val="00304FA4"/>
    <w:rsid w:val="0031262A"/>
    <w:rsid w:val="003155E4"/>
    <w:rsid w:val="003253B4"/>
    <w:rsid w:val="003374C0"/>
    <w:rsid w:val="00337806"/>
    <w:rsid w:val="00345841"/>
    <w:rsid w:val="00366563"/>
    <w:rsid w:val="0038360B"/>
    <w:rsid w:val="00383744"/>
    <w:rsid w:val="003917C0"/>
    <w:rsid w:val="003B14E7"/>
    <w:rsid w:val="003B34BF"/>
    <w:rsid w:val="003B7EC2"/>
    <w:rsid w:val="003C08D8"/>
    <w:rsid w:val="003C30CF"/>
    <w:rsid w:val="003C5415"/>
    <w:rsid w:val="003C7A30"/>
    <w:rsid w:val="003F00DB"/>
    <w:rsid w:val="003F3BA1"/>
    <w:rsid w:val="00402D8D"/>
    <w:rsid w:val="00415ED8"/>
    <w:rsid w:val="004161CE"/>
    <w:rsid w:val="004227B6"/>
    <w:rsid w:val="00433B5F"/>
    <w:rsid w:val="00435A57"/>
    <w:rsid w:val="0046262E"/>
    <w:rsid w:val="0047548F"/>
    <w:rsid w:val="00475859"/>
    <w:rsid w:val="00476AB7"/>
    <w:rsid w:val="00476E3A"/>
    <w:rsid w:val="004832FE"/>
    <w:rsid w:val="00483E53"/>
    <w:rsid w:val="004846B1"/>
    <w:rsid w:val="00492882"/>
    <w:rsid w:val="00497D2E"/>
    <w:rsid w:val="004B27DB"/>
    <w:rsid w:val="004B37DF"/>
    <w:rsid w:val="004C3F15"/>
    <w:rsid w:val="004C454E"/>
    <w:rsid w:val="004E2BCF"/>
    <w:rsid w:val="004E2D46"/>
    <w:rsid w:val="004F2390"/>
    <w:rsid w:val="004F3134"/>
    <w:rsid w:val="004F428B"/>
    <w:rsid w:val="004F632B"/>
    <w:rsid w:val="00515238"/>
    <w:rsid w:val="005212EC"/>
    <w:rsid w:val="005423CA"/>
    <w:rsid w:val="005448FD"/>
    <w:rsid w:val="00547ECF"/>
    <w:rsid w:val="00562384"/>
    <w:rsid w:val="00576428"/>
    <w:rsid w:val="00580BB5"/>
    <w:rsid w:val="00586E74"/>
    <w:rsid w:val="0058730A"/>
    <w:rsid w:val="005A0BE6"/>
    <w:rsid w:val="005A0DAE"/>
    <w:rsid w:val="005A491C"/>
    <w:rsid w:val="005B1772"/>
    <w:rsid w:val="005B19BF"/>
    <w:rsid w:val="005B2484"/>
    <w:rsid w:val="005B6861"/>
    <w:rsid w:val="005C0326"/>
    <w:rsid w:val="005C1FA5"/>
    <w:rsid w:val="005C46C2"/>
    <w:rsid w:val="005D07FB"/>
    <w:rsid w:val="005D1CF8"/>
    <w:rsid w:val="005D2268"/>
    <w:rsid w:val="005E0D5C"/>
    <w:rsid w:val="005F3E31"/>
    <w:rsid w:val="00604B45"/>
    <w:rsid w:val="0062192C"/>
    <w:rsid w:val="006243B7"/>
    <w:rsid w:val="00672B5C"/>
    <w:rsid w:val="00696BC2"/>
    <w:rsid w:val="00697B18"/>
    <w:rsid w:val="006A06DA"/>
    <w:rsid w:val="006A383E"/>
    <w:rsid w:val="006B0FE3"/>
    <w:rsid w:val="006E0518"/>
    <w:rsid w:val="006E6A1D"/>
    <w:rsid w:val="006F14E9"/>
    <w:rsid w:val="00711E81"/>
    <w:rsid w:val="0071358C"/>
    <w:rsid w:val="007150E0"/>
    <w:rsid w:val="00715B87"/>
    <w:rsid w:val="00717669"/>
    <w:rsid w:val="00722A77"/>
    <w:rsid w:val="007300C0"/>
    <w:rsid w:val="00736380"/>
    <w:rsid w:val="007456C6"/>
    <w:rsid w:val="00771033"/>
    <w:rsid w:val="00771323"/>
    <w:rsid w:val="0077571D"/>
    <w:rsid w:val="00775FAD"/>
    <w:rsid w:val="00776B70"/>
    <w:rsid w:val="00782B01"/>
    <w:rsid w:val="00790537"/>
    <w:rsid w:val="00793903"/>
    <w:rsid w:val="00796F65"/>
    <w:rsid w:val="007A55FE"/>
    <w:rsid w:val="007C48AB"/>
    <w:rsid w:val="007C64CE"/>
    <w:rsid w:val="007C64FE"/>
    <w:rsid w:val="007D5562"/>
    <w:rsid w:val="008160E7"/>
    <w:rsid w:val="00824491"/>
    <w:rsid w:val="00832409"/>
    <w:rsid w:val="00840202"/>
    <w:rsid w:val="00846A80"/>
    <w:rsid w:val="008568B0"/>
    <w:rsid w:val="0086448F"/>
    <w:rsid w:val="00864E59"/>
    <w:rsid w:val="00866066"/>
    <w:rsid w:val="00870A99"/>
    <w:rsid w:val="00892B9A"/>
    <w:rsid w:val="00893210"/>
    <w:rsid w:val="008A073F"/>
    <w:rsid w:val="008C5D10"/>
    <w:rsid w:val="008D2E40"/>
    <w:rsid w:val="008D39B1"/>
    <w:rsid w:val="008E2BB3"/>
    <w:rsid w:val="008E2FFE"/>
    <w:rsid w:val="008E54B2"/>
    <w:rsid w:val="008F0BCB"/>
    <w:rsid w:val="008F428F"/>
    <w:rsid w:val="008F4F63"/>
    <w:rsid w:val="00921C0C"/>
    <w:rsid w:val="00925B4F"/>
    <w:rsid w:val="009314A9"/>
    <w:rsid w:val="00940D13"/>
    <w:rsid w:val="00952B1E"/>
    <w:rsid w:val="00966389"/>
    <w:rsid w:val="0097139A"/>
    <w:rsid w:val="00983F3B"/>
    <w:rsid w:val="009942A1"/>
    <w:rsid w:val="009A1A3A"/>
    <w:rsid w:val="009A276C"/>
    <w:rsid w:val="009A2BCF"/>
    <w:rsid w:val="009A77B9"/>
    <w:rsid w:val="009B1624"/>
    <w:rsid w:val="009B4010"/>
    <w:rsid w:val="009B75DB"/>
    <w:rsid w:val="009B78E6"/>
    <w:rsid w:val="009C517B"/>
    <w:rsid w:val="009D0116"/>
    <w:rsid w:val="009D3049"/>
    <w:rsid w:val="009D4FC0"/>
    <w:rsid w:val="009D603D"/>
    <w:rsid w:val="009D6547"/>
    <w:rsid w:val="009D71CB"/>
    <w:rsid w:val="009F06D9"/>
    <w:rsid w:val="009F7B8E"/>
    <w:rsid w:val="00A01ED9"/>
    <w:rsid w:val="00A16DEF"/>
    <w:rsid w:val="00A33760"/>
    <w:rsid w:val="00A35482"/>
    <w:rsid w:val="00A36953"/>
    <w:rsid w:val="00A4573B"/>
    <w:rsid w:val="00A45901"/>
    <w:rsid w:val="00A5261E"/>
    <w:rsid w:val="00A546C7"/>
    <w:rsid w:val="00A57E84"/>
    <w:rsid w:val="00A63DEC"/>
    <w:rsid w:val="00A759B9"/>
    <w:rsid w:val="00A77EA1"/>
    <w:rsid w:val="00A81BD8"/>
    <w:rsid w:val="00A84D2F"/>
    <w:rsid w:val="00AA6E00"/>
    <w:rsid w:val="00AA6E1D"/>
    <w:rsid w:val="00AB4424"/>
    <w:rsid w:val="00AB5A37"/>
    <w:rsid w:val="00AB6D51"/>
    <w:rsid w:val="00AB7E78"/>
    <w:rsid w:val="00AD7ADC"/>
    <w:rsid w:val="00AF0CF0"/>
    <w:rsid w:val="00AF21CC"/>
    <w:rsid w:val="00B00888"/>
    <w:rsid w:val="00B156D5"/>
    <w:rsid w:val="00B2397E"/>
    <w:rsid w:val="00B258E9"/>
    <w:rsid w:val="00B26BE3"/>
    <w:rsid w:val="00B32DEC"/>
    <w:rsid w:val="00B433A8"/>
    <w:rsid w:val="00B47765"/>
    <w:rsid w:val="00B50D3C"/>
    <w:rsid w:val="00B54B61"/>
    <w:rsid w:val="00B554F6"/>
    <w:rsid w:val="00B55CD6"/>
    <w:rsid w:val="00B660B2"/>
    <w:rsid w:val="00B7071F"/>
    <w:rsid w:val="00B74605"/>
    <w:rsid w:val="00B9527A"/>
    <w:rsid w:val="00BB595B"/>
    <w:rsid w:val="00BC718F"/>
    <w:rsid w:val="00BC7A30"/>
    <w:rsid w:val="00BD2D78"/>
    <w:rsid w:val="00BF2942"/>
    <w:rsid w:val="00BF5ACB"/>
    <w:rsid w:val="00C01C87"/>
    <w:rsid w:val="00C07396"/>
    <w:rsid w:val="00C10302"/>
    <w:rsid w:val="00C17891"/>
    <w:rsid w:val="00C365AC"/>
    <w:rsid w:val="00C4243E"/>
    <w:rsid w:val="00C52180"/>
    <w:rsid w:val="00C61407"/>
    <w:rsid w:val="00C6406E"/>
    <w:rsid w:val="00C823AB"/>
    <w:rsid w:val="00C861DC"/>
    <w:rsid w:val="00C97964"/>
    <w:rsid w:val="00CA05FE"/>
    <w:rsid w:val="00CA19B4"/>
    <w:rsid w:val="00CA2518"/>
    <w:rsid w:val="00CC0700"/>
    <w:rsid w:val="00CC75C4"/>
    <w:rsid w:val="00CD211B"/>
    <w:rsid w:val="00CD32FA"/>
    <w:rsid w:val="00CE0F06"/>
    <w:rsid w:val="00CE320A"/>
    <w:rsid w:val="00CE5406"/>
    <w:rsid w:val="00CE5C66"/>
    <w:rsid w:val="00CE684A"/>
    <w:rsid w:val="00CE73F2"/>
    <w:rsid w:val="00CF6864"/>
    <w:rsid w:val="00D00231"/>
    <w:rsid w:val="00D04A08"/>
    <w:rsid w:val="00D102AA"/>
    <w:rsid w:val="00D1222D"/>
    <w:rsid w:val="00D13756"/>
    <w:rsid w:val="00D15BF6"/>
    <w:rsid w:val="00D27470"/>
    <w:rsid w:val="00D302E3"/>
    <w:rsid w:val="00D33CC7"/>
    <w:rsid w:val="00D360B0"/>
    <w:rsid w:val="00D4169E"/>
    <w:rsid w:val="00D464FE"/>
    <w:rsid w:val="00D517B0"/>
    <w:rsid w:val="00D550E2"/>
    <w:rsid w:val="00D555D7"/>
    <w:rsid w:val="00D565AC"/>
    <w:rsid w:val="00D5704F"/>
    <w:rsid w:val="00D66044"/>
    <w:rsid w:val="00D66FCF"/>
    <w:rsid w:val="00D82BD1"/>
    <w:rsid w:val="00DA1035"/>
    <w:rsid w:val="00DB6F10"/>
    <w:rsid w:val="00DC4C5B"/>
    <w:rsid w:val="00DD0972"/>
    <w:rsid w:val="00DD0B68"/>
    <w:rsid w:val="00DD3381"/>
    <w:rsid w:val="00DE005F"/>
    <w:rsid w:val="00DE682A"/>
    <w:rsid w:val="00DF208D"/>
    <w:rsid w:val="00DF7FAD"/>
    <w:rsid w:val="00E02D3A"/>
    <w:rsid w:val="00E02EDF"/>
    <w:rsid w:val="00E03324"/>
    <w:rsid w:val="00E04A05"/>
    <w:rsid w:val="00E06AB2"/>
    <w:rsid w:val="00E10566"/>
    <w:rsid w:val="00E17BC1"/>
    <w:rsid w:val="00E2492C"/>
    <w:rsid w:val="00E2744B"/>
    <w:rsid w:val="00E30AE4"/>
    <w:rsid w:val="00E51016"/>
    <w:rsid w:val="00E551F8"/>
    <w:rsid w:val="00E571BA"/>
    <w:rsid w:val="00E76412"/>
    <w:rsid w:val="00E812E0"/>
    <w:rsid w:val="00E843B8"/>
    <w:rsid w:val="00EC7626"/>
    <w:rsid w:val="00ED3373"/>
    <w:rsid w:val="00ED33DD"/>
    <w:rsid w:val="00ED3FEE"/>
    <w:rsid w:val="00EE3050"/>
    <w:rsid w:val="00EE3530"/>
    <w:rsid w:val="00EF4221"/>
    <w:rsid w:val="00EF6C36"/>
    <w:rsid w:val="00F107AC"/>
    <w:rsid w:val="00F175E7"/>
    <w:rsid w:val="00F25FEF"/>
    <w:rsid w:val="00F343AA"/>
    <w:rsid w:val="00F42D69"/>
    <w:rsid w:val="00F574C0"/>
    <w:rsid w:val="00F73C1E"/>
    <w:rsid w:val="00F8083F"/>
    <w:rsid w:val="00F810B1"/>
    <w:rsid w:val="00F84925"/>
    <w:rsid w:val="00F93660"/>
    <w:rsid w:val="00F97E96"/>
    <w:rsid w:val="00FA69F7"/>
    <w:rsid w:val="00FA7A97"/>
    <w:rsid w:val="00FC0E7F"/>
    <w:rsid w:val="00FD0B72"/>
    <w:rsid w:val="00FD0C66"/>
    <w:rsid w:val="00FD1226"/>
    <w:rsid w:val="00FE67C1"/>
    <w:rsid w:val="00FF3D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8CEF"/>
  <w15:docId w15:val="{58E482CD-A8E3-48DD-BC8A-199615C8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ZW"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A19B4"/>
    <w:rPr>
      <w:rFonts w:ascii="Helvetica" w:hAnsi="Helvetica" w:cs="Times New Roman"/>
      <w:kern w:val="0"/>
      <w:sz w:val="18"/>
      <w:szCs w:val="18"/>
      <w14:ligatures w14:val="none"/>
    </w:rPr>
  </w:style>
  <w:style w:type="character" w:customStyle="1" w:styleId="s1">
    <w:name w:val="s1"/>
    <w:basedOn w:val="DefaultParagraphFont"/>
    <w:rsid w:val="00CA19B4"/>
    <w:rPr>
      <w:rFonts w:ascii="Helvetica" w:hAnsi="Helvetica" w:hint="default"/>
      <w:b w:val="0"/>
      <w:bCs w:val="0"/>
      <w:i w:val="0"/>
      <w:iCs w:val="0"/>
      <w:sz w:val="18"/>
      <w:szCs w:val="18"/>
    </w:rPr>
  </w:style>
  <w:style w:type="paragraph" w:customStyle="1" w:styleId="li1">
    <w:name w:val="li1"/>
    <w:basedOn w:val="Normal"/>
    <w:rsid w:val="00FA69F7"/>
    <w:rPr>
      <w:rFonts w:ascii="Helvetica" w:hAnsi="Helvetica" w:cs="Times New Roman"/>
      <w:kern w:val="0"/>
      <w:sz w:val="18"/>
      <w:szCs w:val="18"/>
      <w14:ligatures w14:val="none"/>
    </w:rPr>
  </w:style>
  <w:style w:type="paragraph" w:styleId="ListParagraph">
    <w:name w:val="List Paragraph"/>
    <w:basedOn w:val="Normal"/>
    <w:uiPriority w:val="34"/>
    <w:qFormat/>
    <w:rsid w:val="00F175E7"/>
    <w:pPr>
      <w:spacing w:after="160" w:line="254" w:lineRule="auto"/>
      <w:ind w:left="720"/>
      <w:contextualSpacing/>
    </w:pPr>
    <w:rPr>
      <w:rFonts w:eastAsiaTheme="minorHAnsi"/>
      <w:kern w:val="0"/>
      <w:lang w:eastAsia="en-US"/>
      <w14:ligatures w14:val="none"/>
    </w:rPr>
  </w:style>
  <w:style w:type="paragraph" w:styleId="NormalWeb">
    <w:name w:val="Normal (Web)"/>
    <w:basedOn w:val="Normal"/>
    <w:uiPriority w:val="99"/>
    <w:unhideWhenUsed/>
    <w:rsid w:val="00A45901"/>
    <w:pPr>
      <w:spacing w:before="100" w:beforeAutospacing="1" w:after="100" w:afterAutospacing="1"/>
    </w:pPr>
    <w:rPr>
      <w:rFonts w:ascii="Times New Roman" w:eastAsia="Times New Roman" w:hAnsi="Times New Roman" w:cs="Times New Roman"/>
      <w:kern w:val="0"/>
      <w:sz w:val="24"/>
      <w:szCs w:val="24"/>
      <w:lang w:eastAsia="en-ZW"/>
      <w14:ligatures w14:val="none"/>
    </w:rPr>
  </w:style>
  <w:style w:type="character" w:styleId="Emphasis">
    <w:name w:val="Emphasis"/>
    <w:basedOn w:val="DefaultParagraphFont"/>
    <w:uiPriority w:val="20"/>
    <w:qFormat/>
    <w:rsid w:val="00A45901"/>
    <w:rPr>
      <w:i/>
      <w:iCs/>
    </w:rPr>
  </w:style>
  <w:style w:type="paragraph" w:styleId="Header">
    <w:name w:val="header"/>
    <w:basedOn w:val="Normal"/>
    <w:link w:val="HeaderChar"/>
    <w:uiPriority w:val="99"/>
    <w:unhideWhenUsed/>
    <w:rsid w:val="00697B18"/>
    <w:pPr>
      <w:tabs>
        <w:tab w:val="center" w:pos="4513"/>
        <w:tab w:val="right" w:pos="9026"/>
      </w:tabs>
    </w:pPr>
  </w:style>
  <w:style w:type="character" w:customStyle="1" w:styleId="HeaderChar">
    <w:name w:val="Header Char"/>
    <w:basedOn w:val="DefaultParagraphFont"/>
    <w:link w:val="Header"/>
    <w:uiPriority w:val="99"/>
    <w:rsid w:val="00697B18"/>
  </w:style>
  <w:style w:type="paragraph" w:styleId="Footer">
    <w:name w:val="footer"/>
    <w:basedOn w:val="Normal"/>
    <w:link w:val="FooterChar"/>
    <w:uiPriority w:val="99"/>
    <w:unhideWhenUsed/>
    <w:rsid w:val="00697B18"/>
    <w:pPr>
      <w:tabs>
        <w:tab w:val="center" w:pos="4513"/>
        <w:tab w:val="right" w:pos="9026"/>
      </w:tabs>
    </w:pPr>
  </w:style>
  <w:style w:type="character" w:customStyle="1" w:styleId="FooterChar">
    <w:name w:val="Footer Char"/>
    <w:basedOn w:val="DefaultParagraphFont"/>
    <w:link w:val="Footer"/>
    <w:uiPriority w:val="99"/>
    <w:rsid w:val="0069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540872">
      <w:bodyDiv w:val="1"/>
      <w:marLeft w:val="0"/>
      <w:marRight w:val="0"/>
      <w:marTop w:val="0"/>
      <w:marBottom w:val="0"/>
      <w:divBdr>
        <w:top w:val="none" w:sz="0" w:space="0" w:color="auto"/>
        <w:left w:val="none" w:sz="0" w:space="0" w:color="auto"/>
        <w:bottom w:val="none" w:sz="0" w:space="0" w:color="auto"/>
        <w:right w:val="none" w:sz="0" w:space="0" w:color="auto"/>
      </w:divBdr>
      <w:divsChild>
        <w:div w:id="142740080">
          <w:marLeft w:val="0"/>
          <w:marRight w:val="0"/>
          <w:marTop w:val="0"/>
          <w:marBottom w:val="0"/>
          <w:divBdr>
            <w:top w:val="none" w:sz="0" w:space="0" w:color="auto"/>
            <w:left w:val="none" w:sz="0" w:space="0" w:color="auto"/>
            <w:bottom w:val="none" w:sz="0" w:space="0" w:color="auto"/>
            <w:right w:val="none" w:sz="0" w:space="0" w:color="auto"/>
          </w:divBdr>
        </w:div>
        <w:div w:id="1892493480">
          <w:marLeft w:val="0"/>
          <w:marRight w:val="0"/>
          <w:marTop w:val="0"/>
          <w:marBottom w:val="0"/>
          <w:divBdr>
            <w:top w:val="none" w:sz="0" w:space="0" w:color="auto"/>
            <w:left w:val="none" w:sz="0" w:space="0" w:color="auto"/>
            <w:bottom w:val="none" w:sz="0" w:space="0" w:color="auto"/>
            <w:right w:val="none" w:sz="0" w:space="0" w:color="auto"/>
          </w:divBdr>
        </w:div>
        <w:div w:id="348529895">
          <w:marLeft w:val="0"/>
          <w:marRight w:val="0"/>
          <w:marTop w:val="0"/>
          <w:marBottom w:val="0"/>
          <w:divBdr>
            <w:top w:val="none" w:sz="0" w:space="0" w:color="auto"/>
            <w:left w:val="none" w:sz="0" w:space="0" w:color="auto"/>
            <w:bottom w:val="none" w:sz="0" w:space="0" w:color="auto"/>
            <w:right w:val="none" w:sz="0" w:space="0" w:color="auto"/>
          </w:divBdr>
        </w:div>
      </w:divsChild>
    </w:div>
    <w:div w:id="1065447170">
      <w:bodyDiv w:val="1"/>
      <w:marLeft w:val="0"/>
      <w:marRight w:val="0"/>
      <w:marTop w:val="0"/>
      <w:marBottom w:val="0"/>
      <w:divBdr>
        <w:top w:val="none" w:sz="0" w:space="0" w:color="auto"/>
        <w:left w:val="none" w:sz="0" w:space="0" w:color="auto"/>
        <w:bottom w:val="none" w:sz="0" w:space="0" w:color="auto"/>
        <w:right w:val="none" w:sz="0" w:space="0" w:color="auto"/>
      </w:divBdr>
      <w:divsChild>
        <w:div w:id="65804194">
          <w:marLeft w:val="0"/>
          <w:marRight w:val="0"/>
          <w:marTop w:val="0"/>
          <w:marBottom w:val="0"/>
          <w:divBdr>
            <w:top w:val="none" w:sz="0" w:space="0" w:color="auto"/>
            <w:left w:val="none" w:sz="0" w:space="0" w:color="auto"/>
            <w:bottom w:val="none" w:sz="0" w:space="0" w:color="auto"/>
            <w:right w:val="none" w:sz="0" w:space="0" w:color="auto"/>
          </w:divBdr>
          <w:divsChild>
            <w:div w:id="290553819">
              <w:marLeft w:val="0"/>
              <w:marRight w:val="0"/>
              <w:marTop w:val="0"/>
              <w:marBottom w:val="0"/>
              <w:divBdr>
                <w:top w:val="none" w:sz="0" w:space="0" w:color="auto"/>
                <w:left w:val="none" w:sz="0" w:space="0" w:color="auto"/>
                <w:bottom w:val="none" w:sz="0" w:space="0" w:color="auto"/>
                <w:right w:val="none" w:sz="0" w:space="0" w:color="auto"/>
              </w:divBdr>
              <w:divsChild>
                <w:div w:id="1864395856">
                  <w:marLeft w:val="0"/>
                  <w:marRight w:val="0"/>
                  <w:marTop w:val="0"/>
                  <w:marBottom w:val="0"/>
                  <w:divBdr>
                    <w:top w:val="none" w:sz="0" w:space="0" w:color="auto"/>
                    <w:left w:val="none" w:sz="0" w:space="0" w:color="auto"/>
                    <w:bottom w:val="none" w:sz="0" w:space="0" w:color="auto"/>
                    <w:right w:val="none" w:sz="0" w:space="0" w:color="auto"/>
                  </w:divBdr>
                  <w:divsChild>
                    <w:div w:id="931622994">
                      <w:marLeft w:val="0"/>
                      <w:marRight w:val="0"/>
                      <w:marTop w:val="0"/>
                      <w:marBottom w:val="0"/>
                      <w:divBdr>
                        <w:top w:val="none" w:sz="0" w:space="0" w:color="auto"/>
                        <w:left w:val="none" w:sz="0" w:space="0" w:color="auto"/>
                        <w:bottom w:val="none" w:sz="0" w:space="0" w:color="auto"/>
                        <w:right w:val="none" w:sz="0" w:space="0" w:color="auto"/>
                      </w:divBdr>
                      <w:divsChild>
                        <w:div w:id="1938514765">
                          <w:marLeft w:val="0"/>
                          <w:marRight w:val="0"/>
                          <w:marTop w:val="0"/>
                          <w:marBottom w:val="0"/>
                          <w:divBdr>
                            <w:top w:val="none" w:sz="0" w:space="0" w:color="auto"/>
                            <w:left w:val="none" w:sz="0" w:space="0" w:color="auto"/>
                            <w:bottom w:val="none" w:sz="0" w:space="0" w:color="auto"/>
                            <w:right w:val="none" w:sz="0" w:space="0" w:color="auto"/>
                          </w:divBdr>
                          <w:divsChild>
                            <w:div w:id="208341325">
                              <w:marLeft w:val="0"/>
                              <w:marRight w:val="0"/>
                              <w:marTop w:val="0"/>
                              <w:marBottom w:val="0"/>
                              <w:divBdr>
                                <w:top w:val="none" w:sz="0" w:space="0" w:color="auto"/>
                                <w:left w:val="none" w:sz="0" w:space="0" w:color="auto"/>
                                <w:bottom w:val="none" w:sz="0" w:space="0" w:color="auto"/>
                                <w:right w:val="none" w:sz="0" w:space="0" w:color="auto"/>
                              </w:divBdr>
                            </w:div>
                            <w:div w:id="278991257">
                              <w:marLeft w:val="0"/>
                              <w:marRight w:val="0"/>
                              <w:marTop w:val="0"/>
                              <w:marBottom w:val="0"/>
                              <w:divBdr>
                                <w:top w:val="none" w:sz="0" w:space="0" w:color="auto"/>
                                <w:left w:val="none" w:sz="0" w:space="0" w:color="auto"/>
                                <w:bottom w:val="none" w:sz="0" w:space="0" w:color="auto"/>
                                <w:right w:val="none" w:sz="0" w:space="0" w:color="auto"/>
                              </w:divBdr>
                            </w:div>
                            <w:div w:id="584609950">
                              <w:marLeft w:val="0"/>
                              <w:marRight w:val="0"/>
                              <w:marTop w:val="0"/>
                              <w:marBottom w:val="0"/>
                              <w:divBdr>
                                <w:top w:val="none" w:sz="0" w:space="0" w:color="auto"/>
                                <w:left w:val="none" w:sz="0" w:space="0" w:color="auto"/>
                                <w:bottom w:val="none" w:sz="0" w:space="0" w:color="auto"/>
                                <w:right w:val="none" w:sz="0" w:space="0" w:color="auto"/>
                              </w:divBdr>
                            </w:div>
                            <w:div w:id="606885415">
                              <w:marLeft w:val="0"/>
                              <w:marRight w:val="0"/>
                              <w:marTop w:val="0"/>
                              <w:marBottom w:val="0"/>
                              <w:divBdr>
                                <w:top w:val="none" w:sz="0" w:space="0" w:color="auto"/>
                                <w:left w:val="none" w:sz="0" w:space="0" w:color="auto"/>
                                <w:bottom w:val="none" w:sz="0" w:space="0" w:color="auto"/>
                                <w:right w:val="none" w:sz="0" w:space="0" w:color="auto"/>
                              </w:divBdr>
                            </w:div>
                            <w:div w:id="711920722">
                              <w:marLeft w:val="0"/>
                              <w:marRight w:val="0"/>
                              <w:marTop w:val="0"/>
                              <w:marBottom w:val="0"/>
                              <w:divBdr>
                                <w:top w:val="none" w:sz="0" w:space="0" w:color="auto"/>
                                <w:left w:val="none" w:sz="0" w:space="0" w:color="auto"/>
                                <w:bottom w:val="none" w:sz="0" w:space="0" w:color="auto"/>
                                <w:right w:val="none" w:sz="0" w:space="0" w:color="auto"/>
                              </w:divBdr>
                            </w:div>
                            <w:div w:id="798844293">
                              <w:marLeft w:val="0"/>
                              <w:marRight w:val="0"/>
                              <w:marTop w:val="0"/>
                              <w:marBottom w:val="0"/>
                              <w:divBdr>
                                <w:top w:val="none" w:sz="0" w:space="0" w:color="auto"/>
                                <w:left w:val="none" w:sz="0" w:space="0" w:color="auto"/>
                                <w:bottom w:val="none" w:sz="0" w:space="0" w:color="auto"/>
                                <w:right w:val="none" w:sz="0" w:space="0" w:color="auto"/>
                              </w:divBdr>
                            </w:div>
                            <w:div w:id="1210260301">
                              <w:marLeft w:val="0"/>
                              <w:marRight w:val="0"/>
                              <w:marTop w:val="0"/>
                              <w:marBottom w:val="0"/>
                              <w:divBdr>
                                <w:top w:val="none" w:sz="0" w:space="0" w:color="auto"/>
                                <w:left w:val="none" w:sz="0" w:space="0" w:color="auto"/>
                                <w:bottom w:val="none" w:sz="0" w:space="0" w:color="auto"/>
                                <w:right w:val="none" w:sz="0" w:space="0" w:color="auto"/>
                              </w:divBdr>
                            </w:div>
                            <w:div w:id="1247881098">
                              <w:marLeft w:val="0"/>
                              <w:marRight w:val="0"/>
                              <w:marTop w:val="0"/>
                              <w:marBottom w:val="0"/>
                              <w:divBdr>
                                <w:top w:val="none" w:sz="0" w:space="0" w:color="auto"/>
                                <w:left w:val="none" w:sz="0" w:space="0" w:color="auto"/>
                                <w:bottom w:val="none" w:sz="0" w:space="0" w:color="auto"/>
                                <w:right w:val="none" w:sz="0" w:space="0" w:color="auto"/>
                              </w:divBdr>
                            </w:div>
                            <w:div w:id="1409184526">
                              <w:marLeft w:val="0"/>
                              <w:marRight w:val="0"/>
                              <w:marTop w:val="0"/>
                              <w:marBottom w:val="0"/>
                              <w:divBdr>
                                <w:top w:val="none" w:sz="0" w:space="0" w:color="auto"/>
                                <w:left w:val="none" w:sz="0" w:space="0" w:color="auto"/>
                                <w:bottom w:val="none" w:sz="0" w:space="0" w:color="auto"/>
                                <w:right w:val="none" w:sz="0" w:space="0" w:color="auto"/>
                              </w:divBdr>
                            </w:div>
                            <w:div w:id="1733693967">
                              <w:marLeft w:val="0"/>
                              <w:marRight w:val="0"/>
                              <w:marTop w:val="0"/>
                              <w:marBottom w:val="0"/>
                              <w:divBdr>
                                <w:top w:val="none" w:sz="0" w:space="0" w:color="auto"/>
                                <w:left w:val="none" w:sz="0" w:space="0" w:color="auto"/>
                                <w:bottom w:val="none" w:sz="0" w:space="0" w:color="auto"/>
                                <w:right w:val="none" w:sz="0" w:space="0" w:color="auto"/>
                              </w:divBdr>
                            </w:div>
                            <w:div w:id="1982345702">
                              <w:marLeft w:val="0"/>
                              <w:marRight w:val="0"/>
                              <w:marTop w:val="0"/>
                              <w:marBottom w:val="0"/>
                              <w:divBdr>
                                <w:top w:val="none" w:sz="0" w:space="0" w:color="auto"/>
                                <w:left w:val="none" w:sz="0" w:space="0" w:color="auto"/>
                                <w:bottom w:val="none" w:sz="0" w:space="0" w:color="auto"/>
                                <w:right w:val="none" w:sz="0" w:space="0" w:color="auto"/>
                              </w:divBdr>
                            </w:div>
                            <w:div w:id="21410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99661">
              <w:marLeft w:val="0"/>
              <w:marRight w:val="0"/>
              <w:marTop w:val="0"/>
              <w:marBottom w:val="0"/>
              <w:divBdr>
                <w:top w:val="none" w:sz="0" w:space="0" w:color="auto"/>
                <w:left w:val="none" w:sz="0" w:space="0" w:color="auto"/>
                <w:bottom w:val="none" w:sz="0" w:space="0" w:color="auto"/>
                <w:right w:val="none" w:sz="0" w:space="0" w:color="auto"/>
              </w:divBdr>
            </w:div>
            <w:div w:id="6056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nakirai kasere</dc:creator>
  <cp:keywords/>
  <dc:description/>
  <cp:lastModifiedBy>JSC</cp:lastModifiedBy>
  <cp:revision>2</cp:revision>
  <cp:lastPrinted>2024-08-05T07:32:00Z</cp:lastPrinted>
  <dcterms:created xsi:type="dcterms:W3CDTF">2024-08-09T10:53:00Z</dcterms:created>
  <dcterms:modified xsi:type="dcterms:W3CDTF">2024-08-09T10:53:00Z</dcterms:modified>
</cp:coreProperties>
</file>