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29E5" w:rsidRPr="00704ABF" w:rsidRDefault="00704ABF" w:rsidP="000E6E67">
      <w:pPr>
        <w:jc w:val="both"/>
      </w:pPr>
      <w:bookmarkStart w:id="0" w:name="_GoBack"/>
      <w:bookmarkEnd w:id="0"/>
      <w:r w:rsidRPr="00704ABF">
        <w:t>THE STATE</w:t>
      </w:r>
    </w:p>
    <w:p w:rsidR="00704ABF" w:rsidRPr="00704ABF" w:rsidRDefault="00704ABF" w:rsidP="000E6E67">
      <w:pPr>
        <w:jc w:val="both"/>
      </w:pPr>
      <w:r w:rsidRPr="00704ABF">
        <w:t>versus</w:t>
      </w:r>
    </w:p>
    <w:p w:rsidR="00704ABF" w:rsidRPr="00704ABF" w:rsidRDefault="00BA31C2" w:rsidP="000E6E67">
      <w:pPr>
        <w:jc w:val="both"/>
      </w:pPr>
      <w:r>
        <w:t xml:space="preserve">TINASHE NYAKUDYA </w:t>
      </w:r>
    </w:p>
    <w:p w:rsidR="00704ABF" w:rsidRPr="00704ABF" w:rsidRDefault="00704ABF" w:rsidP="000E6E67">
      <w:pPr>
        <w:jc w:val="both"/>
      </w:pPr>
    </w:p>
    <w:p w:rsidR="00704ABF" w:rsidRPr="00704ABF" w:rsidRDefault="00704ABF" w:rsidP="000E6E67">
      <w:pPr>
        <w:jc w:val="both"/>
      </w:pPr>
    </w:p>
    <w:p w:rsidR="00704ABF" w:rsidRPr="00704ABF" w:rsidRDefault="00704ABF" w:rsidP="000E6E67">
      <w:pPr>
        <w:jc w:val="both"/>
      </w:pPr>
      <w:r w:rsidRPr="00704ABF">
        <w:t>HIGH COURT OF ZIMBABWE</w:t>
      </w:r>
    </w:p>
    <w:p w:rsidR="00704ABF" w:rsidRPr="00704ABF" w:rsidRDefault="00704ABF" w:rsidP="000E6E67">
      <w:pPr>
        <w:jc w:val="both"/>
      </w:pPr>
      <w:r>
        <w:t xml:space="preserve">FOROMA </w:t>
      </w:r>
      <w:r w:rsidR="00BA31C2">
        <w:t>J</w:t>
      </w:r>
    </w:p>
    <w:p w:rsidR="00704ABF" w:rsidRPr="00704ABF" w:rsidRDefault="00126297" w:rsidP="000E6E67">
      <w:pPr>
        <w:jc w:val="both"/>
      </w:pPr>
      <w:r w:rsidRPr="00704ABF">
        <w:t>HARARE</w:t>
      </w:r>
      <w:r w:rsidR="00D864CF">
        <w:t>, 17 &amp;</w:t>
      </w:r>
      <w:r w:rsidR="00FE068D">
        <w:t>19 June 2019</w:t>
      </w:r>
      <w:r w:rsidR="00476184">
        <w:t xml:space="preserve"> and 11</w:t>
      </w:r>
      <w:r w:rsidR="006C4193">
        <w:t xml:space="preserve"> </w:t>
      </w:r>
      <w:r w:rsidR="00D864CF">
        <w:t>&amp;</w:t>
      </w:r>
      <w:r w:rsidR="00FE068D">
        <w:t>18 February</w:t>
      </w:r>
      <w:r w:rsidR="00D864CF">
        <w:t xml:space="preserve"> 2022</w:t>
      </w:r>
      <w:r w:rsidR="00FE068D">
        <w:t xml:space="preserve"> </w:t>
      </w:r>
    </w:p>
    <w:p w:rsidR="00704ABF" w:rsidRPr="00704ABF" w:rsidRDefault="00704ABF" w:rsidP="000E6E67">
      <w:pPr>
        <w:jc w:val="both"/>
      </w:pPr>
    </w:p>
    <w:p w:rsidR="00704ABF" w:rsidRPr="00704ABF" w:rsidRDefault="00704ABF" w:rsidP="000E6E67">
      <w:pPr>
        <w:jc w:val="both"/>
      </w:pPr>
    </w:p>
    <w:p w:rsidR="00BF2CF9" w:rsidRDefault="00FE068D" w:rsidP="000E6E67">
      <w:pPr>
        <w:jc w:val="both"/>
        <w:rPr>
          <w:b/>
        </w:rPr>
      </w:pPr>
      <w:r>
        <w:rPr>
          <w:b/>
        </w:rPr>
        <w:t>Criminal Trial</w:t>
      </w:r>
    </w:p>
    <w:p w:rsidR="00BF2CF9" w:rsidRDefault="00BF2CF9" w:rsidP="000E6E67">
      <w:pPr>
        <w:jc w:val="both"/>
        <w:rPr>
          <w:b/>
        </w:rPr>
      </w:pPr>
    </w:p>
    <w:p w:rsidR="00BF2CF9" w:rsidRPr="00BF2CF9" w:rsidRDefault="00FE068D" w:rsidP="000E6E67">
      <w:pPr>
        <w:jc w:val="both"/>
      </w:pPr>
      <w:r w:rsidRPr="00FE068D">
        <w:rPr>
          <w:i/>
        </w:rPr>
        <w:t>A Chogumaira</w:t>
      </w:r>
      <w:r>
        <w:t>,</w:t>
      </w:r>
      <w:r w:rsidR="00BF2CF9" w:rsidRPr="00BF2CF9">
        <w:t xml:space="preserve"> for the </w:t>
      </w:r>
      <w:r w:rsidR="006C2E26">
        <w:t>state</w:t>
      </w:r>
    </w:p>
    <w:p w:rsidR="00BF2CF9" w:rsidRPr="00BF2CF9" w:rsidRDefault="00FE068D" w:rsidP="000E6E67">
      <w:pPr>
        <w:jc w:val="both"/>
      </w:pPr>
      <w:r w:rsidRPr="00FE068D">
        <w:rPr>
          <w:i/>
        </w:rPr>
        <w:t>T Chiminya</w:t>
      </w:r>
      <w:r w:rsidR="00BF2CF9" w:rsidRPr="00BF2CF9">
        <w:t xml:space="preserve">, for the </w:t>
      </w:r>
      <w:r w:rsidR="006C2E26">
        <w:t>accused</w:t>
      </w:r>
    </w:p>
    <w:p w:rsidR="009A135C" w:rsidRPr="00704ABF" w:rsidRDefault="009A135C" w:rsidP="000E6E67">
      <w:pPr>
        <w:jc w:val="both"/>
        <w:rPr>
          <w:b/>
        </w:rPr>
      </w:pPr>
    </w:p>
    <w:p w:rsidR="000E56AD" w:rsidRDefault="000E56AD" w:rsidP="000E6E67">
      <w:pPr>
        <w:jc w:val="both"/>
        <w:rPr>
          <w:b/>
          <w:u w:val="single"/>
        </w:rPr>
      </w:pPr>
    </w:p>
    <w:p w:rsidR="00BA31C2" w:rsidRDefault="00704ABF" w:rsidP="000E6E67">
      <w:pPr>
        <w:spacing w:line="360" w:lineRule="auto"/>
        <w:ind w:firstLine="720"/>
        <w:jc w:val="both"/>
      </w:pPr>
      <w:r>
        <w:t xml:space="preserve">FOROMA J: </w:t>
      </w:r>
      <w:r w:rsidR="00BA31C2">
        <w:t xml:space="preserve">The accused pleaded not guilty to a charge of murdering one Witness Chisora on 15 September 2018 at </w:t>
      </w:r>
      <w:r w:rsidR="000338AE">
        <w:t>C</w:t>
      </w:r>
      <w:r w:rsidR="00BA31C2">
        <w:t xml:space="preserve">hiruma 1 Village Chief Nyamaropa Madziwa. It was alleged that the accused axed the deceased on the head when deceased forced his entry into one Talent Kanyongo Madziwa’s bedroom where the accused was sleeping with the said Talent. The deceased on being struck on the head sustained a deep cut from which the deceased </w:t>
      </w:r>
      <w:r w:rsidR="009A135C">
        <w:t>died</w:t>
      </w:r>
      <w:r w:rsidR="00BA31C2">
        <w:t>.</w:t>
      </w:r>
    </w:p>
    <w:p w:rsidR="00BA31C2" w:rsidRDefault="00BA31C2" w:rsidP="000E6E67">
      <w:pPr>
        <w:spacing w:line="360" w:lineRule="auto"/>
        <w:ind w:firstLine="720"/>
        <w:jc w:val="both"/>
      </w:pPr>
      <w:r>
        <w:t>Accused pleaded not guilty to the charge and claimed that he fought deceased in self defence.</w:t>
      </w:r>
    </w:p>
    <w:p w:rsidR="000C2F31" w:rsidRDefault="00BA31C2" w:rsidP="000E6E67">
      <w:pPr>
        <w:spacing w:line="360" w:lineRule="auto"/>
        <w:ind w:firstLine="720"/>
        <w:jc w:val="both"/>
      </w:pPr>
      <w:r>
        <w:t>The state led oral evid</w:t>
      </w:r>
      <w:r w:rsidR="009E0847">
        <w:t xml:space="preserve">ence of one Talent Kanyongo </w:t>
      </w:r>
      <w:r w:rsidR="00AA15B5">
        <w:t>(hereafter</w:t>
      </w:r>
      <w:r w:rsidR="009E0847">
        <w:t xml:space="preserve"> c</w:t>
      </w:r>
      <w:r>
        <w:t>alled Talent</w:t>
      </w:r>
      <w:r w:rsidR="00AA15B5">
        <w:t>)</w:t>
      </w:r>
      <w:r>
        <w:t xml:space="preserve"> who it is common cause was in a relationship with the accused at the time the deceased was axed to death. Talent testified that on this fateful day the accused had been in her bedroom </w:t>
      </w:r>
      <w:r w:rsidR="00AA15B5">
        <w:t>on</w:t>
      </w:r>
      <w:r>
        <w:t xml:space="preserve"> her invitation and they were sleeping and undressed when deceased arrived at her residence and demanded that she </w:t>
      </w:r>
      <w:r w:rsidR="009E0847">
        <w:t>let him</w:t>
      </w:r>
      <w:r w:rsidR="000C2F31">
        <w:t xml:space="preserve"> in which she objected to. </w:t>
      </w:r>
      <w:r w:rsidR="000338AE">
        <w:t>Deceased</w:t>
      </w:r>
      <w:r w:rsidR="000C2F31">
        <w:t xml:space="preserve"> forced his way in </w:t>
      </w:r>
      <w:r w:rsidR="009E0847">
        <w:t>armed with a brick which he hurled</w:t>
      </w:r>
      <w:r w:rsidR="000C2F31">
        <w:t xml:space="preserve"> at and </w:t>
      </w:r>
      <w:r w:rsidR="00AA15B5">
        <w:t xml:space="preserve">missed both </w:t>
      </w:r>
      <w:r w:rsidR="000C2F31">
        <w:t>the witness and the accused</w:t>
      </w:r>
      <w:r w:rsidR="00AA15B5">
        <w:t xml:space="preserve"> and broke to pieces. Accused immediately picked up an axe</w:t>
      </w:r>
      <w:r w:rsidR="000C2F31">
        <w:t>.</w:t>
      </w:r>
    </w:p>
    <w:p w:rsidR="000C2F31" w:rsidRDefault="000338AE" w:rsidP="000E6E67">
      <w:pPr>
        <w:spacing w:line="360" w:lineRule="auto"/>
        <w:ind w:firstLine="720"/>
        <w:jc w:val="both"/>
      </w:pPr>
      <w:r>
        <w:t xml:space="preserve">When </w:t>
      </w:r>
      <w:r w:rsidR="00491FF2">
        <w:t xml:space="preserve">accused </w:t>
      </w:r>
      <w:r>
        <w:t>was</w:t>
      </w:r>
      <w:r w:rsidR="000C2F31">
        <w:t xml:space="preserve"> missed </w:t>
      </w:r>
      <w:r>
        <w:t xml:space="preserve">by </w:t>
      </w:r>
      <w:r w:rsidR="000C2F31">
        <w:t xml:space="preserve">the brick which broke to pieces </w:t>
      </w:r>
      <w:r w:rsidR="00491FF2">
        <w:t xml:space="preserve">he </w:t>
      </w:r>
      <w:r w:rsidR="000C2F31">
        <w:t xml:space="preserve">picked up an axe. When </w:t>
      </w:r>
      <w:r>
        <w:t>the witness</w:t>
      </w:r>
      <w:r w:rsidR="000C2F31">
        <w:t xml:space="preserve"> realized the accused was going to axe the deceased she fled</w:t>
      </w:r>
      <w:r w:rsidR="00AA15B5">
        <w:t xml:space="preserve"> out of the room</w:t>
      </w:r>
      <w:r w:rsidR="000C2F31">
        <w:t>. Talent claimed that when deceased enter</w:t>
      </w:r>
      <w:r w:rsidR="008B287E">
        <w:t>ed her bedroom he started t</w:t>
      </w:r>
      <w:r w:rsidR="009E0847">
        <w:t>uss</w:t>
      </w:r>
      <w:r w:rsidR="008B287E">
        <w:t>l</w:t>
      </w:r>
      <w:r w:rsidR="009E0847">
        <w:t>ing</w:t>
      </w:r>
      <w:r w:rsidR="000C2F31">
        <w:t xml:space="preserve"> with the accused for possession of</w:t>
      </w:r>
      <w:r>
        <w:t xml:space="preserve"> </w:t>
      </w:r>
      <w:r w:rsidR="008B287E">
        <w:t>the</w:t>
      </w:r>
      <w:r w:rsidR="000C2F31">
        <w:t xml:space="preserve"> </w:t>
      </w:r>
      <w:r>
        <w:t>axe</w:t>
      </w:r>
      <w:r w:rsidR="000C2F31">
        <w:t>. She did not witness how the deceased was struck with the axe.</w:t>
      </w:r>
    </w:p>
    <w:p w:rsidR="002E06F5" w:rsidRDefault="000C2F31" w:rsidP="000E6E67">
      <w:pPr>
        <w:spacing w:line="360" w:lineRule="auto"/>
        <w:ind w:firstLine="720"/>
        <w:jc w:val="both"/>
      </w:pPr>
      <w:r>
        <w:t xml:space="preserve">According to this witness the deceased </w:t>
      </w:r>
      <w:r w:rsidR="002E06F5">
        <w:t xml:space="preserve">was once Talent’s living in boyfriend but their relationship had been terminated by her which termination the deceased did not accept. For </w:t>
      </w:r>
      <w:r w:rsidR="00BF2CF9">
        <w:t>this</w:t>
      </w:r>
      <w:r w:rsidR="002E06F5">
        <w:t xml:space="preserve"> reason deceased</w:t>
      </w:r>
      <w:r w:rsidR="008B287E">
        <w:t xml:space="preserve"> persisted</w:t>
      </w:r>
      <w:r w:rsidR="009573FF">
        <w:t xml:space="preserve"> in his</w:t>
      </w:r>
      <w:r w:rsidR="002E06F5">
        <w:t xml:space="preserve"> attempt to revive the relationship and refus</w:t>
      </w:r>
      <w:r w:rsidR="008B287E">
        <w:t>ed</w:t>
      </w:r>
      <w:r w:rsidR="002E06F5">
        <w:t xml:space="preserve"> to acknowledge</w:t>
      </w:r>
      <w:r w:rsidR="009573FF">
        <w:t xml:space="preserve"> that she was in a</w:t>
      </w:r>
      <w:r w:rsidR="002E06F5">
        <w:t xml:space="preserve"> new relationship with accused. In cross examination Talent claimed that the </w:t>
      </w:r>
      <w:r w:rsidR="002E06F5">
        <w:lastRenderedPageBreak/>
        <w:t>deceased and accused tussled for possession of the axe and during the tussl</w:t>
      </w:r>
      <w:r w:rsidR="008B287E">
        <w:t>e</w:t>
      </w:r>
      <w:r w:rsidR="002E06F5">
        <w:t xml:space="preserve"> the deceased threatened to kill the accused. At the commencement of the State case the state obtained the defence’s consent to the production of the evidence of Marshall Mucheza, Maxwell Patsika and Wesley Zimbonja</w:t>
      </w:r>
      <w:r w:rsidR="008B287E">
        <w:t xml:space="preserve"> as summarized in the summary of</w:t>
      </w:r>
      <w:r w:rsidR="002E06F5">
        <w:t xml:space="preserve"> state’s evidence in terms of s 314 of the Criminal Procedure and Evidence Act [</w:t>
      </w:r>
      <w:r w:rsidR="002E06F5" w:rsidRPr="002E06F5">
        <w:rPr>
          <w:i/>
        </w:rPr>
        <w:t>Chapter 9:07</w:t>
      </w:r>
      <w:r w:rsidR="002E06F5">
        <w:t>].</w:t>
      </w:r>
    </w:p>
    <w:p w:rsidR="00C66E69" w:rsidRDefault="002E06F5" w:rsidP="000E6E67">
      <w:pPr>
        <w:spacing w:line="360" w:lineRule="auto"/>
        <w:ind w:firstLine="720"/>
        <w:jc w:val="both"/>
      </w:pPr>
      <w:r>
        <w:t>In summary Marshall Mucheza’s evidence was that on the night of the 14 September 2018 he had heard a male voice demanding that Talent let him in and hear</w:t>
      </w:r>
      <w:r w:rsidR="00BF2CF9">
        <w:t>d</w:t>
      </w:r>
      <w:r>
        <w:t xml:space="preserve"> </w:t>
      </w:r>
      <w:r w:rsidR="00BF2CF9">
        <w:t>the</w:t>
      </w:r>
      <w:r>
        <w:t xml:space="preserve"> door being forced open</w:t>
      </w:r>
      <w:r w:rsidR="008B287E">
        <w:t>.</w:t>
      </w:r>
      <w:r>
        <w:t xml:space="preserve"> </w:t>
      </w:r>
      <w:r w:rsidR="008B287E">
        <w:t>Later</w:t>
      </w:r>
      <w:r>
        <w:t xml:space="preserve"> on he heard some footsteps of a person running in the No</w:t>
      </w:r>
      <w:r w:rsidR="00C66E69">
        <w:t>rth</w:t>
      </w:r>
      <w:r w:rsidR="009573FF">
        <w:t xml:space="preserve"> </w:t>
      </w:r>
      <w:r w:rsidR="00C66E69">
        <w:t>Westerly direction before Talent collected a torch from him. On 15 September in the morning he found deceased’s body in Talent’s room when he was collecting a solar panel from the said bedroom. The deceased had a deep cut on top of his head. He informed a neighbor one Munetsi Kachokoto about the deceased’s body in Talent’s bedroom before informing the village heard who in turn called the police. Maxwell Patsika a member of the ZRP stationed at Mt Darwin ZRP received a report of murder at about 8.45</w:t>
      </w:r>
      <w:r w:rsidR="009573FF">
        <w:t xml:space="preserve"> </w:t>
      </w:r>
      <w:r w:rsidR="00B528C8">
        <w:t>on 15</w:t>
      </w:r>
      <w:r w:rsidR="009573FF">
        <w:t xml:space="preserve"> September 2018</w:t>
      </w:r>
      <w:r w:rsidR="00C66E69">
        <w:t xml:space="preserve"> and went to attend the scene. He too observed a deep cut on top of the deceased’s head and blood was oozing from the wound. He was shown the blood st</w:t>
      </w:r>
      <w:r w:rsidR="008B287E">
        <w:t>ai</w:t>
      </w:r>
      <w:r w:rsidR="00C66E69">
        <w:t xml:space="preserve">ned axe by Talent who also made some indications and </w:t>
      </w:r>
      <w:r w:rsidR="008B287E">
        <w:t>ferried</w:t>
      </w:r>
      <w:r w:rsidR="00C66E69">
        <w:t xml:space="preserve"> the deceased’s copse to Mt Darwin Hospital where </w:t>
      </w:r>
      <w:r w:rsidR="00B528C8">
        <w:t>t</w:t>
      </w:r>
      <w:r w:rsidR="00C66E69">
        <w:t xml:space="preserve">he </w:t>
      </w:r>
      <w:r w:rsidR="00B528C8">
        <w:t xml:space="preserve">deceased </w:t>
      </w:r>
      <w:r w:rsidR="00C66E69">
        <w:t>was pronounced dead by Doctor Walter Nyazondo.</w:t>
      </w:r>
    </w:p>
    <w:p w:rsidR="002A6167" w:rsidRDefault="00C66E69" w:rsidP="000E6E67">
      <w:pPr>
        <w:spacing w:line="360" w:lineRule="auto"/>
        <w:ind w:firstLine="720"/>
        <w:jc w:val="both"/>
      </w:pPr>
      <w:r>
        <w:t xml:space="preserve">The evidence of Wesley Zimbonja was basically </w:t>
      </w:r>
      <w:r w:rsidR="00FE53AC">
        <w:t xml:space="preserve">similar to </w:t>
      </w:r>
      <w:r>
        <w:t>that</w:t>
      </w:r>
      <w:r w:rsidR="00137E47">
        <w:t xml:space="preserve"> </w:t>
      </w:r>
      <w:r w:rsidR="00FE53AC">
        <w:t>of</w:t>
      </w:r>
      <w:r>
        <w:t xml:space="preserve"> the investigating officer</w:t>
      </w:r>
      <w:r w:rsidR="00FE53AC">
        <w:t>.</w:t>
      </w:r>
      <w:r>
        <w:t xml:space="preserve"> </w:t>
      </w:r>
      <w:r w:rsidR="00FE53AC">
        <w:t>H</w:t>
      </w:r>
      <w:r>
        <w:t>e collec</w:t>
      </w:r>
      <w:r w:rsidR="00137E47">
        <w:t>ted the accused who had been arres</w:t>
      </w:r>
      <w:r>
        <w:t xml:space="preserve">ted by ZRP Shamva and got </w:t>
      </w:r>
      <w:r w:rsidR="00137E47">
        <w:t>him</w:t>
      </w:r>
      <w:r>
        <w:t xml:space="preserve"> to make some indications at the scene from which he drew a </w:t>
      </w:r>
      <w:r w:rsidR="009A135C">
        <w:t>sketch plan</w:t>
      </w:r>
      <w:r w:rsidR="00137E47">
        <w:t>.</w:t>
      </w:r>
      <w:r>
        <w:t xml:space="preserve"> </w:t>
      </w:r>
      <w:r w:rsidR="00137E47">
        <w:t>He also</w:t>
      </w:r>
      <w:r>
        <w:t xml:space="preserve"> </w:t>
      </w:r>
      <w:r w:rsidR="002A6167">
        <w:t>recorded a cautioned statement f</w:t>
      </w:r>
      <w:r w:rsidR="003F629F">
        <w:t>rom the accused which statement</w:t>
      </w:r>
      <w:r w:rsidR="002A6167">
        <w:t xml:space="preserve"> was confirmed by the magistrate.</w:t>
      </w:r>
    </w:p>
    <w:p w:rsidR="002A6167" w:rsidRDefault="002A6167" w:rsidP="000E6E67">
      <w:pPr>
        <w:spacing w:line="360" w:lineRule="auto"/>
        <w:ind w:firstLine="720"/>
        <w:jc w:val="both"/>
      </w:pPr>
      <w:r>
        <w:t xml:space="preserve">The state also had the </w:t>
      </w:r>
      <w:r w:rsidR="00137E47">
        <w:t xml:space="preserve">post-mortem report admitted </w:t>
      </w:r>
      <w:r>
        <w:t>by consent</w:t>
      </w:r>
      <w:r w:rsidR="003F629F">
        <w:t xml:space="preserve"> as an exhibit</w:t>
      </w:r>
      <w:r>
        <w:t xml:space="preserve">. The post mortem report was produced and marked Exhibit 1. According to exhibit </w:t>
      </w:r>
      <w:r w:rsidR="00137E47">
        <w:t>1</w:t>
      </w:r>
      <w:r>
        <w:t>Dr Nyazondo carried out an autopsy on the remains of the deceased and considered that the cause of death was a deep cut head injury.</w:t>
      </w:r>
    </w:p>
    <w:p w:rsidR="002A6167" w:rsidRDefault="002A6167" w:rsidP="000E6E67">
      <w:pPr>
        <w:spacing w:line="360" w:lineRule="auto"/>
        <w:ind w:firstLine="720"/>
        <w:jc w:val="both"/>
      </w:pPr>
      <w:r>
        <w:t>The accused</w:t>
      </w:r>
      <w:r w:rsidR="00137E47">
        <w:t>’s</w:t>
      </w:r>
      <w:r>
        <w:t xml:space="preserve"> confirmed warned and cautioned statement was produced and marked exhib</w:t>
      </w:r>
      <w:r w:rsidR="00FE53AC">
        <w:t>it</w:t>
      </w:r>
      <w:r>
        <w:t xml:space="preserve"> 2. The state closed its case after producing the foregoing evidence and the oral testimony of Talent</w:t>
      </w:r>
    </w:p>
    <w:p w:rsidR="00BD3449" w:rsidRDefault="00BF2CF9" w:rsidP="000E6E67">
      <w:pPr>
        <w:spacing w:line="360" w:lineRule="auto"/>
        <w:ind w:firstLine="720"/>
        <w:jc w:val="both"/>
      </w:pPr>
      <w:r>
        <w:t>Accused testified on oa</w:t>
      </w:r>
      <w:r w:rsidR="002A6167">
        <w:t xml:space="preserve">th and adopted his defence outline as his evidence </w:t>
      </w:r>
      <w:r w:rsidR="00137E47">
        <w:t xml:space="preserve">in chief in </w:t>
      </w:r>
      <w:r w:rsidR="002A6167">
        <w:t>defence to the charge. It is significant to note that the oral testimony of the accused is corroborated in th</w:t>
      </w:r>
      <w:r w:rsidR="00C014F6">
        <w:t xml:space="preserve">e following material respects </w:t>
      </w:r>
      <w:r w:rsidR="002A6167">
        <w:t>by Talent</w:t>
      </w:r>
    </w:p>
    <w:p w:rsidR="002A6167" w:rsidRDefault="00BD3449" w:rsidP="000E6E67">
      <w:pPr>
        <w:pStyle w:val="ListParagraph"/>
        <w:numPr>
          <w:ilvl w:val="0"/>
          <w:numId w:val="5"/>
        </w:numPr>
        <w:spacing w:line="360" w:lineRule="auto"/>
        <w:jc w:val="both"/>
      </w:pPr>
      <w:r w:rsidRPr="00BD3449">
        <w:rPr>
          <w:rFonts w:ascii="Times New Roman" w:hAnsi="Times New Roman"/>
          <w:sz w:val="24"/>
          <w:szCs w:val="24"/>
        </w:rPr>
        <w:lastRenderedPageBreak/>
        <w:t>That</w:t>
      </w:r>
      <w:r w:rsidR="002A6167" w:rsidRPr="00BD3449">
        <w:rPr>
          <w:rFonts w:ascii="Times New Roman" w:hAnsi="Times New Roman"/>
          <w:sz w:val="24"/>
          <w:szCs w:val="24"/>
        </w:rPr>
        <w:t xml:space="preserve"> </w:t>
      </w:r>
      <w:r w:rsidR="002658D8" w:rsidRPr="00BD3449">
        <w:rPr>
          <w:rFonts w:ascii="Times New Roman" w:hAnsi="Times New Roman"/>
          <w:sz w:val="24"/>
          <w:szCs w:val="24"/>
        </w:rPr>
        <w:t>earlier</w:t>
      </w:r>
      <w:r w:rsidR="002A6167" w:rsidRPr="00BD3449">
        <w:rPr>
          <w:rFonts w:ascii="Times New Roman" w:hAnsi="Times New Roman"/>
          <w:sz w:val="24"/>
          <w:szCs w:val="24"/>
        </w:rPr>
        <w:t xml:space="preserve"> </w:t>
      </w:r>
      <w:r w:rsidR="00C014F6">
        <w:rPr>
          <w:rFonts w:ascii="Times New Roman" w:hAnsi="Times New Roman"/>
          <w:sz w:val="24"/>
          <w:szCs w:val="24"/>
        </w:rPr>
        <w:t xml:space="preserve">on before deceased came to her residence </w:t>
      </w:r>
      <w:r w:rsidR="004B459E" w:rsidRPr="00BD3449">
        <w:rPr>
          <w:rFonts w:ascii="Times New Roman" w:hAnsi="Times New Roman"/>
          <w:sz w:val="24"/>
          <w:szCs w:val="24"/>
        </w:rPr>
        <w:t>the</w:t>
      </w:r>
      <w:r>
        <w:rPr>
          <w:rFonts w:ascii="Times New Roman" w:hAnsi="Times New Roman"/>
          <w:sz w:val="24"/>
          <w:szCs w:val="24"/>
        </w:rPr>
        <w:t xml:space="preserve"> deceased</w:t>
      </w:r>
      <w:r w:rsidR="004B459E" w:rsidRPr="00BD3449">
        <w:rPr>
          <w:rFonts w:ascii="Times New Roman" w:hAnsi="Times New Roman"/>
          <w:sz w:val="24"/>
          <w:szCs w:val="24"/>
        </w:rPr>
        <w:t xml:space="preserve"> had called on </w:t>
      </w:r>
      <w:r>
        <w:rPr>
          <w:rFonts w:ascii="Times New Roman" w:hAnsi="Times New Roman"/>
          <w:sz w:val="24"/>
          <w:szCs w:val="24"/>
        </w:rPr>
        <w:t>Talent’s</w:t>
      </w:r>
      <w:r w:rsidR="004B459E" w:rsidRPr="00BD3449">
        <w:rPr>
          <w:rFonts w:ascii="Times New Roman" w:hAnsi="Times New Roman"/>
          <w:sz w:val="24"/>
          <w:szCs w:val="24"/>
        </w:rPr>
        <w:t xml:space="preserve"> mobile and the accused and deceased </w:t>
      </w:r>
      <w:r w:rsidR="00C014F6">
        <w:rPr>
          <w:rFonts w:ascii="Times New Roman" w:hAnsi="Times New Roman"/>
          <w:sz w:val="24"/>
          <w:szCs w:val="24"/>
        </w:rPr>
        <w:t xml:space="preserve">quarrelled on the phone with </w:t>
      </w:r>
      <w:r w:rsidR="004B459E" w:rsidRPr="00BD3449">
        <w:rPr>
          <w:rFonts w:ascii="Times New Roman" w:hAnsi="Times New Roman"/>
          <w:sz w:val="24"/>
          <w:szCs w:val="24"/>
        </w:rPr>
        <w:t>each accusing the other of interfering with his relationship with Talent</w:t>
      </w:r>
      <w:r>
        <w:rPr>
          <w:rFonts w:ascii="Times New Roman" w:hAnsi="Times New Roman"/>
          <w:sz w:val="24"/>
          <w:szCs w:val="24"/>
        </w:rPr>
        <w:t>.</w:t>
      </w:r>
      <w:r w:rsidR="004B459E" w:rsidRPr="00BD3449">
        <w:rPr>
          <w:rFonts w:ascii="Times New Roman" w:hAnsi="Times New Roman"/>
          <w:sz w:val="24"/>
          <w:szCs w:val="24"/>
        </w:rPr>
        <w:t xml:space="preserve"> </w:t>
      </w:r>
      <w:r>
        <w:rPr>
          <w:rFonts w:ascii="Times New Roman" w:hAnsi="Times New Roman"/>
          <w:sz w:val="24"/>
          <w:szCs w:val="24"/>
        </w:rPr>
        <w:t>D</w:t>
      </w:r>
      <w:r w:rsidRPr="00BD3449">
        <w:rPr>
          <w:rFonts w:ascii="Times New Roman" w:hAnsi="Times New Roman"/>
          <w:sz w:val="24"/>
          <w:szCs w:val="24"/>
        </w:rPr>
        <w:t xml:space="preserve">eceased </w:t>
      </w:r>
      <w:r>
        <w:rPr>
          <w:rFonts w:ascii="Times New Roman" w:hAnsi="Times New Roman"/>
          <w:sz w:val="24"/>
          <w:szCs w:val="24"/>
        </w:rPr>
        <w:t xml:space="preserve">was </w:t>
      </w:r>
      <w:r w:rsidR="004B459E" w:rsidRPr="00BD3449">
        <w:rPr>
          <w:rFonts w:ascii="Times New Roman" w:hAnsi="Times New Roman"/>
          <w:sz w:val="24"/>
          <w:szCs w:val="24"/>
        </w:rPr>
        <w:t xml:space="preserve">alleging that accused had snatched </w:t>
      </w:r>
      <w:r>
        <w:rPr>
          <w:rFonts w:ascii="Times New Roman" w:hAnsi="Times New Roman"/>
          <w:sz w:val="24"/>
          <w:szCs w:val="24"/>
        </w:rPr>
        <w:t xml:space="preserve">Talent </w:t>
      </w:r>
      <w:r w:rsidR="004B459E" w:rsidRPr="00BD3449">
        <w:rPr>
          <w:rFonts w:ascii="Times New Roman" w:hAnsi="Times New Roman"/>
          <w:sz w:val="24"/>
          <w:szCs w:val="24"/>
        </w:rPr>
        <w:t>from him and the accused</w:t>
      </w:r>
      <w:r>
        <w:rPr>
          <w:rFonts w:ascii="Times New Roman" w:hAnsi="Times New Roman"/>
          <w:sz w:val="24"/>
          <w:szCs w:val="24"/>
        </w:rPr>
        <w:t xml:space="preserve"> was</w:t>
      </w:r>
      <w:r w:rsidR="004B459E" w:rsidRPr="00BD3449">
        <w:rPr>
          <w:rFonts w:ascii="Times New Roman" w:hAnsi="Times New Roman"/>
          <w:sz w:val="24"/>
          <w:szCs w:val="24"/>
        </w:rPr>
        <w:t xml:space="preserve"> demanding that deceased stop dating Talent whom he regarded as his </w:t>
      </w:r>
      <w:r w:rsidR="002658D8" w:rsidRPr="00BD3449">
        <w:rPr>
          <w:rFonts w:ascii="Times New Roman" w:hAnsi="Times New Roman"/>
          <w:sz w:val="24"/>
          <w:szCs w:val="24"/>
        </w:rPr>
        <w:t>girlfriend</w:t>
      </w:r>
      <w:r>
        <w:rPr>
          <w:rFonts w:ascii="Times New Roman" w:hAnsi="Times New Roman"/>
          <w:sz w:val="24"/>
          <w:szCs w:val="24"/>
        </w:rPr>
        <w:t xml:space="preserve">. </w:t>
      </w:r>
      <w:r w:rsidR="004B459E" w:rsidRPr="00BD3449">
        <w:rPr>
          <w:rFonts w:ascii="Times New Roman" w:hAnsi="Times New Roman"/>
          <w:sz w:val="24"/>
          <w:szCs w:val="24"/>
        </w:rPr>
        <w:t xml:space="preserve"> </w:t>
      </w:r>
      <w:r w:rsidR="00C014F6">
        <w:rPr>
          <w:rFonts w:ascii="Times New Roman" w:hAnsi="Times New Roman"/>
          <w:sz w:val="24"/>
          <w:szCs w:val="24"/>
        </w:rPr>
        <w:t>Accused</w:t>
      </w:r>
      <w:r w:rsidR="00F15691">
        <w:rPr>
          <w:rFonts w:ascii="Times New Roman" w:hAnsi="Times New Roman"/>
          <w:sz w:val="24"/>
          <w:szCs w:val="24"/>
        </w:rPr>
        <w:t>’s</w:t>
      </w:r>
      <w:r w:rsidR="00C014F6">
        <w:rPr>
          <w:rFonts w:ascii="Times New Roman" w:hAnsi="Times New Roman"/>
          <w:sz w:val="24"/>
          <w:szCs w:val="24"/>
        </w:rPr>
        <w:t xml:space="preserve"> testimony was also co</w:t>
      </w:r>
      <w:r w:rsidR="00F15691">
        <w:rPr>
          <w:rFonts w:ascii="Times New Roman" w:hAnsi="Times New Roman"/>
          <w:sz w:val="24"/>
          <w:szCs w:val="24"/>
        </w:rPr>
        <w:t>rro</w:t>
      </w:r>
      <w:r w:rsidR="00C014F6">
        <w:rPr>
          <w:rFonts w:ascii="Times New Roman" w:hAnsi="Times New Roman"/>
          <w:sz w:val="24"/>
          <w:szCs w:val="24"/>
        </w:rPr>
        <w:t xml:space="preserve">borated by </w:t>
      </w:r>
      <w:r w:rsidR="004B459E" w:rsidRPr="00BD3449">
        <w:rPr>
          <w:rFonts w:ascii="Times New Roman" w:hAnsi="Times New Roman"/>
          <w:sz w:val="24"/>
          <w:szCs w:val="24"/>
        </w:rPr>
        <w:t>Marshal Mucheza</w:t>
      </w:r>
      <w:r w:rsidR="00C014F6">
        <w:rPr>
          <w:rFonts w:ascii="Times New Roman" w:hAnsi="Times New Roman"/>
          <w:sz w:val="24"/>
          <w:szCs w:val="24"/>
        </w:rPr>
        <w:t xml:space="preserve"> who testified that a man</w:t>
      </w:r>
      <w:r w:rsidR="00C014F6" w:rsidRPr="00BD3449">
        <w:rPr>
          <w:rFonts w:ascii="Times New Roman" w:hAnsi="Times New Roman"/>
          <w:sz w:val="24"/>
          <w:szCs w:val="24"/>
        </w:rPr>
        <w:t xml:space="preserve"> </w:t>
      </w:r>
      <w:r w:rsidR="00C014F6">
        <w:rPr>
          <w:rFonts w:ascii="Times New Roman" w:hAnsi="Times New Roman"/>
          <w:sz w:val="24"/>
          <w:szCs w:val="24"/>
        </w:rPr>
        <w:t xml:space="preserve">who turned out to be deceased </w:t>
      </w:r>
      <w:r w:rsidR="004B459E" w:rsidRPr="00BD3449">
        <w:rPr>
          <w:rFonts w:ascii="Times New Roman" w:hAnsi="Times New Roman"/>
          <w:sz w:val="24"/>
          <w:szCs w:val="24"/>
        </w:rPr>
        <w:t xml:space="preserve">had forcibly opened the door </w:t>
      </w:r>
      <w:r w:rsidR="00C014F6">
        <w:rPr>
          <w:rFonts w:ascii="Times New Roman" w:hAnsi="Times New Roman"/>
          <w:sz w:val="24"/>
          <w:szCs w:val="24"/>
        </w:rPr>
        <w:t>in</w:t>
      </w:r>
      <w:r w:rsidR="004B459E" w:rsidRPr="00BD3449">
        <w:rPr>
          <w:rFonts w:ascii="Times New Roman" w:hAnsi="Times New Roman"/>
          <w:sz w:val="24"/>
          <w:szCs w:val="24"/>
        </w:rPr>
        <w:t>to Talent’s bedroom and that the deceased was axed on the head and he died in talent’s bedroom from a deep cut on top of his head</w:t>
      </w:r>
      <w:r w:rsidR="004B459E">
        <w:t>.</w:t>
      </w:r>
    </w:p>
    <w:p w:rsidR="004B459E" w:rsidRDefault="004B459E" w:rsidP="000E6E67">
      <w:pPr>
        <w:spacing w:line="360" w:lineRule="auto"/>
        <w:ind w:firstLine="720"/>
        <w:jc w:val="both"/>
      </w:pPr>
      <w:r>
        <w:t>It is important to note</w:t>
      </w:r>
      <w:r w:rsidR="00BD3449">
        <w:t xml:space="preserve"> too</w:t>
      </w:r>
      <w:r>
        <w:t xml:space="preserve"> that the </w:t>
      </w:r>
      <w:r w:rsidR="002658D8">
        <w:t>accused did</w:t>
      </w:r>
      <w:r w:rsidR="00834B6D">
        <w:t xml:space="preserve"> not testify to deceased throwing a brick at both accused and Talent which</w:t>
      </w:r>
      <w:r w:rsidR="00BD3449">
        <w:t xml:space="preserve"> according to Talent</w:t>
      </w:r>
      <w:r w:rsidR="00C014F6">
        <w:t xml:space="preserve"> on missing them both broke</w:t>
      </w:r>
      <w:r w:rsidR="00834B6D">
        <w:t xml:space="preserve"> to pieces</w:t>
      </w:r>
      <w:r w:rsidR="00F15691">
        <w:t>.</w:t>
      </w:r>
      <w:r w:rsidR="00834B6D">
        <w:t xml:space="preserve"> </w:t>
      </w:r>
      <w:r w:rsidR="00F15691">
        <w:t>N</w:t>
      </w:r>
      <w:r w:rsidR="00C014F6">
        <w:t>either</w:t>
      </w:r>
      <w:r w:rsidR="00BD3449">
        <w:t xml:space="preserve"> did accused testify </w:t>
      </w:r>
      <w:r w:rsidR="00BD5F8B">
        <w:t>to</w:t>
      </w:r>
      <w:r w:rsidR="00BD3449">
        <w:t xml:space="preserve"> </w:t>
      </w:r>
      <w:r w:rsidR="00834B6D">
        <w:t>any tussling</w:t>
      </w:r>
      <w:r w:rsidR="00C014F6">
        <w:t xml:space="preserve"> with deceased</w:t>
      </w:r>
      <w:r w:rsidR="00834B6D">
        <w:t xml:space="preserve"> for the axe as suggested by Talent in her evidence. The court finds Talent’s evidence to be </w:t>
      </w:r>
      <w:r w:rsidR="009A135C">
        <w:t>unreliable</w:t>
      </w:r>
      <w:r w:rsidR="00834B6D">
        <w:t xml:space="preserve"> in all the respects </w:t>
      </w:r>
      <w:r w:rsidR="00C014F6">
        <w:t>that</w:t>
      </w:r>
      <w:r w:rsidR="00834B6D">
        <w:t xml:space="preserve"> it does not reconcile with that of the accused’s </w:t>
      </w:r>
      <w:r w:rsidR="002658D8">
        <w:t>version</w:t>
      </w:r>
      <w:r w:rsidR="00834B6D">
        <w:t xml:space="preserve"> of the events of 15 September as narrated in accused’s warned and cautioned statement. Accused in his warned and cautioned statement alleges that as accused was forcing his way into Talent’s bedroom deceased was threatening to </w:t>
      </w:r>
      <w:r w:rsidR="006A2AEB">
        <w:t xml:space="preserve">assault him </w:t>
      </w:r>
      <w:r w:rsidR="00C014F6" w:rsidRPr="00C014F6">
        <w:rPr>
          <w:u w:val="single"/>
        </w:rPr>
        <w:t>but</w:t>
      </w:r>
      <w:r w:rsidR="006A2AEB" w:rsidRPr="00C014F6">
        <w:rPr>
          <w:u w:val="single"/>
        </w:rPr>
        <w:t xml:space="preserve"> not to kill him</w:t>
      </w:r>
      <w:r w:rsidR="006A2AEB">
        <w:t xml:space="preserve">. </w:t>
      </w:r>
      <w:r w:rsidR="00C014F6">
        <w:t>(</w:t>
      </w:r>
      <w:r w:rsidR="006A2AEB">
        <w:t>Underlining</w:t>
      </w:r>
      <w:r w:rsidR="00834B6D">
        <w:t xml:space="preserve"> is for emphasis.</w:t>
      </w:r>
      <w:r w:rsidR="00BD5F8B">
        <w:t xml:space="preserve">  Accused closed his case without calling </w:t>
      </w:r>
      <w:r w:rsidR="00C014F6">
        <w:t>any</w:t>
      </w:r>
      <w:r w:rsidR="00BD5F8B">
        <w:t xml:space="preserve"> witness</w:t>
      </w:r>
    </w:p>
    <w:p w:rsidR="006A2AEB" w:rsidRDefault="006A2AEB" w:rsidP="000E6E67">
      <w:pPr>
        <w:spacing w:line="360" w:lineRule="auto"/>
        <w:jc w:val="both"/>
      </w:pPr>
    </w:p>
    <w:p w:rsidR="006A2AEB" w:rsidRPr="009A135C" w:rsidRDefault="006A2AEB" w:rsidP="000E6E67">
      <w:pPr>
        <w:spacing w:line="360" w:lineRule="auto"/>
        <w:jc w:val="both"/>
        <w:rPr>
          <w:b/>
        </w:rPr>
      </w:pPr>
      <w:r w:rsidRPr="009A135C">
        <w:rPr>
          <w:b/>
        </w:rPr>
        <w:t xml:space="preserve">Analysis of evidence </w:t>
      </w:r>
    </w:p>
    <w:p w:rsidR="006A2AEB" w:rsidRDefault="006A2AEB" w:rsidP="00883D5F">
      <w:pPr>
        <w:spacing w:line="360" w:lineRule="auto"/>
        <w:ind w:firstLine="720"/>
        <w:jc w:val="both"/>
      </w:pPr>
      <w:r>
        <w:t xml:space="preserve">It is common cause that the deceased demanded and forced entry into Talent’s bedroom where the accused felt he was </w:t>
      </w:r>
      <w:r w:rsidR="00396AB0">
        <w:t>lawfully</w:t>
      </w:r>
      <w:r>
        <w:t xml:space="preserve"> invited by Talent as the owner of the room. The mere fact that the two </w:t>
      </w:r>
      <w:r w:rsidR="005C701A">
        <w:t>(</w:t>
      </w:r>
      <w:r>
        <w:t>accused and deceased</w:t>
      </w:r>
      <w:r w:rsidR="005C701A">
        <w:t>)</w:t>
      </w:r>
      <w:r>
        <w:t xml:space="preserve"> had earlier on engaged in an exchange on the mobile phone woul</w:t>
      </w:r>
      <w:r w:rsidR="00BD5F8B">
        <w:t>d have made the arrival of dece</w:t>
      </w:r>
      <w:r>
        <w:t xml:space="preserve">ased at Talent’s residence a risk to </w:t>
      </w:r>
      <w:r w:rsidR="00BD5F8B">
        <w:t>accused</w:t>
      </w:r>
      <w:r>
        <w:t>. The issue is what was the nature of the risk</w:t>
      </w:r>
      <w:r w:rsidR="005C701A">
        <w:t>? W</w:t>
      </w:r>
      <w:r>
        <w:t xml:space="preserve">as it a risk to his life or mere bodily harm considering the deceased </w:t>
      </w:r>
      <w:r w:rsidR="00396AB0">
        <w:t>threatened</w:t>
      </w:r>
      <w:r>
        <w:t xml:space="preserve"> to assault accused for “snatching his wife.” The state in its summary of evidence regarde</w:t>
      </w:r>
      <w:r w:rsidR="00BD5F8B">
        <w:t>d T</w:t>
      </w:r>
      <w:r>
        <w:t xml:space="preserve">alent to have been seeing both men as her </w:t>
      </w:r>
      <w:r w:rsidR="009F3B14">
        <w:t>boyfriends</w:t>
      </w:r>
      <w:r w:rsidR="00BD5F8B">
        <w:t xml:space="preserve"> at the same time</w:t>
      </w:r>
      <w:r>
        <w:t>.</w:t>
      </w:r>
      <w:r w:rsidR="005C701A">
        <w:t xml:space="preserve"> The court does not accept</w:t>
      </w:r>
      <w:r>
        <w:t xml:space="preserve"> </w:t>
      </w:r>
      <w:r w:rsidR="009F3B14">
        <w:t>Talent’s claim that her relationship with deceased had long terminated</w:t>
      </w:r>
      <w:r w:rsidR="00F15691">
        <w:t>. Such claim</w:t>
      </w:r>
      <w:r w:rsidR="009F3B14">
        <w:t xml:space="preserve"> is not considered to be a truthful position. Here is a woman who </w:t>
      </w:r>
      <w:r w:rsidR="00BD5F8B">
        <w:t xml:space="preserve">on account </w:t>
      </w:r>
      <w:r w:rsidR="005C701A">
        <w:t>of her</w:t>
      </w:r>
      <w:r w:rsidR="009F3B14">
        <w:t xml:space="preserve"> double dating had caused the demise of one of </w:t>
      </w:r>
      <w:r w:rsidR="00F15691">
        <w:t>t</w:t>
      </w:r>
      <w:r w:rsidR="009F3B14">
        <w:t>he</w:t>
      </w:r>
      <w:r w:rsidR="00F15691">
        <w:t xml:space="preserve"> </w:t>
      </w:r>
      <w:r w:rsidR="00396AB0">
        <w:t>boyfriends</w:t>
      </w:r>
      <w:r w:rsidR="00BD5F8B">
        <w:t xml:space="preserve"> at the hands of the other</w:t>
      </w:r>
      <w:r w:rsidR="009F3B14">
        <w:t>. In an effort to play an innocent girlfriend</w:t>
      </w:r>
      <w:r w:rsidR="00C014F6">
        <w:t xml:space="preserve"> Tal</w:t>
      </w:r>
      <w:r w:rsidR="00BD5F8B">
        <w:t>ent</w:t>
      </w:r>
      <w:r w:rsidR="009F3B14">
        <w:t xml:space="preserve"> found it easy</w:t>
      </w:r>
      <w:r w:rsidR="005C701A">
        <w:t xml:space="preserve"> and convenient</w:t>
      </w:r>
      <w:r w:rsidR="009F3B14">
        <w:t xml:space="preserve"> to claim </w:t>
      </w:r>
      <w:r w:rsidR="009F3B14">
        <w:lastRenderedPageBreak/>
        <w:t xml:space="preserve">that the deceased was an </w:t>
      </w:r>
      <w:r w:rsidR="00396AB0">
        <w:t>ex-boyfriend</w:t>
      </w:r>
      <w:r w:rsidR="009F3B14">
        <w:t xml:space="preserve"> who would not accept the termination of his relationship with her.</w:t>
      </w:r>
    </w:p>
    <w:p w:rsidR="009F3B14" w:rsidRDefault="009F3B14" w:rsidP="000E6E67">
      <w:pPr>
        <w:spacing w:line="360" w:lineRule="auto"/>
        <w:jc w:val="both"/>
      </w:pPr>
      <w:r>
        <w:tab/>
        <w:t>That notwithstanding</w:t>
      </w:r>
      <w:r w:rsidR="00BD5F8B">
        <w:t xml:space="preserve"> the question </w:t>
      </w:r>
      <w:r w:rsidR="0086587E">
        <w:t>remains was the accused justified to kill the deceased on acc</w:t>
      </w:r>
      <w:r>
        <w:t>ount of his claim to self defence?</w:t>
      </w:r>
    </w:p>
    <w:p w:rsidR="009F3B14" w:rsidRDefault="009F3B14" w:rsidP="000E6E67">
      <w:pPr>
        <w:spacing w:line="360" w:lineRule="auto"/>
        <w:jc w:val="both"/>
      </w:pPr>
      <w:r>
        <w:tab/>
        <w:t>Section 253 of the Criminal Law (Codification and Reform Act provides the requirements for the defence of person (self defence) to be a complete defence. The section reads as follows:</w:t>
      </w:r>
    </w:p>
    <w:p w:rsidR="00396AB0" w:rsidRPr="0086587E" w:rsidRDefault="00396AB0" w:rsidP="000E6E67">
      <w:pPr>
        <w:ind w:left="720"/>
        <w:jc w:val="both"/>
        <w:rPr>
          <w:sz w:val="22"/>
          <w:szCs w:val="22"/>
        </w:rPr>
      </w:pPr>
      <w:r w:rsidRPr="0086587E">
        <w:rPr>
          <w:sz w:val="22"/>
          <w:szCs w:val="22"/>
        </w:rPr>
        <w:t xml:space="preserve">“253 (1) subject to this part, the fact that a person accused of a crime was defending himself or herself or another person against an unlawful attack when </w:t>
      </w:r>
      <w:r w:rsidR="00174104" w:rsidRPr="0086587E">
        <w:rPr>
          <w:sz w:val="22"/>
          <w:szCs w:val="22"/>
        </w:rPr>
        <w:t xml:space="preserve">he or she did or </w:t>
      </w:r>
      <w:r w:rsidR="0086587E" w:rsidRPr="0086587E">
        <w:rPr>
          <w:sz w:val="22"/>
          <w:szCs w:val="22"/>
        </w:rPr>
        <w:t>omitted</w:t>
      </w:r>
      <w:r w:rsidR="00174104" w:rsidRPr="0086587E">
        <w:rPr>
          <w:sz w:val="22"/>
          <w:szCs w:val="22"/>
        </w:rPr>
        <w:t xml:space="preserve"> to do anything which is an essential element of the crime</w:t>
      </w:r>
      <w:r w:rsidR="0086587E" w:rsidRPr="0086587E">
        <w:rPr>
          <w:sz w:val="22"/>
          <w:szCs w:val="22"/>
        </w:rPr>
        <w:t xml:space="preserve"> s</w:t>
      </w:r>
      <w:r w:rsidR="00174104" w:rsidRPr="0086587E">
        <w:rPr>
          <w:sz w:val="22"/>
          <w:szCs w:val="22"/>
        </w:rPr>
        <w:t>hall be a complete defence to the charge if-</w:t>
      </w:r>
    </w:p>
    <w:p w:rsidR="00174104" w:rsidRPr="0086587E" w:rsidRDefault="006A0FA2" w:rsidP="000E6E67">
      <w:pPr>
        <w:pStyle w:val="ListParagraph"/>
        <w:numPr>
          <w:ilvl w:val="0"/>
          <w:numId w:val="3"/>
        </w:numPr>
        <w:spacing w:line="240" w:lineRule="auto"/>
        <w:jc w:val="both"/>
        <w:rPr>
          <w:rFonts w:ascii="Times New Roman" w:hAnsi="Times New Roman"/>
        </w:rPr>
      </w:pPr>
      <w:r>
        <w:rPr>
          <w:rFonts w:ascii="Times New Roman" w:hAnsi="Times New Roman"/>
        </w:rPr>
        <w:t>w</w:t>
      </w:r>
      <w:r w:rsidR="00174104" w:rsidRPr="0086587E">
        <w:rPr>
          <w:rFonts w:ascii="Times New Roman" w:hAnsi="Times New Roman"/>
        </w:rPr>
        <w:t xml:space="preserve">hen he or she did </w:t>
      </w:r>
      <w:r>
        <w:rPr>
          <w:rFonts w:ascii="Times New Roman" w:hAnsi="Times New Roman"/>
        </w:rPr>
        <w:t>or</w:t>
      </w:r>
      <w:r w:rsidR="00174104" w:rsidRPr="0086587E">
        <w:rPr>
          <w:rFonts w:ascii="Times New Roman" w:hAnsi="Times New Roman"/>
        </w:rPr>
        <w:t xml:space="preserve"> omitted to do the thing, the unlawful attack had commenced or was </w:t>
      </w:r>
      <w:r w:rsidR="009A135C" w:rsidRPr="0086587E">
        <w:rPr>
          <w:rFonts w:ascii="Times New Roman" w:hAnsi="Times New Roman"/>
        </w:rPr>
        <w:t>imminent</w:t>
      </w:r>
      <w:r w:rsidR="00174104" w:rsidRPr="0086587E">
        <w:rPr>
          <w:rFonts w:ascii="Times New Roman" w:hAnsi="Times New Roman"/>
        </w:rPr>
        <w:t xml:space="preserve"> or he or she believed on reasonable grounds that the unlawful attack had commenced</w:t>
      </w:r>
      <w:r>
        <w:rPr>
          <w:rFonts w:ascii="Times New Roman" w:hAnsi="Times New Roman"/>
        </w:rPr>
        <w:t xml:space="preserve"> or</w:t>
      </w:r>
      <w:r w:rsidR="00174104" w:rsidRPr="0086587E">
        <w:rPr>
          <w:rFonts w:ascii="Times New Roman" w:hAnsi="Times New Roman"/>
        </w:rPr>
        <w:t xml:space="preserve"> was liniment</w:t>
      </w:r>
      <w:r>
        <w:rPr>
          <w:rFonts w:ascii="Times New Roman" w:hAnsi="Times New Roman"/>
        </w:rPr>
        <w:t>;</w:t>
      </w:r>
    </w:p>
    <w:p w:rsidR="00174104" w:rsidRPr="0086587E" w:rsidRDefault="00174104" w:rsidP="000E6E67">
      <w:pPr>
        <w:pStyle w:val="ListParagraph"/>
        <w:numPr>
          <w:ilvl w:val="0"/>
          <w:numId w:val="3"/>
        </w:numPr>
        <w:spacing w:line="240" w:lineRule="auto"/>
        <w:jc w:val="both"/>
        <w:rPr>
          <w:rFonts w:ascii="Times New Roman" w:hAnsi="Times New Roman"/>
        </w:rPr>
      </w:pPr>
      <w:r w:rsidRPr="0086587E">
        <w:t xml:space="preserve"> </w:t>
      </w:r>
      <w:r w:rsidR="006A0FA2">
        <w:rPr>
          <w:rFonts w:ascii="Times New Roman" w:hAnsi="Times New Roman"/>
        </w:rPr>
        <w:t>h</w:t>
      </w:r>
      <w:r w:rsidRPr="0086587E">
        <w:rPr>
          <w:rFonts w:ascii="Times New Roman" w:hAnsi="Times New Roman"/>
        </w:rPr>
        <w:t>is or her conduct was necessary to a</w:t>
      </w:r>
      <w:r w:rsidR="006A0FA2">
        <w:rPr>
          <w:rFonts w:ascii="Times New Roman" w:hAnsi="Times New Roman"/>
        </w:rPr>
        <w:t>vert</w:t>
      </w:r>
      <w:r w:rsidRPr="0086587E">
        <w:rPr>
          <w:rFonts w:ascii="Times New Roman" w:hAnsi="Times New Roman"/>
        </w:rPr>
        <w:t xml:space="preserve"> the unlawful attack and he or she could not otherwise escape from </w:t>
      </w:r>
      <w:r w:rsidR="009A135C" w:rsidRPr="0086587E">
        <w:rPr>
          <w:rFonts w:ascii="Times New Roman" w:hAnsi="Times New Roman"/>
        </w:rPr>
        <w:t>or avert</w:t>
      </w:r>
      <w:r w:rsidRPr="0086587E">
        <w:rPr>
          <w:rFonts w:ascii="Times New Roman" w:hAnsi="Times New Roman"/>
        </w:rPr>
        <w:t xml:space="preserve"> the attack or he or she believed on reasonable grounds that his or her conduct was necessary to avert the unlawful attack and that he or she could not otherwise escape from or avert the attack and</w:t>
      </w:r>
    </w:p>
    <w:p w:rsidR="00174104" w:rsidRPr="0086587E" w:rsidRDefault="006A0FA2" w:rsidP="000E6E67">
      <w:pPr>
        <w:pStyle w:val="ListParagraph"/>
        <w:numPr>
          <w:ilvl w:val="0"/>
          <w:numId w:val="3"/>
        </w:numPr>
        <w:spacing w:line="240" w:lineRule="auto"/>
        <w:jc w:val="both"/>
        <w:rPr>
          <w:rFonts w:ascii="Times New Roman" w:hAnsi="Times New Roman"/>
        </w:rPr>
      </w:pPr>
      <w:r>
        <w:rPr>
          <w:rFonts w:ascii="Times New Roman" w:hAnsi="Times New Roman"/>
        </w:rPr>
        <w:t>t</w:t>
      </w:r>
      <w:r w:rsidR="00174104" w:rsidRPr="0086587E">
        <w:rPr>
          <w:rFonts w:ascii="Times New Roman" w:hAnsi="Times New Roman"/>
        </w:rPr>
        <w:t xml:space="preserve">he means he or she used to avert the unlawful attack were </w:t>
      </w:r>
      <w:r w:rsidR="009A135C" w:rsidRPr="0086587E">
        <w:rPr>
          <w:rFonts w:ascii="Times New Roman" w:hAnsi="Times New Roman"/>
        </w:rPr>
        <w:t>reasonable</w:t>
      </w:r>
      <w:r w:rsidR="00174104" w:rsidRPr="0086587E">
        <w:rPr>
          <w:rFonts w:ascii="Times New Roman" w:hAnsi="Times New Roman"/>
        </w:rPr>
        <w:t xml:space="preserve"> in all the circumstances; and </w:t>
      </w:r>
    </w:p>
    <w:p w:rsidR="00174104" w:rsidRPr="0086587E" w:rsidRDefault="00E036C0" w:rsidP="000E6E67">
      <w:pPr>
        <w:pStyle w:val="ListParagraph"/>
        <w:numPr>
          <w:ilvl w:val="0"/>
          <w:numId w:val="3"/>
        </w:numPr>
        <w:spacing w:line="240" w:lineRule="auto"/>
        <w:jc w:val="both"/>
        <w:rPr>
          <w:rFonts w:ascii="Times New Roman" w:hAnsi="Times New Roman"/>
        </w:rPr>
      </w:pPr>
      <w:r>
        <w:rPr>
          <w:rFonts w:ascii="Times New Roman" w:hAnsi="Times New Roman"/>
        </w:rPr>
        <w:t>a</w:t>
      </w:r>
      <w:r w:rsidR="00174104" w:rsidRPr="0086587E">
        <w:rPr>
          <w:rFonts w:ascii="Times New Roman" w:hAnsi="Times New Roman"/>
        </w:rPr>
        <w:t xml:space="preserve">ny harm or injury caused by his or her conduct </w:t>
      </w:r>
    </w:p>
    <w:p w:rsidR="00174104" w:rsidRPr="0086587E" w:rsidRDefault="00174104" w:rsidP="000E6E67">
      <w:pPr>
        <w:pStyle w:val="ListParagraph"/>
        <w:numPr>
          <w:ilvl w:val="0"/>
          <w:numId w:val="4"/>
        </w:numPr>
        <w:spacing w:line="240" w:lineRule="auto"/>
        <w:jc w:val="both"/>
        <w:rPr>
          <w:rFonts w:ascii="Times New Roman" w:hAnsi="Times New Roman"/>
        </w:rPr>
      </w:pPr>
      <w:r w:rsidRPr="0086587E">
        <w:rPr>
          <w:rFonts w:ascii="Times New Roman" w:hAnsi="Times New Roman"/>
        </w:rPr>
        <w:t xml:space="preserve">Was caused to the attacker and not to any other innocent third party and </w:t>
      </w:r>
    </w:p>
    <w:p w:rsidR="009139B6" w:rsidRPr="0086587E" w:rsidRDefault="00174104" w:rsidP="000E6E67">
      <w:pPr>
        <w:pStyle w:val="ListParagraph"/>
        <w:numPr>
          <w:ilvl w:val="0"/>
          <w:numId w:val="4"/>
        </w:numPr>
        <w:spacing w:line="240" w:lineRule="auto"/>
        <w:jc w:val="both"/>
        <w:rPr>
          <w:rFonts w:ascii="Times New Roman" w:hAnsi="Times New Roman"/>
        </w:rPr>
      </w:pPr>
      <w:r w:rsidRPr="0086587E">
        <w:rPr>
          <w:rFonts w:ascii="Times New Roman" w:hAnsi="Times New Roman"/>
        </w:rPr>
        <w:t xml:space="preserve">Was not grossly disproportionate </w:t>
      </w:r>
      <w:r w:rsidR="009139B6" w:rsidRPr="0086587E">
        <w:rPr>
          <w:rFonts w:ascii="Times New Roman" w:hAnsi="Times New Roman"/>
        </w:rPr>
        <w:t>to that liable to be caused by the unlawful attack.</w:t>
      </w:r>
    </w:p>
    <w:p w:rsidR="009139B6" w:rsidRDefault="009139B6" w:rsidP="000E6E67">
      <w:pPr>
        <w:ind w:left="720"/>
        <w:jc w:val="both"/>
      </w:pPr>
      <w:r w:rsidRPr="0086587E">
        <w:rPr>
          <w:sz w:val="22"/>
          <w:szCs w:val="22"/>
        </w:rPr>
        <w:t>(2) In determining w</w:t>
      </w:r>
      <w:r w:rsidR="00E036C0">
        <w:rPr>
          <w:sz w:val="22"/>
          <w:szCs w:val="22"/>
        </w:rPr>
        <w:t>hether</w:t>
      </w:r>
      <w:r w:rsidRPr="0086587E">
        <w:rPr>
          <w:sz w:val="22"/>
          <w:szCs w:val="22"/>
        </w:rPr>
        <w:t xml:space="preserve"> or not the requirement specified in sub section (1) have been satisfied in any case a court shall take du</w:t>
      </w:r>
      <w:r w:rsidR="00E036C0">
        <w:rPr>
          <w:sz w:val="22"/>
          <w:szCs w:val="22"/>
        </w:rPr>
        <w:t>e</w:t>
      </w:r>
      <w:r w:rsidRPr="0086587E">
        <w:rPr>
          <w:sz w:val="22"/>
          <w:szCs w:val="22"/>
        </w:rPr>
        <w:t xml:space="preserve"> account of the circumstances in which the accused found himself or herself including any knowledge or capability he or she may have had and any stress or fear that may have been operating on him or her mind</w:t>
      </w:r>
      <w:r>
        <w:t>.”</w:t>
      </w:r>
    </w:p>
    <w:p w:rsidR="0086587E" w:rsidRDefault="0086587E" w:rsidP="000E6E67">
      <w:pPr>
        <w:ind w:left="720"/>
        <w:jc w:val="both"/>
      </w:pPr>
    </w:p>
    <w:p w:rsidR="00355EF2" w:rsidRDefault="009139B6" w:rsidP="000E6E67">
      <w:pPr>
        <w:spacing w:line="360" w:lineRule="auto"/>
        <w:ind w:firstLine="720"/>
        <w:jc w:val="both"/>
      </w:pPr>
      <w:r w:rsidRPr="009A135C">
        <w:rPr>
          <w:i/>
        </w:rPr>
        <w:t>In casu</w:t>
      </w:r>
      <w:r>
        <w:t xml:space="preserve"> when the deceased broke into Talent’s bedroom where accused was the deceased only threatened to assault the accused and not to kill </w:t>
      </w:r>
      <w:r w:rsidR="00E036C0">
        <w:t>him. The court</w:t>
      </w:r>
      <w:r>
        <w:t xml:space="preserve"> </w:t>
      </w:r>
      <w:r w:rsidR="00E036C0">
        <w:t xml:space="preserve">accepts </w:t>
      </w:r>
      <w:r>
        <w:t xml:space="preserve">the threat was of an unlawful attack for the purpose of s 253 (1) of the Criminal Law </w:t>
      </w:r>
      <w:r w:rsidR="00E036C0">
        <w:t>(Codification and</w:t>
      </w:r>
      <w:r>
        <w:t xml:space="preserve"> Reform</w:t>
      </w:r>
      <w:r w:rsidR="00E036C0">
        <w:t>)</w:t>
      </w:r>
      <w:r>
        <w:t xml:space="preserve"> Act aforesaid</w:t>
      </w:r>
      <w:r w:rsidR="00E036C0">
        <w:t xml:space="preserve"> and that it (the threat)</w:t>
      </w:r>
      <w:r>
        <w:t xml:space="preserve"> had commenced or was imminent. </w:t>
      </w:r>
      <w:r w:rsidR="00E036C0">
        <w:t>Having accepted that the unlawful attack had commenced the next inquiry</w:t>
      </w:r>
      <w:r w:rsidR="00024935">
        <w:t xml:space="preserve"> is</w:t>
      </w:r>
      <w:r w:rsidR="00A069BB">
        <w:t>/</w:t>
      </w:r>
      <w:r w:rsidR="00E036C0">
        <w:t>w</w:t>
      </w:r>
      <w:r>
        <w:t xml:space="preserve">as accused’s conduct necessary to avert the unlawful attack </w:t>
      </w:r>
      <w:r w:rsidR="00024935">
        <w:t xml:space="preserve">and </w:t>
      </w:r>
      <w:r>
        <w:t xml:space="preserve">could the accused not otherwise escape from or avert the attack </w:t>
      </w:r>
      <w:r w:rsidR="00E036C0">
        <w:t>and</w:t>
      </w:r>
      <w:r>
        <w:t xml:space="preserve"> did the accused believe on reasonable grounds that his conduct was necessary to avert the unlawful attack and </w:t>
      </w:r>
      <w:r w:rsidR="00024935">
        <w:t xml:space="preserve">could he </w:t>
      </w:r>
      <w:r>
        <w:t xml:space="preserve">not </w:t>
      </w:r>
      <w:r w:rsidR="00355EF2">
        <w:t>otherwise escape from or avert the attack</w:t>
      </w:r>
      <w:r w:rsidR="00024935">
        <w:t>?</w:t>
      </w:r>
      <w:r w:rsidR="00355EF2">
        <w:t xml:space="preserve"> Considering that Talent managed to escape no explanation has been advanced why accused could not similarly escape</w:t>
      </w:r>
      <w:r w:rsidR="00FB1D4C">
        <w:t>. B</w:t>
      </w:r>
      <w:r w:rsidR="00355EF2">
        <w:t>esides no evidence</w:t>
      </w:r>
      <w:r w:rsidR="00FB1D4C">
        <w:t xml:space="preserve"> independently exists</w:t>
      </w:r>
      <w:r w:rsidR="00355EF2">
        <w:t xml:space="preserve"> or was</w:t>
      </w:r>
      <w:r w:rsidR="00FB1D4C">
        <w:t xml:space="preserve"> led</w:t>
      </w:r>
      <w:r w:rsidR="00355EF2">
        <w:t xml:space="preserve"> </w:t>
      </w:r>
      <w:r w:rsidR="00024935">
        <w:t xml:space="preserve">to </w:t>
      </w:r>
      <w:r w:rsidR="00355EF2">
        <w:t>establish</w:t>
      </w:r>
      <w:r w:rsidR="00FB1D4C">
        <w:t xml:space="preserve"> </w:t>
      </w:r>
      <w:r w:rsidR="00355EF2">
        <w:t>that the deceased was armed with a lethal weapon</w:t>
      </w:r>
      <w:r w:rsidR="00FB1D4C">
        <w:t>. N</w:t>
      </w:r>
      <w:r w:rsidR="00355EF2">
        <w:t xml:space="preserve">o justifiable reason </w:t>
      </w:r>
      <w:r w:rsidR="00F74699">
        <w:t>exists or</w:t>
      </w:r>
      <w:r w:rsidR="00F42FEE">
        <w:t xml:space="preserve"> was given to </w:t>
      </w:r>
      <w:r w:rsidR="00355EF2">
        <w:t>justify the accused axing the deceased on the head which clearly was an act with fores</w:t>
      </w:r>
      <w:r w:rsidR="00FB1D4C">
        <w:t xml:space="preserve">eeable </w:t>
      </w:r>
      <w:r w:rsidR="00FB1D4C">
        <w:lastRenderedPageBreak/>
        <w:t>consequences of death. As</w:t>
      </w:r>
      <w:r w:rsidR="00355EF2">
        <w:t xml:space="preserve"> death was foreseeable it can scarcely be argued that killing the deceased was not grossly disproportionate to the threat of assault.</w:t>
      </w:r>
    </w:p>
    <w:p w:rsidR="00355EF2" w:rsidRDefault="00355EF2" w:rsidP="000E6E67">
      <w:pPr>
        <w:spacing w:line="360" w:lineRule="auto"/>
        <w:ind w:firstLine="720"/>
        <w:jc w:val="both"/>
      </w:pPr>
      <w:r>
        <w:t>Accused never considered the possibility of escaping from the unlawful or averting the attack.</w:t>
      </w:r>
    </w:p>
    <w:p w:rsidR="00BA2367" w:rsidRDefault="00355EF2" w:rsidP="000E6E67">
      <w:pPr>
        <w:spacing w:line="360" w:lineRule="auto"/>
        <w:ind w:firstLine="720"/>
        <w:jc w:val="both"/>
      </w:pPr>
      <w:r>
        <w:t xml:space="preserve">It is accordingly the finding of this court that accused’s conduct was grossly disproportionate to that liable to be caused by the unlawful attack. The </w:t>
      </w:r>
      <w:r w:rsidR="00FB1D4C">
        <w:t xml:space="preserve">accused </w:t>
      </w:r>
      <w:r w:rsidR="00BD5F8B">
        <w:t>ought not to</w:t>
      </w:r>
      <w:r>
        <w:t xml:space="preserve"> have directed his blow to the vulnerable part of the human </w:t>
      </w:r>
      <w:r w:rsidR="00FB1D4C">
        <w:t>anatomy</w:t>
      </w:r>
      <w:r>
        <w:t xml:space="preserve"> where loss of life was the most probable consequence</w:t>
      </w:r>
      <w:r w:rsidR="00FB1D4C">
        <w:t>.</w:t>
      </w:r>
      <w:r>
        <w:t xml:space="preserve"> </w:t>
      </w:r>
      <w:r w:rsidR="00FB1D4C">
        <w:t>He could easily have targeted</w:t>
      </w:r>
      <w:r>
        <w:t xml:space="preserve"> other parts of the lower anatomy like </w:t>
      </w:r>
      <w:r w:rsidR="00BA2367">
        <w:t>the legs in order to immobilize the attacker</w:t>
      </w:r>
      <w:r w:rsidR="004B51BD">
        <w:t xml:space="preserve"> to enable him to escape</w:t>
      </w:r>
      <w:r w:rsidR="00BA2367">
        <w:t xml:space="preserve"> alternatively he should have avoided using the axe and instead use the axe handle.</w:t>
      </w:r>
    </w:p>
    <w:p w:rsidR="00BA2367" w:rsidRDefault="00BA2367" w:rsidP="000E6E67">
      <w:pPr>
        <w:spacing w:line="360" w:lineRule="auto"/>
        <w:ind w:firstLine="720"/>
        <w:jc w:val="both"/>
      </w:pPr>
      <w:r>
        <w:t xml:space="preserve">It is therefore this court’s considered view that the accused in all the circumstances exceeded the boundaries of self defence. In the circumstances and regard being had to s 254 </w:t>
      </w:r>
      <w:r w:rsidR="004B0A57">
        <w:t xml:space="preserve">of the Code </w:t>
      </w:r>
      <w:r>
        <w:t xml:space="preserve">the means accused </w:t>
      </w:r>
      <w:r w:rsidR="004B51BD">
        <w:t xml:space="preserve">used </w:t>
      </w:r>
      <w:r>
        <w:t>to avert the unlawful attack were not reasonable in all the circumstances.</w:t>
      </w:r>
    </w:p>
    <w:p w:rsidR="00CA3832" w:rsidRDefault="00BA2367" w:rsidP="000E6E67">
      <w:pPr>
        <w:spacing w:line="360" w:lineRule="auto"/>
        <w:ind w:firstLine="720"/>
        <w:jc w:val="both"/>
      </w:pPr>
      <w:r>
        <w:t>Accused is accordingly found guilty of Culpable Homicide</w:t>
      </w:r>
      <w:r w:rsidR="00F74699">
        <w:t xml:space="preserve"> and is </w:t>
      </w:r>
      <w:r w:rsidR="006C4193">
        <w:t>acquitted of</w:t>
      </w:r>
      <w:r w:rsidR="00A069BB">
        <w:t xml:space="preserve"> </w:t>
      </w:r>
      <w:r w:rsidR="00AC42ED">
        <w:t>murder</w:t>
      </w:r>
      <w:r>
        <w:t xml:space="preserve">. </w:t>
      </w:r>
      <w:r w:rsidR="00355EF2">
        <w:t xml:space="preserve"> </w:t>
      </w:r>
      <w:r w:rsidR="009139B6">
        <w:t xml:space="preserve"> </w:t>
      </w:r>
    </w:p>
    <w:p w:rsidR="00CA3832" w:rsidRDefault="004B0A57" w:rsidP="000E6E67">
      <w:pPr>
        <w:spacing w:line="360" w:lineRule="auto"/>
        <w:jc w:val="both"/>
      </w:pPr>
      <w:r>
        <w:t xml:space="preserve">Although the convicted person </w:t>
      </w:r>
      <w:r w:rsidR="00BD6226">
        <w:t>was charged with murder as defined in section 47(1) of the Criminal Law (Codification and Reform) Act [</w:t>
      </w:r>
      <w:r w:rsidR="00BD6226" w:rsidRPr="004B0A57">
        <w:rPr>
          <w:i/>
        </w:rPr>
        <w:t>Chapter 9:23</w:t>
      </w:r>
      <w:r w:rsidR="00BD6226">
        <w:t xml:space="preserve">] </w:t>
      </w:r>
      <w:r>
        <w:t>he has been</w:t>
      </w:r>
      <w:r w:rsidR="00BD6226">
        <w:t xml:space="preserve"> convicted of culpable homicide as defined in section 49(a) of the said Code. The court found that alt</w:t>
      </w:r>
      <w:r>
        <w:t>hough the convicted person was e</w:t>
      </w:r>
      <w:r w:rsidR="00BD6226">
        <w:t>ntitled</w:t>
      </w:r>
      <w:r w:rsidR="008F300E">
        <w:t xml:space="preserve"> to defend </w:t>
      </w:r>
      <w:r w:rsidR="00BD6226">
        <w:t xml:space="preserve">himself from an </w:t>
      </w:r>
      <w:r>
        <w:t>unlawful</w:t>
      </w:r>
      <w:r w:rsidR="00BD6226">
        <w:t xml:space="preserve"> attack by the deceased the means he used to avert the unlawful attack were not reasonable </w:t>
      </w:r>
      <w:r w:rsidR="008F300E">
        <w:t>in the circumstances as he used an axe (a dangerous weapon) which he aimed at a vulnerable pa</w:t>
      </w:r>
      <w:r w:rsidR="00AC42ED">
        <w:t>r</w:t>
      </w:r>
      <w:r w:rsidR="008F300E">
        <w:t>t of the body (the head)</w:t>
      </w:r>
      <w:r w:rsidR="00262263">
        <w:t>.</w:t>
      </w:r>
    </w:p>
    <w:p w:rsidR="00262263" w:rsidRDefault="00262263" w:rsidP="000E6E67">
      <w:pPr>
        <w:spacing w:line="360" w:lineRule="auto"/>
        <w:jc w:val="both"/>
      </w:pPr>
      <w:r>
        <w:t xml:space="preserve">The court also </w:t>
      </w:r>
      <w:r w:rsidR="004B0A57">
        <w:t>foun</w:t>
      </w:r>
      <w:r>
        <w:t xml:space="preserve">d that (the convicted person did not attempt to escape yet Talent this woman over whom deceased and the convicted person were </w:t>
      </w:r>
      <w:r w:rsidR="004B0A57">
        <w:t>fighting</w:t>
      </w:r>
      <w:r>
        <w:t xml:space="preserve"> over) had successfully escaped from the room.</w:t>
      </w:r>
    </w:p>
    <w:p w:rsidR="000E6E67" w:rsidRDefault="00262263" w:rsidP="000E6E67">
      <w:pPr>
        <w:spacing w:line="360" w:lineRule="auto"/>
        <w:ind w:firstLine="720"/>
        <w:jc w:val="both"/>
      </w:pPr>
      <w:r>
        <w:t>The deceased in a sense was the aggressor in that he sought to attack another man whom he</w:t>
      </w:r>
      <w:r w:rsidR="00CA357E">
        <w:t xml:space="preserve"> </w:t>
      </w:r>
      <w:r>
        <w:t>knew</w:t>
      </w:r>
      <w:r w:rsidR="00CA357E">
        <w:t xml:space="preserve"> was being entertained by his erst</w:t>
      </w:r>
      <w:r w:rsidR="000E6E67">
        <w:t>while girlfriend</w:t>
      </w:r>
      <w:r w:rsidR="00FD60DD">
        <w:t xml:space="preserve"> </w:t>
      </w:r>
      <w:r w:rsidR="000E6E67">
        <w:t>in (order to patronise the woman).  It is unfortunate that two mature men were prepared to fight over a woman in these days of the HIV and AIDS scourge when their discovery that a girlfriend was not faithful would have been a blessing in disguise as that should have presented an opportunity to protect oneself from the risk of HIV infection by immediately putting an end to the relationship with the unfaithful woman. Instead of doing the right thing</w:t>
      </w:r>
      <w:r w:rsidR="000E6E67" w:rsidRPr="000E6E67">
        <w:t xml:space="preserve"> </w:t>
      </w:r>
      <w:r w:rsidR="000E6E67">
        <w:t xml:space="preserve">both men (deceased and the now convicted person) stubbornly stuck to their </w:t>
      </w:r>
      <w:r w:rsidR="000E6E67">
        <w:rPr>
          <w:i/>
        </w:rPr>
        <w:t>gun</w:t>
      </w:r>
      <w:r w:rsidR="000E6E67" w:rsidRPr="00B96324">
        <w:rPr>
          <w:i/>
        </w:rPr>
        <w:t>s</w:t>
      </w:r>
      <w:r w:rsidR="000E6E67">
        <w:t xml:space="preserve"> at the risk to life and </w:t>
      </w:r>
      <w:r w:rsidR="000E6E67">
        <w:rPr>
          <w:i/>
        </w:rPr>
        <w:t>lim</w:t>
      </w:r>
      <w:r w:rsidR="000E6E67" w:rsidRPr="00B96324">
        <w:rPr>
          <w:i/>
        </w:rPr>
        <w:t>b</w:t>
      </w:r>
    </w:p>
    <w:p w:rsidR="00DD00D8" w:rsidRDefault="000E6E67" w:rsidP="000E6E67">
      <w:pPr>
        <w:spacing w:line="360" w:lineRule="auto"/>
        <w:ind w:firstLine="720"/>
        <w:jc w:val="both"/>
      </w:pPr>
      <w:r>
        <w:lastRenderedPageBreak/>
        <w:t xml:space="preserve"> </w:t>
      </w:r>
      <w:r w:rsidR="00FD60DD">
        <w:t xml:space="preserve">                                                                                                                                                                                                                                                                                                                                                                                                                                                                                                                                                                                                                                                                    </w:t>
      </w:r>
      <w:r>
        <w:t xml:space="preserve">                          </w:t>
      </w:r>
      <w:r w:rsidR="00883D5F">
        <w:tab/>
      </w:r>
      <w:r w:rsidR="00DD00D8">
        <w:t xml:space="preserve">The court has a duty to protect every </w:t>
      </w:r>
      <w:r w:rsidR="00197CAE">
        <w:t>person‘s</w:t>
      </w:r>
      <w:r w:rsidR="00DD00D8">
        <w:t xml:space="preserve"> right t</w:t>
      </w:r>
      <w:r w:rsidR="00197CAE">
        <w:t>o</w:t>
      </w:r>
      <w:r w:rsidR="00DD00D8">
        <w:t xml:space="preserve"> life</w:t>
      </w:r>
      <w:r w:rsidR="00A069BB">
        <w:t xml:space="preserve"> </w:t>
      </w:r>
      <w:r w:rsidR="00197CAE">
        <w:t xml:space="preserve">which right is </w:t>
      </w:r>
      <w:r w:rsidR="00DC28A4">
        <w:t>sacrosanct</w:t>
      </w:r>
      <w:r w:rsidR="00197CAE">
        <w:t xml:space="preserve"> </w:t>
      </w:r>
      <w:r w:rsidR="00AC42ED">
        <w:t>as envisaged</w:t>
      </w:r>
      <w:r w:rsidR="003F741B">
        <w:t xml:space="preserve"> Section</w:t>
      </w:r>
      <w:r w:rsidR="00197CAE">
        <w:t xml:space="preserve"> 48(1) of the Constitution of this country. The deceased’s life was needlessly lost in this </w:t>
      </w:r>
      <w:r w:rsidR="00AC42ED">
        <w:t>case</w:t>
      </w:r>
      <w:r w:rsidR="00197CAE">
        <w:t>. Wh</w:t>
      </w:r>
      <w:r w:rsidR="00B96324">
        <w:t>ile</w:t>
      </w:r>
      <w:r w:rsidR="00197CAE">
        <w:t xml:space="preserve"> the convicted person by </w:t>
      </w:r>
      <w:r w:rsidR="00843F08">
        <w:t xml:space="preserve">committing the offence </w:t>
      </w:r>
      <w:r w:rsidR="00A069BB">
        <w:t>(</w:t>
      </w:r>
      <w:r w:rsidR="00843F08">
        <w:t xml:space="preserve">he </w:t>
      </w:r>
      <w:r w:rsidR="00B96324">
        <w:t>sta</w:t>
      </w:r>
      <w:r w:rsidR="00843F08">
        <w:t>nds co</w:t>
      </w:r>
      <w:r w:rsidR="00AC42ED">
        <w:t>nvict</w:t>
      </w:r>
      <w:r w:rsidR="00843F08">
        <w:t>ed of) has exposed his</w:t>
      </w:r>
      <w:r w:rsidR="00FB1AE5">
        <w:t xml:space="preserve"> dependa</w:t>
      </w:r>
      <w:r w:rsidR="00A069BB">
        <w:t>nts</w:t>
      </w:r>
      <w:r w:rsidR="00607A15">
        <w:t xml:space="preserve"> that is,</w:t>
      </w:r>
      <w:r w:rsidR="00843F08">
        <w:t xml:space="preserve"> minor children and</w:t>
      </w:r>
      <w:r w:rsidR="00A069BB">
        <w:t xml:space="preserve"> his own</w:t>
      </w:r>
      <w:r w:rsidR="00843F08">
        <w:t xml:space="preserve"> widowed mother to unnecessary hardship </w:t>
      </w:r>
      <w:r w:rsidR="006D11BE">
        <w:t>as</w:t>
      </w:r>
      <w:r w:rsidR="00843F08">
        <w:t xml:space="preserve"> he was their bread winner </w:t>
      </w:r>
      <w:r w:rsidR="006D11BE">
        <w:t xml:space="preserve">when he </w:t>
      </w:r>
      <w:r w:rsidR="00843F08">
        <w:t xml:space="preserve">is taken away from them through a sentence of imprisonment the deceased’s dependents have </w:t>
      </w:r>
      <w:r w:rsidR="00AC0B4A">
        <w:t>similarly</w:t>
      </w:r>
      <w:r w:rsidR="00843F08">
        <w:t xml:space="preserve"> been deprived of their</w:t>
      </w:r>
      <w:r w:rsidR="00AC42ED">
        <w:t xml:space="preserve"> sale</w:t>
      </w:r>
      <w:r w:rsidR="00843F08">
        <w:t xml:space="preserve"> provider by the offender. In this matter the court has to carefully balance the interests of the society which has </w:t>
      </w:r>
      <w:r w:rsidR="006D11BE">
        <w:t>wrongfully</w:t>
      </w:r>
      <w:r w:rsidR="00843F08">
        <w:t xml:space="preserve"> been deprived of its </w:t>
      </w:r>
      <w:r w:rsidR="00AC0B4A">
        <w:t xml:space="preserve">member and those of the offender who must content with punishment when he would have considered himself </w:t>
      </w:r>
      <w:r w:rsidR="006D11BE">
        <w:t>entitled to</w:t>
      </w:r>
      <w:r w:rsidR="00AC0B4A">
        <w:t xml:space="preserve"> protect himself from the unlawful threat posed by the deceased. It is a universal principle of sentencing that the punishment should as far as possible fit both the crime and the </w:t>
      </w:r>
      <w:r w:rsidR="00AC42ED">
        <w:t>offender</w:t>
      </w:r>
      <w:r w:rsidR="00AC0B4A">
        <w:t xml:space="preserve"> taking into account the injured </w:t>
      </w:r>
      <w:r w:rsidR="0045209B">
        <w:t>societal interests. Indeed every punishment should re</w:t>
      </w:r>
      <w:r w:rsidR="006D11BE">
        <w:t>flect</w:t>
      </w:r>
      <w:r w:rsidR="0045209B">
        <w:t xml:space="preserve"> a measure of mercy on the part of court when all circumstances are taken into account.</w:t>
      </w:r>
    </w:p>
    <w:p w:rsidR="00D7722D" w:rsidRDefault="00D7722D" w:rsidP="000E6E67">
      <w:pPr>
        <w:spacing w:line="360" w:lineRule="auto"/>
        <w:ind w:firstLine="720"/>
        <w:jc w:val="both"/>
      </w:pPr>
      <w:r>
        <w:t xml:space="preserve">The </w:t>
      </w:r>
      <w:r w:rsidR="003F741B">
        <w:t>offender</w:t>
      </w:r>
      <w:r>
        <w:t xml:space="preserve"> is in the class of youthful offenders as he was 28 years of age at the time of commission of the offence. The court find</w:t>
      </w:r>
      <w:r w:rsidR="006D11BE">
        <w:t>s</w:t>
      </w:r>
      <w:r>
        <w:t xml:space="preserve"> itself in complete agreement with defence counsel</w:t>
      </w:r>
      <w:r w:rsidR="00AC42ED">
        <w:t>’s</w:t>
      </w:r>
      <w:r>
        <w:t xml:space="preserve"> submission that the offence was not pre-planned. This is eviden</w:t>
      </w:r>
      <w:r w:rsidR="006D11BE">
        <w:t>t</w:t>
      </w:r>
      <w:r>
        <w:t xml:space="preserve"> from the fact that as</w:t>
      </w:r>
      <w:r w:rsidR="00465A2C">
        <w:t xml:space="preserve"> </w:t>
      </w:r>
      <w:r w:rsidR="006D11BE">
        <w:t>soon</w:t>
      </w:r>
      <w:r w:rsidR="00465A2C">
        <w:t xml:space="preserve"> as deceased </w:t>
      </w:r>
      <w:r>
        <w:t xml:space="preserve">arrived at Talent’s bedroom demanding entry </w:t>
      </w:r>
      <w:r w:rsidR="006D11BE">
        <w:t xml:space="preserve">both Talent and </w:t>
      </w:r>
      <w:r>
        <w:t xml:space="preserve">the offender made an effort to keep the </w:t>
      </w:r>
      <w:r w:rsidR="00465A2C">
        <w:t>deceased</w:t>
      </w:r>
      <w:r>
        <w:t xml:space="preserve"> out by resisting the deceased’</w:t>
      </w:r>
      <w:r w:rsidR="00465A2C">
        <w:t xml:space="preserve">s forceful </w:t>
      </w:r>
      <w:r>
        <w:t xml:space="preserve">attempts to push open the door in the hope the door would remain closed and prevent deceased from entering the </w:t>
      </w:r>
      <w:r w:rsidR="00465A2C">
        <w:t>room where</w:t>
      </w:r>
      <w:r>
        <w:t xml:space="preserve"> the offen</w:t>
      </w:r>
      <w:r w:rsidR="00465A2C">
        <w:t>der and Talent had been sleeping. Even though the offender was entitled at law</w:t>
      </w:r>
      <w:r>
        <w:t xml:space="preserve"> </w:t>
      </w:r>
      <w:r w:rsidR="00465A2C">
        <w:t xml:space="preserve">to defend himself </w:t>
      </w:r>
      <w:r w:rsidR="00B74184">
        <w:t xml:space="preserve">the court does not loose sight of the fact that deceased was not </w:t>
      </w:r>
      <w:r w:rsidR="00DC28A4">
        <w:t>armed</w:t>
      </w:r>
      <w:r w:rsidR="00B74184">
        <w:t xml:space="preserve"> It </w:t>
      </w:r>
      <w:r w:rsidR="006D11BE">
        <w:t>will</w:t>
      </w:r>
      <w:r w:rsidR="00B74184">
        <w:t xml:space="preserve"> be assumed in </w:t>
      </w:r>
      <w:r w:rsidR="006D11BE">
        <w:t>the offenders favour that he</w:t>
      </w:r>
      <w:r w:rsidR="00B74184">
        <w:t xml:space="preserve"> would not have been able to tell whether the deceased</w:t>
      </w:r>
      <w:r w:rsidR="00607A15">
        <w:t xml:space="preserve"> was a</w:t>
      </w:r>
      <w:r w:rsidR="00DC28A4">
        <w:t>rmed</w:t>
      </w:r>
      <w:r w:rsidR="00607A15">
        <w:t xml:space="preserve"> o</w:t>
      </w:r>
      <w:r w:rsidR="00B74184">
        <w:t>r not and if so with what k</w:t>
      </w:r>
      <w:r w:rsidR="00FD2ACE">
        <w:t>ind of weapon. However the fact</w:t>
      </w:r>
      <w:r w:rsidR="00B74184">
        <w:t xml:space="preserve"> that the offender would have been pre-occupied with </w:t>
      </w:r>
      <w:r w:rsidR="00607A15">
        <w:t>his own defence cannot avail him much given that the deceased thr</w:t>
      </w:r>
      <w:r w:rsidR="00AC42ED">
        <w:t>eatened to beat up the offender</w:t>
      </w:r>
      <w:r w:rsidR="00607A15">
        <w:t xml:space="preserve"> and not to kill him. </w:t>
      </w:r>
      <w:r w:rsidR="00FD2ACE">
        <w:t>In</w:t>
      </w:r>
      <w:r w:rsidR="00607A15">
        <w:t xml:space="preserve"> </w:t>
      </w:r>
      <w:r w:rsidR="00AC42ED">
        <w:t>his</w:t>
      </w:r>
      <w:r w:rsidR="00607A15">
        <w:t xml:space="preserve"> w</w:t>
      </w:r>
      <w:r w:rsidR="00FD2ACE">
        <w:t>arned and caution</w:t>
      </w:r>
      <w:r w:rsidR="00607A15">
        <w:t xml:space="preserve">ed </w:t>
      </w:r>
      <w:r w:rsidR="00FD2ACE">
        <w:t xml:space="preserve">statement </w:t>
      </w:r>
      <w:r w:rsidR="00AC42ED">
        <w:t>t</w:t>
      </w:r>
      <w:r w:rsidR="00FD2ACE">
        <w:t>he</w:t>
      </w:r>
      <w:r w:rsidR="00AC42ED">
        <w:t xml:space="preserve"> offender</w:t>
      </w:r>
      <w:r w:rsidR="00FD2ACE">
        <w:t xml:space="preserve"> says</w:t>
      </w:r>
      <w:r w:rsidR="00607A15">
        <w:t>:</w:t>
      </w:r>
    </w:p>
    <w:p w:rsidR="00607A15" w:rsidRDefault="00607A15" w:rsidP="000E6E67">
      <w:pPr>
        <w:spacing w:line="360" w:lineRule="auto"/>
        <w:ind w:firstLine="720"/>
        <w:jc w:val="both"/>
      </w:pPr>
      <w:r>
        <w:t>“</w:t>
      </w:r>
      <w:r w:rsidR="003F741B">
        <w:rPr>
          <w:sz w:val="22"/>
          <w:szCs w:val="22"/>
        </w:rPr>
        <w:t>T</w:t>
      </w:r>
      <w:r w:rsidRPr="006B0C48">
        <w:rPr>
          <w:sz w:val="22"/>
          <w:szCs w:val="22"/>
        </w:rPr>
        <w:t>he moment he stepped inside the hut, I then struck him once on the head with an axe</w:t>
      </w:r>
      <w:r>
        <w:t>”</w:t>
      </w:r>
    </w:p>
    <w:p w:rsidR="00607A15" w:rsidRDefault="00607A15" w:rsidP="000E6E67">
      <w:pPr>
        <w:spacing w:line="360" w:lineRule="auto"/>
        <w:ind w:firstLine="720"/>
        <w:jc w:val="both"/>
      </w:pPr>
      <w:r>
        <w:t xml:space="preserve">Clearly the offender did not observe any lethal weapon in </w:t>
      </w:r>
      <w:r w:rsidR="00FD2ACE">
        <w:t>the deceased’s</w:t>
      </w:r>
      <w:r>
        <w:t xml:space="preserve"> possession which would have justified </w:t>
      </w:r>
      <w:r w:rsidR="00AC42ED">
        <w:t>his</w:t>
      </w:r>
      <w:r>
        <w:t xml:space="preserve"> </w:t>
      </w:r>
      <w:r w:rsidR="00FD2ACE">
        <w:t>u</w:t>
      </w:r>
      <w:r>
        <w:t xml:space="preserve">se of the lethal weapon </w:t>
      </w:r>
      <w:r w:rsidR="00FD2ACE">
        <w:t>(</w:t>
      </w:r>
      <w:r>
        <w:t>the axe</w:t>
      </w:r>
      <w:r w:rsidR="00FD2ACE">
        <w:t>)</w:t>
      </w:r>
      <w:r>
        <w:t xml:space="preserve"> </w:t>
      </w:r>
      <w:r w:rsidR="005269B9">
        <w:t xml:space="preserve"> directing the blow to deceased’s head which as indicated</w:t>
      </w:r>
      <w:r>
        <w:t xml:space="preserve"> herein above is </w:t>
      </w:r>
      <w:r w:rsidR="005269B9">
        <w:t>regrettably a vulnerable</w:t>
      </w:r>
      <w:r>
        <w:t xml:space="preserve"> part of the human </w:t>
      </w:r>
      <w:r w:rsidR="006B0C48">
        <w:t>anatomy</w:t>
      </w:r>
      <w:r w:rsidR="005269B9">
        <w:t>.</w:t>
      </w:r>
    </w:p>
    <w:p w:rsidR="006B0C48" w:rsidRDefault="005269B9" w:rsidP="000E6E67">
      <w:pPr>
        <w:spacing w:line="360" w:lineRule="auto"/>
        <w:ind w:firstLine="720"/>
        <w:jc w:val="both"/>
      </w:pPr>
      <w:r>
        <w:lastRenderedPageBreak/>
        <w:t>The S</w:t>
      </w:r>
      <w:r w:rsidR="00607A15">
        <w:t xml:space="preserve">tate considered it aggravating that the </w:t>
      </w:r>
      <w:r w:rsidR="006B0C48">
        <w:t>offender cause</w:t>
      </w:r>
      <w:r w:rsidR="00FD2ACE">
        <w:t>d</w:t>
      </w:r>
      <w:r>
        <w:t xml:space="preserve"> a los</w:t>
      </w:r>
      <w:r w:rsidR="00FD2ACE">
        <w:t>s</w:t>
      </w:r>
      <w:r w:rsidR="006B0C48">
        <w:t xml:space="preserve"> of human life and indicated a sentence of 20 years imprisonment. In the circumstances of this case the sentence </w:t>
      </w:r>
      <w:r>
        <w:t>urged upon by the S</w:t>
      </w:r>
      <w:r w:rsidR="006B0C48">
        <w:t>tate would</w:t>
      </w:r>
      <w:r w:rsidR="00FB1AE5">
        <w:t xml:space="preserve"> in our vi</w:t>
      </w:r>
      <w:r>
        <w:t>ew</w:t>
      </w:r>
      <w:r w:rsidR="006B0C48">
        <w:t xml:space="preserve"> be unduly harsh and would have the effect of breaking the offender. Although the defence </w:t>
      </w:r>
      <w:r w:rsidR="002A4E65">
        <w:t xml:space="preserve">counsel </w:t>
      </w:r>
      <w:r w:rsidR="006B0C48">
        <w:t xml:space="preserve">did not indicate the type of sentence that </w:t>
      </w:r>
      <w:r>
        <w:t>it</w:t>
      </w:r>
      <w:r w:rsidR="00BC07CB">
        <w:t xml:space="preserve"> con</w:t>
      </w:r>
      <w:r w:rsidR="002A4E65">
        <w:t>sider</w:t>
      </w:r>
      <w:r w:rsidR="00BC07CB">
        <w:t>ed</w:t>
      </w:r>
      <w:r w:rsidR="006B0C48">
        <w:t xml:space="preserve"> appropriate</w:t>
      </w:r>
      <w:r w:rsidR="00BC07CB">
        <w:t xml:space="preserve"> it is the court’s view that</w:t>
      </w:r>
      <w:r w:rsidR="006B0C48">
        <w:t xml:space="preserve"> any sentence other than an effective imprisonment would be inappropriate and a</w:t>
      </w:r>
      <w:r w:rsidR="00DC28A4">
        <w:t xml:space="preserve"> travesty of</w:t>
      </w:r>
      <w:r w:rsidR="006B0C48">
        <w:t xml:space="preserve"> justice.</w:t>
      </w:r>
    </w:p>
    <w:p w:rsidR="00AD25D4" w:rsidRDefault="006B0C48" w:rsidP="000E6E67">
      <w:pPr>
        <w:spacing w:line="360" w:lineRule="auto"/>
        <w:ind w:firstLine="720"/>
        <w:jc w:val="both"/>
      </w:pPr>
      <w:r>
        <w:t xml:space="preserve">The message must be sent in the clearest of terms </w:t>
      </w:r>
      <w:r w:rsidR="00AD25D4">
        <w:t>that human</w:t>
      </w:r>
      <w:r>
        <w:t xml:space="preserve"> life is </w:t>
      </w:r>
      <w:r w:rsidR="003F741B">
        <w:t>sacrosanct</w:t>
      </w:r>
      <w:r w:rsidR="00B05110">
        <w:t xml:space="preserve"> and the courts will jealously guard against its </w:t>
      </w:r>
      <w:r w:rsidR="00AD25D4">
        <w:t>unjustified loss</w:t>
      </w:r>
      <w:r w:rsidR="00B05110">
        <w:t>. In assessing an appropriate sentence in this case the c</w:t>
      </w:r>
      <w:r w:rsidR="00FD2ACE">
        <w:t>ourt</w:t>
      </w:r>
      <w:r w:rsidR="00B05110">
        <w:t xml:space="preserve"> has been guided by the</w:t>
      </w:r>
      <w:r w:rsidR="00AD25D4">
        <w:t xml:space="preserve"> case of the </w:t>
      </w:r>
      <w:r w:rsidR="00AD25D4" w:rsidRPr="00FD2ACE">
        <w:rPr>
          <w:i/>
        </w:rPr>
        <w:t>State</w:t>
      </w:r>
      <w:r w:rsidR="00AD25D4">
        <w:t xml:space="preserve"> v </w:t>
      </w:r>
      <w:r w:rsidR="00AD25D4" w:rsidRPr="00FD2ACE">
        <w:rPr>
          <w:i/>
        </w:rPr>
        <w:t>Innocent Shongani Mutayi</w:t>
      </w:r>
      <w:r w:rsidR="00FD2ACE">
        <w:t xml:space="preserve"> </w:t>
      </w:r>
      <w:r w:rsidR="00FD2ACE" w:rsidRPr="00FD2ACE">
        <w:rPr>
          <w:i/>
        </w:rPr>
        <w:t>HM</w:t>
      </w:r>
      <w:r w:rsidR="00AD25D4" w:rsidRPr="00FD2ACE">
        <w:rPr>
          <w:i/>
        </w:rPr>
        <w:t xml:space="preserve">T </w:t>
      </w:r>
      <w:r w:rsidR="00AD25D4">
        <w:t>2/18</w:t>
      </w:r>
      <w:r w:rsidR="00FD2ACE">
        <w:t xml:space="preserve"> </w:t>
      </w:r>
      <w:r w:rsidR="00AD25D4">
        <w:t xml:space="preserve">a judgment </w:t>
      </w:r>
      <w:r w:rsidR="00FD2ACE">
        <w:t xml:space="preserve">of </w:t>
      </w:r>
      <w:r w:rsidR="00AD25D4" w:rsidRPr="003F741B">
        <w:rPr>
          <w:smallCaps/>
        </w:rPr>
        <w:t>Mwayera</w:t>
      </w:r>
      <w:r w:rsidR="00AD25D4">
        <w:t xml:space="preserve"> J </w:t>
      </w:r>
      <w:r w:rsidR="004A6ED0">
        <w:t xml:space="preserve">as she then was and </w:t>
      </w:r>
      <w:r w:rsidR="00FD2ACE">
        <w:t>fin</w:t>
      </w:r>
      <w:r w:rsidR="00603E1B">
        <w:t>d</w:t>
      </w:r>
      <w:r w:rsidR="00FD2ACE">
        <w:t>s</w:t>
      </w:r>
      <w:r w:rsidR="00AD25D4">
        <w:t xml:space="preserve"> that a short </w:t>
      </w:r>
      <w:r w:rsidR="00603E1B">
        <w:t>im</w:t>
      </w:r>
      <w:r w:rsidR="00AD25D4">
        <w:t>prison</w:t>
      </w:r>
      <w:r w:rsidR="00603E1B">
        <w:t>ment</w:t>
      </w:r>
      <w:r w:rsidR="00AD25D4">
        <w:t xml:space="preserve"> sentence would meet the justice of the case.</w:t>
      </w:r>
    </w:p>
    <w:p w:rsidR="00A36232" w:rsidRDefault="00AD25D4" w:rsidP="000E6E67">
      <w:pPr>
        <w:spacing w:line="360" w:lineRule="auto"/>
        <w:ind w:firstLine="720"/>
        <w:jc w:val="both"/>
      </w:pPr>
      <w:r>
        <w:t>The offender is accordingly sentenced as follows:-</w:t>
      </w:r>
    </w:p>
    <w:p w:rsidR="00607A15" w:rsidRDefault="00AD25D4" w:rsidP="000E6E67">
      <w:pPr>
        <w:spacing w:line="360" w:lineRule="auto"/>
        <w:ind w:firstLine="720"/>
        <w:jc w:val="both"/>
      </w:pPr>
      <w:r>
        <w:t xml:space="preserve"> you are s</w:t>
      </w:r>
      <w:r w:rsidR="004A6ED0">
        <w:t>entenced to six (6) years imprisonment two</w:t>
      </w:r>
      <w:r w:rsidR="00A36232">
        <w:t xml:space="preserve"> </w:t>
      </w:r>
      <w:r w:rsidR="003F741B">
        <w:t xml:space="preserve">(2) years of which are suspended for 5 years on condition you are not </w:t>
      </w:r>
      <w:r w:rsidR="00FD2ACE">
        <w:t>during t</w:t>
      </w:r>
      <w:r w:rsidR="003F741B">
        <w:t>he said 5 years convicted of an offence involving assault on the person of another and for which you are sentenced to imprisonment without the option of a fine or community service</w:t>
      </w:r>
    </w:p>
    <w:p w:rsidR="003F741B" w:rsidRDefault="003F741B" w:rsidP="000E6E67">
      <w:pPr>
        <w:spacing w:line="360" w:lineRule="auto"/>
        <w:ind w:firstLine="720"/>
        <w:jc w:val="both"/>
      </w:pPr>
      <w:r>
        <w:t>Effective sentence 4 years imprisonment</w:t>
      </w:r>
      <w:r w:rsidR="00A36232">
        <w:t>.</w:t>
      </w:r>
    </w:p>
    <w:p w:rsidR="00607A15" w:rsidRDefault="00607A15" w:rsidP="000E6E67">
      <w:pPr>
        <w:spacing w:line="360" w:lineRule="auto"/>
        <w:jc w:val="both"/>
      </w:pPr>
    </w:p>
    <w:p w:rsidR="00BF2CF9" w:rsidRDefault="00BF2CF9" w:rsidP="000E6E67">
      <w:pPr>
        <w:spacing w:line="360" w:lineRule="auto"/>
        <w:jc w:val="both"/>
      </w:pPr>
    </w:p>
    <w:p w:rsidR="00BF2CF9" w:rsidRDefault="00BF2CF9" w:rsidP="000E6E67">
      <w:pPr>
        <w:spacing w:line="360" w:lineRule="auto"/>
        <w:jc w:val="both"/>
      </w:pPr>
    </w:p>
    <w:p w:rsidR="00BF2CF9" w:rsidRDefault="00BF2CF9" w:rsidP="000E6E67">
      <w:pPr>
        <w:spacing w:line="360" w:lineRule="auto"/>
        <w:jc w:val="both"/>
      </w:pPr>
    </w:p>
    <w:p w:rsidR="00BF2CF9" w:rsidRDefault="00BF2CF9" w:rsidP="000E6E67">
      <w:pPr>
        <w:spacing w:line="360" w:lineRule="auto"/>
        <w:jc w:val="both"/>
      </w:pPr>
    </w:p>
    <w:p w:rsidR="00BF2CF9" w:rsidRDefault="00BF2CF9" w:rsidP="000E6E67">
      <w:pPr>
        <w:spacing w:line="360" w:lineRule="auto"/>
        <w:jc w:val="both"/>
      </w:pPr>
    </w:p>
    <w:p w:rsidR="00BF2CF9" w:rsidRDefault="00BF2CF9" w:rsidP="000E6E67">
      <w:pPr>
        <w:spacing w:line="360" w:lineRule="auto"/>
        <w:jc w:val="both"/>
      </w:pPr>
    </w:p>
    <w:p w:rsidR="00BF2CF9" w:rsidRDefault="00BF2CF9" w:rsidP="000E6E67">
      <w:pPr>
        <w:spacing w:line="360" w:lineRule="auto"/>
        <w:jc w:val="both"/>
      </w:pPr>
    </w:p>
    <w:p w:rsidR="00BF2CF9" w:rsidRDefault="00BF2CF9" w:rsidP="000E6E67">
      <w:pPr>
        <w:spacing w:line="360" w:lineRule="auto"/>
        <w:jc w:val="both"/>
      </w:pPr>
    </w:p>
    <w:p w:rsidR="00BF2CF9" w:rsidRDefault="006C4193" w:rsidP="00B06586">
      <w:pPr>
        <w:jc w:val="both"/>
      </w:pPr>
      <w:r w:rsidRPr="006C4193">
        <w:rPr>
          <w:i/>
        </w:rPr>
        <w:t>National Prosecuting Authority</w:t>
      </w:r>
      <w:r>
        <w:t>, state’s legal practitioner’s</w:t>
      </w:r>
      <w:r w:rsidR="00BF2CF9">
        <w:t xml:space="preserve"> </w:t>
      </w:r>
    </w:p>
    <w:p w:rsidR="00BF2CF9" w:rsidRPr="009139B6" w:rsidRDefault="006C4193" w:rsidP="00B06586">
      <w:pPr>
        <w:jc w:val="both"/>
      </w:pPr>
      <w:r w:rsidRPr="006C4193">
        <w:rPr>
          <w:i/>
        </w:rPr>
        <w:t>Chiminya &amp; Associates</w:t>
      </w:r>
      <w:r>
        <w:t>,</w:t>
      </w:r>
      <w:r w:rsidR="00BF2CF9">
        <w:t xml:space="preserve"> legal practitioners</w:t>
      </w:r>
      <w:r>
        <w:t xml:space="preserve"> for the accused</w:t>
      </w:r>
    </w:p>
    <w:p w:rsidR="009F3B14" w:rsidRDefault="009F3B14" w:rsidP="00B06586">
      <w:pPr>
        <w:jc w:val="both"/>
      </w:pPr>
    </w:p>
    <w:p w:rsidR="009F3B14" w:rsidRDefault="009F3B14" w:rsidP="00B06586">
      <w:pPr>
        <w:jc w:val="both"/>
      </w:pPr>
    </w:p>
    <w:p w:rsidR="006A2AEB" w:rsidRDefault="006A2AEB" w:rsidP="000E6E67">
      <w:pPr>
        <w:spacing w:line="360" w:lineRule="auto"/>
        <w:jc w:val="both"/>
      </w:pPr>
    </w:p>
    <w:p w:rsidR="004B459E" w:rsidRDefault="004B459E" w:rsidP="000E6E67">
      <w:pPr>
        <w:spacing w:line="360" w:lineRule="auto"/>
        <w:ind w:firstLine="720"/>
        <w:jc w:val="both"/>
      </w:pPr>
    </w:p>
    <w:p w:rsidR="00177E68" w:rsidRDefault="00C66E69" w:rsidP="000E6E67">
      <w:pPr>
        <w:spacing w:line="360" w:lineRule="auto"/>
        <w:ind w:firstLine="720"/>
        <w:jc w:val="both"/>
      </w:pPr>
      <w:r>
        <w:t xml:space="preserve">   </w:t>
      </w:r>
      <w:r w:rsidR="002E06F5">
        <w:t xml:space="preserve"> </w:t>
      </w:r>
      <w:r w:rsidR="00BA31C2">
        <w:t xml:space="preserve">  </w:t>
      </w:r>
    </w:p>
    <w:sectPr w:rsidR="00177E68" w:rsidSect="00635FE2">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7AA5" w:rsidRDefault="00407AA5" w:rsidP="001E7E2D">
      <w:r>
        <w:separator/>
      </w:r>
    </w:p>
  </w:endnote>
  <w:endnote w:type="continuationSeparator" w:id="0">
    <w:p w:rsidR="00407AA5" w:rsidRDefault="00407AA5" w:rsidP="001E7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7AA5" w:rsidRDefault="00407AA5" w:rsidP="001E7E2D">
      <w:r>
        <w:separator/>
      </w:r>
    </w:p>
  </w:footnote>
  <w:footnote w:type="continuationSeparator" w:id="0">
    <w:p w:rsidR="00407AA5" w:rsidRDefault="00407AA5" w:rsidP="001E7E2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3227612"/>
      <w:docPartObj>
        <w:docPartGallery w:val="Page Numbers (Top of Page)"/>
        <w:docPartUnique/>
      </w:docPartObj>
    </w:sdtPr>
    <w:sdtEndPr>
      <w:rPr>
        <w:rFonts w:asciiTheme="minorHAnsi" w:hAnsiTheme="minorHAnsi" w:cstheme="minorHAnsi"/>
        <w:noProof/>
        <w:sz w:val="22"/>
        <w:szCs w:val="22"/>
      </w:rPr>
    </w:sdtEndPr>
    <w:sdtContent>
      <w:p w:rsidR="001E7E2D" w:rsidRPr="00B67FA3" w:rsidRDefault="001E7E2D">
        <w:pPr>
          <w:pStyle w:val="Header"/>
          <w:jc w:val="right"/>
          <w:rPr>
            <w:rFonts w:asciiTheme="minorHAnsi" w:hAnsiTheme="minorHAnsi" w:cstheme="minorHAnsi"/>
            <w:noProof/>
            <w:sz w:val="22"/>
            <w:szCs w:val="22"/>
          </w:rPr>
        </w:pPr>
        <w:r w:rsidRPr="00B67FA3">
          <w:rPr>
            <w:rFonts w:asciiTheme="minorHAnsi" w:hAnsiTheme="minorHAnsi" w:cstheme="minorHAnsi"/>
            <w:sz w:val="22"/>
            <w:szCs w:val="22"/>
          </w:rPr>
          <w:fldChar w:fldCharType="begin"/>
        </w:r>
        <w:r w:rsidRPr="00B67FA3">
          <w:rPr>
            <w:rFonts w:asciiTheme="minorHAnsi" w:hAnsiTheme="minorHAnsi" w:cstheme="minorHAnsi"/>
            <w:sz w:val="22"/>
            <w:szCs w:val="22"/>
          </w:rPr>
          <w:instrText xml:space="preserve"> PAGE   \* MERGEFORMAT </w:instrText>
        </w:r>
        <w:r w:rsidRPr="00B67FA3">
          <w:rPr>
            <w:rFonts w:asciiTheme="minorHAnsi" w:hAnsiTheme="minorHAnsi" w:cstheme="minorHAnsi"/>
            <w:sz w:val="22"/>
            <w:szCs w:val="22"/>
          </w:rPr>
          <w:fldChar w:fldCharType="separate"/>
        </w:r>
        <w:r w:rsidR="000B16DC">
          <w:rPr>
            <w:rFonts w:asciiTheme="minorHAnsi" w:hAnsiTheme="minorHAnsi" w:cstheme="minorHAnsi"/>
            <w:noProof/>
            <w:sz w:val="22"/>
            <w:szCs w:val="22"/>
          </w:rPr>
          <w:t>1</w:t>
        </w:r>
        <w:r w:rsidRPr="00B67FA3">
          <w:rPr>
            <w:rFonts w:asciiTheme="minorHAnsi" w:hAnsiTheme="minorHAnsi" w:cstheme="minorHAnsi"/>
            <w:noProof/>
            <w:sz w:val="22"/>
            <w:szCs w:val="22"/>
          </w:rPr>
          <w:fldChar w:fldCharType="end"/>
        </w:r>
      </w:p>
      <w:p w:rsidR="001E7E2D" w:rsidRPr="00B67FA3" w:rsidRDefault="001E7E2D">
        <w:pPr>
          <w:pStyle w:val="Header"/>
          <w:jc w:val="right"/>
          <w:rPr>
            <w:rFonts w:asciiTheme="minorHAnsi" w:hAnsiTheme="minorHAnsi" w:cstheme="minorHAnsi"/>
            <w:noProof/>
            <w:sz w:val="22"/>
            <w:szCs w:val="22"/>
          </w:rPr>
        </w:pPr>
        <w:r w:rsidRPr="00B67FA3">
          <w:rPr>
            <w:rFonts w:asciiTheme="minorHAnsi" w:hAnsiTheme="minorHAnsi" w:cstheme="minorHAnsi"/>
            <w:noProof/>
            <w:sz w:val="22"/>
            <w:szCs w:val="22"/>
          </w:rPr>
          <w:t>HH</w:t>
        </w:r>
        <w:r w:rsidR="00BA31C2">
          <w:rPr>
            <w:rFonts w:asciiTheme="minorHAnsi" w:hAnsiTheme="minorHAnsi" w:cstheme="minorHAnsi"/>
            <w:noProof/>
            <w:sz w:val="22"/>
            <w:szCs w:val="22"/>
          </w:rPr>
          <w:t xml:space="preserve"> </w:t>
        </w:r>
        <w:r w:rsidR="006C4193">
          <w:rPr>
            <w:rFonts w:asciiTheme="minorHAnsi" w:hAnsiTheme="minorHAnsi" w:cstheme="minorHAnsi"/>
            <w:noProof/>
            <w:sz w:val="22"/>
            <w:szCs w:val="22"/>
          </w:rPr>
          <w:t>169-22</w:t>
        </w:r>
      </w:p>
      <w:p w:rsidR="001E7E2D" w:rsidRPr="00B67FA3" w:rsidRDefault="00BA31C2">
        <w:pPr>
          <w:pStyle w:val="Header"/>
          <w:jc w:val="right"/>
          <w:rPr>
            <w:rFonts w:asciiTheme="minorHAnsi" w:hAnsiTheme="minorHAnsi" w:cstheme="minorHAnsi"/>
            <w:sz w:val="22"/>
            <w:szCs w:val="22"/>
          </w:rPr>
        </w:pPr>
        <w:r>
          <w:rPr>
            <w:rFonts w:asciiTheme="minorHAnsi" w:hAnsiTheme="minorHAnsi" w:cstheme="minorHAnsi"/>
            <w:noProof/>
            <w:sz w:val="22"/>
            <w:szCs w:val="22"/>
          </w:rPr>
          <w:t>CRB 30/19</w:t>
        </w:r>
      </w:p>
    </w:sdtContent>
  </w:sdt>
  <w:p w:rsidR="001E7E2D" w:rsidRDefault="001E7E2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53646"/>
    <w:multiLevelType w:val="hybridMultilevel"/>
    <w:tmpl w:val="438A64B0"/>
    <w:lvl w:ilvl="0" w:tplc="30090011">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3371551"/>
    <w:multiLevelType w:val="hybridMultilevel"/>
    <w:tmpl w:val="28F0D00A"/>
    <w:lvl w:ilvl="0" w:tplc="2A7076DA">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03C0126F"/>
    <w:multiLevelType w:val="hybridMultilevel"/>
    <w:tmpl w:val="DF206236"/>
    <w:lvl w:ilvl="0" w:tplc="0409000F">
      <w:start w:val="1"/>
      <w:numFmt w:val="decimal"/>
      <w:lvlText w:val="%1."/>
      <w:lvlJc w:val="left"/>
      <w:pPr>
        <w:ind w:left="1498" w:hanging="360"/>
      </w:pPr>
    </w:lvl>
    <w:lvl w:ilvl="1" w:tplc="04090019" w:tentative="1">
      <w:start w:val="1"/>
      <w:numFmt w:val="lowerLetter"/>
      <w:lvlText w:val="%2."/>
      <w:lvlJc w:val="left"/>
      <w:pPr>
        <w:ind w:left="2218" w:hanging="360"/>
      </w:pPr>
    </w:lvl>
    <w:lvl w:ilvl="2" w:tplc="0409001B" w:tentative="1">
      <w:start w:val="1"/>
      <w:numFmt w:val="lowerRoman"/>
      <w:lvlText w:val="%3."/>
      <w:lvlJc w:val="right"/>
      <w:pPr>
        <w:ind w:left="2938" w:hanging="180"/>
      </w:pPr>
    </w:lvl>
    <w:lvl w:ilvl="3" w:tplc="0409000F" w:tentative="1">
      <w:start w:val="1"/>
      <w:numFmt w:val="decimal"/>
      <w:lvlText w:val="%4."/>
      <w:lvlJc w:val="left"/>
      <w:pPr>
        <w:ind w:left="3658" w:hanging="360"/>
      </w:pPr>
    </w:lvl>
    <w:lvl w:ilvl="4" w:tplc="04090019" w:tentative="1">
      <w:start w:val="1"/>
      <w:numFmt w:val="lowerLetter"/>
      <w:lvlText w:val="%5."/>
      <w:lvlJc w:val="left"/>
      <w:pPr>
        <w:ind w:left="4378" w:hanging="360"/>
      </w:pPr>
    </w:lvl>
    <w:lvl w:ilvl="5" w:tplc="0409001B" w:tentative="1">
      <w:start w:val="1"/>
      <w:numFmt w:val="lowerRoman"/>
      <w:lvlText w:val="%6."/>
      <w:lvlJc w:val="right"/>
      <w:pPr>
        <w:ind w:left="5098" w:hanging="180"/>
      </w:pPr>
    </w:lvl>
    <w:lvl w:ilvl="6" w:tplc="0409000F" w:tentative="1">
      <w:start w:val="1"/>
      <w:numFmt w:val="decimal"/>
      <w:lvlText w:val="%7."/>
      <w:lvlJc w:val="left"/>
      <w:pPr>
        <w:ind w:left="5818" w:hanging="360"/>
      </w:pPr>
    </w:lvl>
    <w:lvl w:ilvl="7" w:tplc="04090019" w:tentative="1">
      <w:start w:val="1"/>
      <w:numFmt w:val="lowerLetter"/>
      <w:lvlText w:val="%8."/>
      <w:lvlJc w:val="left"/>
      <w:pPr>
        <w:ind w:left="6538" w:hanging="360"/>
      </w:pPr>
    </w:lvl>
    <w:lvl w:ilvl="8" w:tplc="0409001B" w:tentative="1">
      <w:start w:val="1"/>
      <w:numFmt w:val="lowerRoman"/>
      <w:lvlText w:val="%9."/>
      <w:lvlJc w:val="right"/>
      <w:pPr>
        <w:ind w:left="7258" w:hanging="180"/>
      </w:pPr>
    </w:lvl>
  </w:abstractNum>
  <w:abstractNum w:abstractNumId="3" w15:restartNumberingAfterBreak="0">
    <w:nsid w:val="03CE348D"/>
    <w:multiLevelType w:val="hybridMultilevel"/>
    <w:tmpl w:val="B7B06D9A"/>
    <w:lvl w:ilvl="0" w:tplc="30090017">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4AEE55C4"/>
    <w:multiLevelType w:val="hybridMultilevel"/>
    <w:tmpl w:val="B9D46C12"/>
    <w:lvl w:ilvl="0" w:tplc="47A624EC">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0AE"/>
    <w:rsid w:val="00005BD6"/>
    <w:rsid w:val="000248DF"/>
    <w:rsid w:val="00024935"/>
    <w:rsid w:val="000338AE"/>
    <w:rsid w:val="0007627B"/>
    <w:rsid w:val="00097C7D"/>
    <w:rsid w:val="000B16DC"/>
    <w:rsid w:val="000C2F31"/>
    <w:rsid w:val="000E56AD"/>
    <w:rsid w:val="000E689D"/>
    <w:rsid w:val="000E6E67"/>
    <w:rsid w:val="00124C4C"/>
    <w:rsid w:val="00126297"/>
    <w:rsid w:val="00137E47"/>
    <w:rsid w:val="00174104"/>
    <w:rsid w:val="00177E68"/>
    <w:rsid w:val="00182109"/>
    <w:rsid w:val="001838D1"/>
    <w:rsid w:val="00197CAE"/>
    <w:rsid w:val="001D0C65"/>
    <w:rsid w:val="001E59B6"/>
    <w:rsid w:val="001E7E2D"/>
    <w:rsid w:val="001F1C1F"/>
    <w:rsid w:val="001F5C53"/>
    <w:rsid w:val="0022519A"/>
    <w:rsid w:val="00242886"/>
    <w:rsid w:val="00262263"/>
    <w:rsid w:val="002658D8"/>
    <w:rsid w:val="0027235C"/>
    <w:rsid w:val="00291459"/>
    <w:rsid w:val="002A4E65"/>
    <w:rsid w:val="002A6167"/>
    <w:rsid w:val="002B0C86"/>
    <w:rsid w:val="002C6B6C"/>
    <w:rsid w:val="002E06F5"/>
    <w:rsid w:val="002E3D94"/>
    <w:rsid w:val="0032101F"/>
    <w:rsid w:val="00335E8F"/>
    <w:rsid w:val="00340CD8"/>
    <w:rsid w:val="00342FBF"/>
    <w:rsid w:val="00355EF2"/>
    <w:rsid w:val="003654C8"/>
    <w:rsid w:val="00366589"/>
    <w:rsid w:val="00373D9A"/>
    <w:rsid w:val="00396AB0"/>
    <w:rsid w:val="003D785D"/>
    <w:rsid w:val="003F629F"/>
    <w:rsid w:val="003F741B"/>
    <w:rsid w:val="00407A59"/>
    <w:rsid w:val="00407AA5"/>
    <w:rsid w:val="0042099B"/>
    <w:rsid w:val="0045209B"/>
    <w:rsid w:val="00465A2C"/>
    <w:rsid w:val="00476184"/>
    <w:rsid w:val="00491FF2"/>
    <w:rsid w:val="004929E5"/>
    <w:rsid w:val="004A6ED0"/>
    <w:rsid w:val="004B0A57"/>
    <w:rsid w:val="004B459E"/>
    <w:rsid w:val="004B51BD"/>
    <w:rsid w:val="004B7336"/>
    <w:rsid w:val="004B7F16"/>
    <w:rsid w:val="004D3F64"/>
    <w:rsid w:val="004E7E05"/>
    <w:rsid w:val="00510032"/>
    <w:rsid w:val="005269B9"/>
    <w:rsid w:val="00540327"/>
    <w:rsid w:val="005756EA"/>
    <w:rsid w:val="005860AE"/>
    <w:rsid w:val="005C2D8C"/>
    <w:rsid w:val="005C701A"/>
    <w:rsid w:val="005D5C5F"/>
    <w:rsid w:val="005F0B2E"/>
    <w:rsid w:val="00603E1B"/>
    <w:rsid w:val="00607A15"/>
    <w:rsid w:val="00615ACD"/>
    <w:rsid w:val="00622E47"/>
    <w:rsid w:val="00635FE2"/>
    <w:rsid w:val="00651133"/>
    <w:rsid w:val="00653B92"/>
    <w:rsid w:val="006677AE"/>
    <w:rsid w:val="006A0FA2"/>
    <w:rsid w:val="006A2AEB"/>
    <w:rsid w:val="006A3302"/>
    <w:rsid w:val="006B0C48"/>
    <w:rsid w:val="006C2E26"/>
    <w:rsid w:val="006C4193"/>
    <w:rsid w:val="006D11BE"/>
    <w:rsid w:val="006E108E"/>
    <w:rsid w:val="006E2851"/>
    <w:rsid w:val="006E2C3F"/>
    <w:rsid w:val="00704ABF"/>
    <w:rsid w:val="007402E4"/>
    <w:rsid w:val="00761913"/>
    <w:rsid w:val="00764467"/>
    <w:rsid w:val="00764F8B"/>
    <w:rsid w:val="00775040"/>
    <w:rsid w:val="007931E1"/>
    <w:rsid w:val="007B1CC0"/>
    <w:rsid w:val="00822113"/>
    <w:rsid w:val="00831B58"/>
    <w:rsid w:val="00834B6D"/>
    <w:rsid w:val="00843F08"/>
    <w:rsid w:val="00855438"/>
    <w:rsid w:val="0086587E"/>
    <w:rsid w:val="00875500"/>
    <w:rsid w:val="00875E9B"/>
    <w:rsid w:val="00883D5F"/>
    <w:rsid w:val="008A6C87"/>
    <w:rsid w:val="008A7606"/>
    <w:rsid w:val="008B287E"/>
    <w:rsid w:val="008B3FD6"/>
    <w:rsid w:val="008B4F91"/>
    <w:rsid w:val="008D1694"/>
    <w:rsid w:val="008D4D9F"/>
    <w:rsid w:val="008D502D"/>
    <w:rsid w:val="008F300E"/>
    <w:rsid w:val="0090328F"/>
    <w:rsid w:val="009076C2"/>
    <w:rsid w:val="00910AB4"/>
    <w:rsid w:val="009139B6"/>
    <w:rsid w:val="009573FF"/>
    <w:rsid w:val="009627D1"/>
    <w:rsid w:val="009914BA"/>
    <w:rsid w:val="00997C26"/>
    <w:rsid w:val="009A135C"/>
    <w:rsid w:val="009A5AF2"/>
    <w:rsid w:val="009B2515"/>
    <w:rsid w:val="009B4EB5"/>
    <w:rsid w:val="009C341D"/>
    <w:rsid w:val="009E0847"/>
    <w:rsid w:val="009F3B14"/>
    <w:rsid w:val="009F4F90"/>
    <w:rsid w:val="00A069BB"/>
    <w:rsid w:val="00A36232"/>
    <w:rsid w:val="00A41354"/>
    <w:rsid w:val="00A4214D"/>
    <w:rsid w:val="00A4707F"/>
    <w:rsid w:val="00A82909"/>
    <w:rsid w:val="00A85309"/>
    <w:rsid w:val="00A93C78"/>
    <w:rsid w:val="00AA15B5"/>
    <w:rsid w:val="00AC08F4"/>
    <w:rsid w:val="00AC0B4A"/>
    <w:rsid w:val="00AC42ED"/>
    <w:rsid w:val="00AD25D4"/>
    <w:rsid w:val="00B041A3"/>
    <w:rsid w:val="00B05110"/>
    <w:rsid w:val="00B06586"/>
    <w:rsid w:val="00B11AC3"/>
    <w:rsid w:val="00B15F60"/>
    <w:rsid w:val="00B37103"/>
    <w:rsid w:val="00B41637"/>
    <w:rsid w:val="00B528C8"/>
    <w:rsid w:val="00B67FA3"/>
    <w:rsid w:val="00B74184"/>
    <w:rsid w:val="00B87709"/>
    <w:rsid w:val="00B96324"/>
    <w:rsid w:val="00BA2367"/>
    <w:rsid w:val="00BA31C2"/>
    <w:rsid w:val="00BC07CB"/>
    <w:rsid w:val="00BC2EA5"/>
    <w:rsid w:val="00BD3449"/>
    <w:rsid w:val="00BD5F8B"/>
    <w:rsid w:val="00BD6226"/>
    <w:rsid w:val="00BF1DCA"/>
    <w:rsid w:val="00BF2CF9"/>
    <w:rsid w:val="00C014F6"/>
    <w:rsid w:val="00C0484C"/>
    <w:rsid w:val="00C16C19"/>
    <w:rsid w:val="00C44E0E"/>
    <w:rsid w:val="00C66E69"/>
    <w:rsid w:val="00C956FE"/>
    <w:rsid w:val="00CA357E"/>
    <w:rsid w:val="00CA3832"/>
    <w:rsid w:val="00D01FFE"/>
    <w:rsid w:val="00D1632F"/>
    <w:rsid w:val="00D5516E"/>
    <w:rsid w:val="00D7722D"/>
    <w:rsid w:val="00D7759B"/>
    <w:rsid w:val="00D864CF"/>
    <w:rsid w:val="00D90856"/>
    <w:rsid w:val="00D95D9E"/>
    <w:rsid w:val="00DA294D"/>
    <w:rsid w:val="00DA77B0"/>
    <w:rsid w:val="00DC28A4"/>
    <w:rsid w:val="00DD00D8"/>
    <w:rsid w:val="00DF0A71"/>
    <w:rsid w:val="00DF51A3"/>
    <w:rsid w:val="00E036C0"/>
    <w:rsid w:val="00E067C0"/>
    <w:rsid w:val="00E13FE1"/>
    <w:rsid w:val="00E239E4"/>
    <w:rsid w:val="00E40882"/>
    <w:rsid w:val="00E53BC4"/>
    <w:rsid w:val="00E71668"/>
    <w:rsid w:val="00E83C34"/>
    <w:rsid w:val="00EB1753"/>
    <w:rsid w:val="00ED29AC"/>
    <w:rsid w:val="00EF50F1"/>
    <w:rsid w:val="00EF5375"/>
    <w:rsid w:val="00EF7EA7"/>
    <w:rsid w:val="00F10A77"/>
    <w:rsid w:val="00F15691"/>
    <w:rsid w:val="00F218A8"/>
    <w:rsid w:val="00F42FEE"/>
    <w:rsid w:val="00F45079"/>
    <w:rsid w:val="00F454CF"/>
    <w:rsid w:val="00F54094"/>
    <w:rsid w:val="00F65DF4"/>
    <w:rsid w:val="00F74699"/>
    <w:rsid w:val="00FB1AE5"/>
    <w:rsid w:val="00FB1D4C"/>
    <w:rsid w:val="00FB7D51"/>
    <w:rsid w:val="00FD2ACE"/>
    <w:rsid w:val="00FD3A06"/>
    <w:rsid w:val="00FD5583"/>
    <w:rsid w:val="00FD60DD"/>
    <w:rsid w:val="00FE068D"/>
    <w:rsid w:val="00FE53AC"/>
    <w:rsid w:val="00FF0A2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B25C55-0A2E-4F89-8280-7437E2DBD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ZW" w:eastAsia="en-Z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60AE"/>
    <w:rPr>
      <w:rFonts w:ascii="Times New Roman" w:eastAsia="Times New Roman" w:hAnsi="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2FBF"/>
    <w:pPr>
      <w:spacing w:after="200" w:line="276" w:lineRule="auto"/>
      <w:ind w:left="720"/>
      <w:contextualSpacing/>
    </w:pPr>
    <w:rPr>
      <w:rFonts w:ascii="Calibri" w:eastAsia="Calibri" w:hAnsi="Calibri"/>
      <w:sz w:val="22"/>
      <w:szCs w:val="22"/>
      <w:lang w:val="en-ZW"/>
    </w:rPr>
  </w:style>
  <w:style w:type="paragraph" w:styleId="IntenseQuote">
    <w:name w:val="Intense Quote"/>
    <w:basedOn w:val="Normal"/>
    <w:next w:val="Normal"/>
    <w:link w:val="IntenseQuoteChar"/>
    <w:uiPriority w:val="30"/>
    <w:qFormat/>
    <w:rsid w:val="00342FBF"/>
    <w:pPr>
      <w:pBdr>
        <w:bottom w:val="single" w:sz="4" w:space="4" w:color="4F81BD"/>
      </w:pBdr>
      <w:spacing w:before="200" w:after="280" w:line="276" w:lineRule="auto"/>
      <w:ind w:left="936" w:right="936"/>
    </w:pPr>
    <w:rPr>
      <w:rFonts w:ascii="Calibri" w:eastAsia="Calibri" w:hAnsi="Calibri"/>
      <w:b/>
      <w:bCs/>
      <w:i/>
      <w:iCs/>
      <w:color w:val="4F81BD"/>
      <w:sz w:val="20"/>
      <w:szCs w:val="20"/>
      <w:lang w:val="en-ZW" w:eastAsia="en-ZW"/>
    </w:rPr>
  </w:style>
  <w:style w:type="character" w:customStyle="1" w:styleId="IntenseQuoteChar">
    <w:name w:val="Intense Quote Char"/>
    <w:basedOn w:val="DefaultParagraphFont"/>
    <w:link w:val="IntenseQuote"/>
    <w:uiPriority w:val="30"/>
    <w:rsid w:val="00342FBF"/>
    <w:rPr>
      <w:b/>
      <w:bCs/>
      <w:i/>
      <w:iCs/>
      <w:color w:val="4F81BD"/>
    </w:rPr>
  </w:style>
  <w:style w:type="character" w:styleId="SubtleEmphasis">
    <w:name w:val="Subtle Emphasis"/>
    <w:basedOn w:val="DefaultParagraphFont"/>
    <w:uiPriority w:val="19"/>
    <w:qFormat/>
    <w:rsid w:val="00342FBF"/>
    <w:rPr>
      <w:i/>
      <w:iCs/>
      <w:color w:val="808080"/>
    </w:rPr>
  </w:style>
  <w:style w:type="paragraph" w:styleId="BalloonText">
    <w:name w:val="Balloon Text"/>
    <w:basedOn w:val="Normal"/>
    <w:link w:val="BalloonTextChar"/>
    <w:uiPriority w:val="99"/>
    <w:semiHidden/>
    <w:unhideWhenUsed/>
    <w:rsid w:val="00BF1D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1DCA"/>
    <w:rPr>
      <w:rFonts w:ascii="Segoe UI" w:eastAsia="Times New Roman" w:hAnsi="Segoe UI" w:cs="Segoe UI"/>
      <w:sz w:val="18"/>
      <w:szCs w:val="18"/>
      <w:lang w:val="en-US" w:eastAsia="en-US"/>
    </w:rPr>
  </w:style>
  <w:style w:type="paragraph" w:styleId="Header">
    <w:name w:val="header"/>
    <w:basedOn w:val="Normal"/>
    <w:link w:val="HeaderChar"/>
    <w:uiPriority w:val="99"/>
    <w:unhideWhenUsed/>
    <w:rsid w:val="001E7E2D"/>
    <w:pPr>
      <w:tabs>
        <w:tab w:val="center" w:pos="4513"/>
        <w:tab w:val="right" w:pos="9026"/>
      </w:tabs>
    </w:pPr>
  </w:style>
  <w:style w:type="character" w:customStyle="1" w:styleId="HeaderChar">
    <w:name w:val="Header Char"/>
    <w:basedOn w:val="DefaultParagraphFont"/>
    <w:link w:val="Header"/>
    <w:uiPriority w:val="99"/>
    <w:rsid w:val="001E7E2D"/>
    <w:rPr>
      <w:rFonts w:ascii="Times New Roman" w:eastAsia="Times New Roman" w:hAnsi="Times New Roman"/>
      <w:sz w:val="24"/>
      <w:szCs w:val="24"/>
      <w:lang w:val="en-US" w:eastAsia="en-US"/>
    </w:rPr>
  </w:style>
  <w:style w:type="paragraph" w:styleId="Footer">
    <w:name w:val="footer"/>
    <w:basedOn w:val="Normal"/>
    <w:link w:val="FooterChar"/>
    <w:uiPriority w:val="99"/>
    <w:unhideWhenUsed/>
    <w:rsid w:val="001E7E2D"/>
    <w:pPr>
      <w:tabs>
        <w:tab w:val="center" w:pos="4513"/>
        <w:tab w:val="right" w:pos="9026"/>
      </w:tabs>
    </w:pPr>
  </w:style>
  <w:style w:type="character" w:customStyle="1" w:styleId="FooterChar">
    <w:name w:val="Footer Char"/>
    <w:basedOn w:val="DefaultParagraphFont"/>
    <w:link w:val="Footer"/>
    <w:uiPriority w:val="99"/>
    <w:rsid w:val="001E7E2D"/>
    <w:rPr>
      <w:rFonts w:ascii="Times New Roman" w:eastAsia="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2669823">
      <w:bodyDiv w:val="1"/>
      <w:marLeft w:val="0"/>
      <w:marRight w:val="0"/>
      <w:marTop w:val="0"/>
      <w:marBottom w:val="0"/>
      <w:divBdr>
        <w:top w:val="none" w:sz="0" w:space="0" w:color="auto"/>
        <w:left w:val="none" w:sz="0" w:space="0" w:color="auto"/>
        <w:bottom w:val="none" w:sz="0" w:space="0" w:color="auto"/>
        <w:right w:val="none" w:sz="0" w:space="0" w:color="auto"/>
      </w:divBdr>
    </w:div>
    <w:div w:id="1301304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E0E960-D2D3-474C-8E89-70E37DEC7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2604</Words>
  <Characters>14846</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jsc</dc:creator>
  <cp:lastModifiedBy>JSC</cp:lastModifiedBy>
  <cp:revision>2</cp:revision>
  <cp:lastPrinted>2022-03-07T09:44:00Z</cp:lastPrinted>
  <dcterms:created xsi:type="dcterms:W3CDTF">2022-03-18T08:50:00Z</dcterms:created>
  <dcterms:modified xsi:type="dcterms:W3CDTF">2022-03-18T08:50:00Z</dcterms:modified>
</cp:coreProperties>
</file>