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A0246" w14:textId="63102241" w:rsidR="00C7346C" w:rsidRPr="00A32F52" w:rsidRDefault="00C7346C" w:rsidP="00A32F52">
      <w:pPr>
        <w:spacing w:after="0" w:line="240" w:lineRule="auto"/>
        <w:jc w:val="both"/>
        <w:outlineLvl w:val="0"/>
        <w:rPr>
          <w:rFonts w:ascii="Times New Roman" w:eastAsia="Times New Roman" w:hAnsi="Times New Roman" w:cs="Times New Roman"/>
          <w:kern w:val="36"/>
          <w:sz w:val="24"/>
          <w:szCs w:val="28"/>
          <w:lang w:eastAsia="en-ZW"/>
        </w:rPr>
      </w:pPr>
      <w:bookmarkStart w:id="0" w:name="_GoBack"/>
      <w:bookmarkEnd w:id="0"/>
      <w:r w:rsidRPr="00A32F52">
        <w:rPr>
          <w:rFonts w:ascii="Times New Roman" w:eastAsia="Times New Roman" w:hAnsi="Times New Roman" w:cs="Times New Roman"/>
          <w:kern w:val="36"/>
          <w:sz w:val="24"/>
          <w:szCs w:val="28"/>
          <w:lang w:eastAsia="en-ZW"/>
        </w:rPr>
        <w:t xml:space="preserve">THE STATE </w:t>
      </w:r>
    </w:p>
    <w:p w14:paraId="7067D778" w14:textId="6A428AEC" w:rsidR="00C7346C" w:rsidRPr="00A32F52" w:rsidRDefault="00A32F52" w:rsidP="00A32F52">
      <w:pPr>
        <w:spacing w:after="0" w:line="240" w:lineRule="auto"/>
        <w:jc w:val="both"/>
        <w:outlineLvl w:val="0"/>
        <w:rPr>
          <w:rFonts w:ascii="Times New Roman" w:eastAsia="Times New Roman" w:hAnsi="Times New Roman" w:cs="Times New Roman"/>
          <w:kern w:val="36"/>
          <w:sz w:val="24"/>
          <w:szCs w:val="28"/>
          <w:lang w:eastAsia="en-ZW"/>
        </w:rPr>
      </w:pPr>
      <w:proofErr w:type="gramStart"/>
      <w:r w:rsidRPr="00A32F52">
        <w:rPr>
          <w:rFonts w:ascii="Times New Roman" w:eastAsia="Times New Roman" w:hAnsi="Times New Roman" w:cs="Times New Roman"/>
          <w:kern w:val="36"/>
          <w:sz w:val="24"/>
          <w:szCs w:val="28"/>
          <w:lang w:eastAsia="en-ZW"/>
        </w:rPr>
        <w:t>versus</w:t>
      </w:r>
      <w:proofErr w:type="gramEnd"/>
    </w:p>
    <w:p w14:paraId="6FA37364" w14:textId="178572CE" w:rsidR="00C7346C" w:rsidRDefault="00C7346C" w:rsidP="00A32F52">
      <w:pPr>
        <w:spacing w:after="0" w:line="240" w:lineRule="auto"/>
        <w:jc w:val="both"/>
        <w:outlineLvl w:val="0"/>
        <w:rPr>
          <w:rFonts w:ascii="Times New Roman" w:eastAsia="Times New Roman" w:hAnsi="Times New Roman" w:cs="Times New Roman"/>
          <w:kern w:val="36"/>
          <w:sz w:val="24"/>
          <w:szCs w:val="28"/>
          <w:lang w:eastAsia="en-ZW"/>
        </w:rPr>
      </w:pPr>
      <w:r w:rsidRPr="00A32F52">
        <w:rPr>
          <w:rFonts w:ascii="Times New Roman" w:eastAsia="Times New Roman" w:hAnsi="Times New Roman" w:cs="Times New Roman"/>
          <w:kern w:val="36"/>
          <w:sz w:val="24"/>
          <w:szCs w:val="28"/>
          <w:lang w:eastAsia="en-ZW"/>
        </w:rPr>
        <w:t>TINASHE MAISVA</w:t>
      </w:r>
    </w:p>
    <w:p w14:paraId="15D87932" w14:textId="77777777" w:rsidR="00A32F52" w:rsidRDefault="00A32F52" w:rsidP="00A32F52">
      <w:pPr>
        <w:spacing w:after="0" w:line="240" w:lineRule="auto"/>
        <w:jc w:val="both"/>
        <w:outlineLvl w:val="0"/>
        <w:rPr>
          <w:rFonts w:ascii="Times New Roman" w:eastAsia="Times New Roman" w:hAnsi="Times New Roman" w:cs="Times New Roman"/>
          <w:kern w:val="36"/>
          <w:sz w:val="24"/>
          <w:szCs w:val="28"/>
          <w:lang w:eastAsia="en-ZW"/>
        </w:rPr>
      </w:pPr>
    </w:p>
    <w:p w14:paraId="2CAE3780" w14:textId="77777777" w:rsidR="00A32F52" w:rsidRPr="00A32F52" w:rsidRDefault="00A32F52" w:rsidP="00A32F52">
      <w:pPr>
        <w:spacing w:after="0" w:line="240" w:lineRule="auto"/>
        <w:jc w:val="both"/>
        <w:outlineLvl w:val="0"/>
        <w:rPr>
          <w:rFonts w:ascii="Times New Roman" w:eastAsia="Times New Roman" w:hAnsi="Times New Roman" w:cs="Times New Roman"/>
          <w:kern w:val="36"/>
          <w:sz w:val="24"/>
          <w:szCs w:val="28"/>
          <w:lang w:eastAsia="en-ZW"/>
        </w:rPr>
      </w:pPr>
    </w:p>
    <w:p w14:paraId="75920CA5" w14:textId="0920FCA9" w:rsidR="00C7346C" w:rsidRPr="00A32F52" w:rsidRDefault="00C7346C" w:rsidP="00A32F52">
      <w:pPr>
        <w:spacing w:after="0" w:line="240" w:lineRule="auto"/>
        <w:jc w:val="both"/>
        <w:outlineLvl w:val="0"/>
        <w:rPr>
          <w:rFonts w:ascii="Times New Roman" w:eastAsia="Times New Roman" w:hAnsi="Times New Roman" w:cs="Times New Roman"/>
          <w:kern w:val="36"/>
          <w:sz w:val="24"/>
          <w:szCs w:val="28"/>
          <w:lang w:eastAsia="en-ZW"/>
        </w:rPr>
      </w:pPr>
      <w:r w:rsidRPr="00A32F52">
        <w:rPr>
          <w:rFonts w:ascii="Times New Roman" w:eastAsia="Times New Roman" w:hAnsi="Times New Roman" w:cs="Times New Roman"/>
          <w:kern w:val="36"/>
          <w:sz w:val="24"/>
          <w:szCs w:val="28"/>
          <w:lang w:eastAsia="en-ZW"/>
        </w:rPr>
        <w:t>HIGH COURT OF ZIMBABWE</w:t>
      </w:r>
    </w:p>
    <w:p w14:paraId="51898A7A" w14:textId="23D18786" w:rsidR="00C7346C" w:rsidRPr="00A32F52" w:rsidRDefault="00C7346C" w:rsidP="00A32F52">
      <w:pPr>
        <w:spacing w:after="0" w:line="240" w:lineRule="auto"/>
        <w:jc w:val="both"/>
        <w:outlineLvl w:val="0"/>
        <w:rPr>
          <w:rFonts w:ascii="Times New Roman" w:eastAsia="Times New Roman" w:hAnsi="Times New Roman" w:cs="Times New Roman"/>
          <w:b/>
          <w:bCs/>
          <w:kern w:val="36"/>
          <w:sz w:val="24"/>
          <w:szCs w:val="28"/>
          <w:lang w:eastAsia="en-ZW"/>
        </w:rPr>
      </w:pPr>
      <w:r w:rsidRPr="00A32F52">
        <w:rPr>
          <w:rFonts w:ascii="Times New Roman" w:eastAsia="Times New Roman" w:hAnsi="Times New Roman" w:cs="Times New Roman"/>
          <w:b/>
          <w:bCs/>
          <w:kern w:val="36"/>
          <w:sz w:val="24"/>
          <w:szCs w:val="28"/>
          <w:lang w:eastAsia="en-ZW"/>
        </w:rPr>
        <w:t>MAMBARA J</w:t>
      </w:r>
    </w:p>
    <w:p w14:paraId="3848D734" w14:textId="124D59A9" w:rsidR="00C7346C" w:rsidRDefault="00C7346C" w:rsidP="00A32F52">
      <w:pPr>
        <w:spacing w:after="0" w:line="240" w:lineRule="auto"/>
        <w:jc w:val="both"/>
        <w:outlineLvl w:val="0"/>
        <w:rPr>
          <w:rFonts w:ascii="Times New Roman" w:eastAsia="Times New Roman" w:hAnsi="Times New Roman" w:cs="Times New Roman"/>
          <w:kern w:val="36"/>
          <w:sz w:val="24"/>
          <w:szCs w:val="28"/>
          <w:lang w:eastAsia="en-ZW"/>
        </w:rPr>
      </w:pPr>
      <w:r w:rsidRPr="00A32F52">
        <w:rPr>
          <w:rFonts w:ascii="Times New Roman" w:eastAsia="Times New Roman" w:hAnsi="Times New Roman" w:cs="Times New Roman"/>
          <w:kern w:val="36"/>
          <w:sz w:val="24"/>
          <w:szCs w:val="28"/>
          <w:lang w:eastAsia="en-ZW"/>
        </w:rPr>
        <w:t>HARARE</w:t>
      </w:r>
      <w:r w:rsidR="00415A90">
        <w:rPr>
          <w:rFonts w:ascii="Times New Roman" w:eastAsia="Times New Roman" w:hAnsi="Times New Roman" w:cs="Times New Roman"/>
          <w:kern w:val="36"/>
          <w:sz w:val="24"/>
          <w:szCs w:val="28"/>
          <w:lang w:eastAsia="en-ZW"/>
        </w:rPr>
        <w:t>; 23</w:t>
      </w:r>
      <w:r w:rsidR="006665C2">
        <w:rPr>
          <w:rFonts w:ascii="Times New Roman" w:eastAsia="Times New Roman" w:hAnsi="Times New Roman" w:cs="Times New Roman"/>
          <w:kern w:val="36"/>
          <w:sz w:val="24"/>
          <w:szCs w:val="28"/>
          <w:lang w:eastAsia="en-ZW"/>
        </w:rPr>
        <w:t xml:space="preserve"> </w:t>
      </w:r>
      <w:r w:rsidRPr="00A32F52">
        <w:rPr>
          <w:rFonts w:ascii="Times New Roman" w:eastAsia="Times New Roman" w:hAnsi="Times New Roman" w:cs="Times New Roman"/>
          <w:kern w:val="36"/>
          <w:sz w:val="24"/>
          <w:szCs w:val="28"/>
          <w:lang w:eastAsia="en-ZW"/>
        </w:rPr>
        <w:t>September 2025</w:t>
      </w:r>
    </w:p>
    <w:p w14:paraId="3293F627" w14:textId="77777777" w:rsidR="00A32F52" w:rsidRDefault="00A32F52" w:rsidP="00A32F52">
      <w:pPr>
        <w:spacing w:after="0" w:line="240" w:lineRule="auto"/>
        <w:jc w:val="both"/>
        <w:outlineLvl w:val="0"/>
        <w:rPr>
          <w:rFonts w:ascii="Times New Roman" w:eastAsia="Times New Roman" w:hAnsi="Times New Roman" w:cs="Times New Roman"/>
          <w:kern w:val="36"/>
          <w:sz w:val="24"/>
          <w:szCs w:val="28"/>
          <w:lang w:eastAsia="en-ZW"/>
        </w:rPr>
      </w:pPr>
    </w:p>
    <w:p w14:paraId="71570909" w14:textId="77777777" w:rsidR="00A32F52" w:rsidRPr="00A32F52" w:rsidRDefault="00A32F52" w:rsidP="00A32F52">
      <w:pPr>
        <w:spacing w:after="0" w:line="240" w:lineRule="auto"/>
        <w:jc w:val="both"/>
        <w:outlineLvl w:val="0"/>
        <w:rPr>
          <w:rFonts w:ascii="Times New Roman" w:eastAsia="Times New Roman" w:hAnsi="Times New Roman" w:cs="Times New Roman"/>
          <w:kern w:val="36"/>
          <w:sz w:val="24"/>
          <w:szCs w:val="28"/>
          <w:lang w:eastAsia="en-ZW"/>
        </w:rPr>
      </w:pPr>
    </w:p>
    <w:p w14:paraId="0E178C82" w14:textId="05C084E2" w:rsidR="00C7346C" w:rsidRPr="00A32F52" w:rsidRDefault="00C7346C" w:rsidP="00A32F52">
      <w:pPr>
        <w:spacing w:after="0" w:line="240" w:lineRule="auto"/>
        <w:jc w:val="both"/>
        <w:outlineLvl w:val="0"/>
        <w:rPr>
          <w:rFonts w:ascii="Times New Roman" w:eastAsia="Times New Roman" w:hAnsi="Times New Roman" w:cs="Times New Roman"/>
          <w:b/>
          <w:i/>
          <w:iCs/>
          <w:kern w:val="36"/>
          <w:sz w:val="24"/>
          <w:szCs w:val="28"/>
          <w:lang w:eastAsia="en-ZW"/>
        </w:rPr>
      </w:pPr>
      <w:r w:rsidRPr="00A32F52">
        <w:rPr>
          <w:rFonts w:ascii="Times New Roman" w:eastAsia="Times New Roman" w:hAnsi="Times New Roman" w:cs="Times New Roman"/>
          <w:b/>
          <w:i/>
          <w:iCs/>
          <w:kern w:val="36"/>
          <w:sz w:val="24"/>
          <w:szCs w:val="28"/>
          <w:lang w:eastAsia="en-ZW"/>
        </w:rPr>
        <w:t>Criminal Review</w:t>
      </w:r>
    </w:p>
    <w:p w14:paraId="33764172" w14:textId="77777777" w:rsidR="00A32F52" w:rsidRDefault="00A32F52" w:rsidP="00A32F52">
      <w:pPr>
        <w:spacing w:after="0" w:line="240" w:lineRule="auto"/>
        <w:jc w:val="both"/>
        <w:outlineLvl w:val="0"/>
        <w:rPr>
          <w:rFonts w:ascii="Times New Roman" w:eastAsia="Times New Roman" w:hAnsi="Times New Roman" w:cs="Times New Roman"/>
          <w:i/>
          <w:iCs/>
          <w:kern w:val="36"/>
          <w:sz w:val="24"/>
          <w:szCs w:val="28"/>
          <w:lang w:eastAsia="en-ZW"/>
        </w:rPr>
      </w:pPr>
    </w:p>
    <w:p w14:paraId="5AB98CA0" w14:textId="77777777" w:rsidR="00A32F52" w:rsidRPr="00A32F52" w:rsidRDefault="00A32F52" w:rsidP="00A32F52">
      <w:pPr>
        <w:spacing w:after="0" w:line="240" w:lineRule="auto"/>
        <w:jc w:val="both"/>
        <w:outlineLvl w:val="0"/>
        <w:rPr>
          <w:rFonts w:ascii="Times New Roman" w:eastAsia="Times New Roman" w:hAnsi="Times New Roman" w:cs="Times New Roman"/>
          <w:i/>
          <w:iCs/>
          <w:kern w:val="36"/>
          <w:sz w:val="24"/>
          <w:szCs w:val="28"/>
          <w:lang w:eastAsia="en-ZW"/>
        </w:rPr>
      </w:pPr>
    </w:p>
    <w:p w14:paraId="45B672B2" w14:textId="3AA2D2DD" w:rsidR="00C7346C" w:rsidRDefault="00C7346C" w:rsidP="00A32F52">
      <w:pPr>
        <w:spacing w:after="0" w:line="240" w:lineRule="auto"/>
        <w:jc w:val="both"/>
        <w:outlineLvl w:val="0"/>
        <w:rPr>
          <w:rFonts w:ascii="Times New Roman" w:eastAsia="Times New Roman" w:hAnsi="Times New Roman" w:cs="Times New Roman"/>
          <w:kern w:val="36"/>
          <w:sz w:val="24"/>
          <w:szCs w:val="28"/>
          <w:lang w:eastAsia="en-ZW"/>
        </w:rPr>
      </w:pPr>
      <w:r w:rsidRPr="00A32F52">
        <w:rPr>
          <w:rFonts w:ascii="Times New Roman" w:eastAsia="Times New Roman" w:hAnsi="Times New Roman" w:cs="Times New Roman"/>
          <w:kern w:val="36"/>
          <w:sz w:val="24"/>
          <w:szCs w:val="28"/>
          <w:lang w:eastAsia="en-ZW"/>
        </w:rPr>
        <w:t>MAMBARA J:</w:t>
      </w:r>
    </w:p>
    <w:p w14:paraId="1B54CAA4" w14:textId="77777777" w:rsidR="00A32F52" w:rsidRDefault="00A32F52" w:rsidP="00A32F52">
      <w:pPr>
        <w:spacing w:after="0" w:line="240" w:lineRule="auto"/>
        <w:jc w:val="both"/>
        <w:outlineLvl w:val="0"/>
        <w:rPr>
          <w:rFonts w:ascii="Times New Roman" w:eastAsia="Times New Roman" w:hAnsi="Times New Roman" w:cs="Times New Roman"/>
          <w:kern w:val="36"/>
          <w:sz w:val="24"/>
          <w:szCs w:val="28"/>
          <w:lang w:eastAsia="en-ZW"/>
        </w:rPr>
      </w:pPr>
    </w:p>
    <w:p w14:paraId="1EEEBA5D" w14:textId="77777777" w:rsidR="00A32F52" w:rsidRPr="00A32F52" w:rsidRDefault="00A32F52" w:rsidP="00A32F52">
      <w:pPr>
        <w:spacing w:after="0" w:line="240" w:lineRule="auto"/>
        <w:jc w:val="both"/>
        <w:outlineLvl w:val="0"/>
        <w:rPr>
          <w:rFonts w:ascii="Times New Roman" w:eastAsia="Times New Roman" w:hAnsi="Times New Roman" w:cs="Times New Roman"/>
          <w:kern w:val="36"/>
          <w:sz w:val="24"/>
          <w:szCs w:val="28"/>
          <w:lang w:eastAsia="en-ZW"/>
        </w:rPr>
      </w:pPr>
    </w:p>
    <w:p w14:paraId="4FD84881" w14:textId="77777777" w:rsidR="00C6326C" w:rsidRPr="00A32F52" w:rsidRDefault="00C6326C" w:rsidP="00A32F52">
      <w:pPr>
        <w:spacing w:after="0" w:line="360" w:lineRule="auto"/>
        <w:jc w:val="both"/>
        <w:outlineLvl w:val="1"/>
        <w:rPr>
          <w:rFonts w:ascii="Times New Roman" w:eastAsia="Times New Roman" w:hAnsi="Times New Roman" w:cs="Times New Roman"/>
          <w:b/>
          <w:sz w:val="24"/>
          <w:szCs w:val="28"/>
          <w:u w:val="single"/>
          <w:lang w:eastAsia="en-ZW"/>
        </w:rPr>
      </w:pPr>
      <w:r w:rsidRPr="00A32F52">
        <w:rPr>
          <w:rFonts w:ascii="Times New Roman" w:eastAsia="Times New Roman" w:hAnsi="Times New Roman" w:cs="Times New Roman"/>
          <w:b/>
          <w:sz w:val="24"/>
          <w:szCs w:val="28"/>
          <w:u w:val="single"/>
          <w:lang w:eastAsia="en-ZW"/>
        </w:rPr>
        <w:t>Introduction and Background</w:t>
      </w:r>
    </w:p>
    <w:p w14:paraId="37625EB8" w14:textId="56CEB7A2"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 xml:space="preserve">This matter came before the High Court on automatic review in terms of the law, following concerns raised about the trial magistrate’s jurisdiction and handling of sentencing. The accused, Tinashe </w:t>
      </w:r>
      <w:proofErr w:type="spellStart"/>
      <w:r w:rsidR="00C6326C" w:rsidRPr="00A32F52">
        <w:rPr>
          <w:rFonts w:ascii="Times New Roman" w:eastAsia="Times New Roman" w:hAnsi="Times New Roman" w:cs="Times New Roman"/>
          <w:sz w:val="24"/>
          <w:szCs w:val="28"/>
          <w:lang w:eastAsia="en-ZW"/>
        </w:rPr>
        <w:t>Maisva</w:t>
      </w:r>
      <w:proofErr w:type="spellEnd"/>
      <w:r w:rsidR="00C6326C" w:rsidRPr="00A32F52">
        <w:rPr>
          <w:rFonts w:ascii="Times New Roman" w:eastAsia="Times New Roman" w:hAnsi="Times New Roman" w:cs="Times New Roman"/>
          <w:sz w:val="24"/>
          <w:szCs w:val="28"/>
          <w:lang w:eastAsia="en-ZW"/>
        </w:rPr>
        <w:t xml:space="preserve"> (aged 27), was convicted by a magistrate at </w:t>
      </w:r>
      <w:proofErr w:type="spellStart"/>
      <w:r w:rsidR="00C6326C" w:rsidRPr="00A32F52">
        <w:rPr>
          <w:rFonts w:ascii="Times New Roman" w:eastAsia="Times New Roman" w:hAnsi="Times New Roman" w:cs="Times New Roman"/>
          <w:sz w:val="24"/>
          <w:szCs w:val="28"/>
          <w:lang w:eastAsia="en-ZW"/>
        </w:rPr>
        <w:t>Chitungwiza</w:t>
      </w:r>
      <w:proofErr w:type="spellEnd"/>
      <w:r w:rsidR="00C6326C" w:rsidRPr="00A32F52">
        <w:rPr>
          <w:rFonts w:ascii="Times New Roman" w:eastAsia="Times New Roman" w:hAnsi="Times New Roman" w:cs="Times New Roman"/>
          <w:sz w:val="24"/>
          <w:szCs w:val="28"/>
          <w:lang w:eastAsia="en-ZW"/>
        </w:rPr>
        <w:t xml:space="preserve"> of “having sexual intercourse with a young person” in contravention of section 70(1</w:t>
      </w:r>
      <w:proofErr w:type="gramStart"/>
      <w:r w:rsidR="00C6326C" w:rsidRPr="00A32F52">
        <w:rPr>
          <w:rFonts w:ascii="Times New Roman" w:eastAsia="Times New Roman" w:hAnsi="Times New Roman" w:cs="Times New Roman"/>
          <w:sz w:val="24"/>
          <w:szCs w:val="28"/>
          <w:lang w:eastAsia="en-ZW"/>
        </w:rPr>
        <w:t>)(</w:t>
      </w:r>
      <w:proofErr w:type="gramEnd"/>
      <w:r w:rsidR="00C6326C" w:rsidRPr="00A32F52">
        <w:rPr>
          <w:rFonts w:ascii="Times New Roman" w:eastAsia="Times New Roman" w:hAnsi="Times New Roman" w:cs="Times New Roman"/>
          <w:sz w:val="24"/>
          <w:szCs w:val="28"/>
          <w:lang w:eastAsia="en-ZW"/>
        </w:rPr>
        <w:t>a) of the Criminal Law (Codification and Reform) Act [</w:t>
      </w:r>
      <w:r w:rsidR="00C6326C" w:rsidRPr="00A32F52">
        <w:rPr>
          <w:rFonts w:ascii="Times New Roman" w:eastAsia="Times New Roman" w:hAnsi="Times New Roman" w:cs="Times New Roman"/>
          <w:i/>
          <w:sz w:val="24"/>
          <w:szCs w:val="28"/>
          <w:lang w:eastAsia="en-ZW"/>
        </w:rPr>
        <w:t>Chapter 9:23</w:t>
      </w:r>
      <w:r w:rsidR="00C6326C" w:rsidRPr="00A32F52">
        <w:rPr>
          <w:rFonts w:ascii="Times New Roman" w:eastAsia="Times New Roman" w:hAnsi="Times New Roman" w:cs="Times New Roman"/>
          <w:sz w:val="24"/>
          <w:szCs w:val="28"/>
          <w:lang w:eastAsia="en-ZW"/>
        </w:rPr>
        <w:t>]. The complainant was a 16-year-old girl with whom the accused had a consensual sexual relationship. Importantly, both the accused and the complainant are HIV-positive, a fact which engages the special sentencing provisions of section 80 of the same Act.</w:t>
      </w:r>
    </w:p>
    <w:p w14:paraId="53D89B39" w14:textId="5367AC06"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Upon conviction</w:t>
      </w:r>
      <w:r w:rsidR="00C7346C" w:rsidRPr="00A32F52">
        <w:rPr>
          <w:rFonts w:ascii="Times New Roman" w:eastAsia="Times New Roman" w:hAnsi="Times New Roman" w:cs="Times New Roman"/>
          <w:sz w:val="24"/>
          <w:szCs w:val="28"/>
          <w:lang w:eastAsia="en-ZW"/>
        </w:rPr>
        <w:t xml:space="preserve">, </w:t>
      </w:r>
      <w:r w:rsidR="00C6326C" w:rsidRPr="00A32F52">
        <w:rPr>
          <w:rFonts w:ascii="Times New Roman" w:eastAsia="Times New Roman" w:hAnsi="Times New Roman" w:cs="Times New Roman"/>
          <w:sz w:val="24"/>
          <w:szCs w:val="28"/>
          <w:lang w:eastAsia="en-ZW"/>
        </w:rPr>
        <w:t xml:space="preserve">which was based on the accused’s guilty plea, the trial magistrate sentenced the accused to 14 months’ imprisonment, of which 4 months were suspended on condition of good </w:t>
      </w:r>
      <w:r w:rsidR="00C7346C" w:rsidRPr="00A32F52">
        <w:rPr>
          <w:rFonts w:ascii="Times New Roman" w:eastAsia="Times New Roman" w:hAnsi="Times New Roman" w:cs="Times New Roman"/>
          <w:sz w:val="24"/>
          <w:szCs w:val="28"/>
          <w:lang w:eastAsia="en-ZW"/>
        </w:rPr>
        <w:t>behaviour</w:t>
      </w:r>
      <w:r w:rsidR="00C6326C" w:rsidRPr="00A32F52">
        <w:rPr>
          <w:rFonts w:ascii="Times New Roman" w:eastAsia="Times New Roman" w:hAnsi="Times New Roman" w:cs="Times New Roman"/>
          <w:sz w:val="24"/>
          <w:szCs w:val="28"/>
          <w:lang w:eastAsia="en-ZW"/>
        </w:rPr>
        <w:t>, leaving an effective 10-month custodial term. No inquiry was made into “special circumstances” as required by section 80 of the Code, despite the HIV status of the parties. The Regional Magistrate, upon routine scrutiny of the proceedings, queried whether the trial magistrate had the jurisdiction to deal with a matter that potentially attracted a mandatory minimum sentence far exceeding a magistrate’s ordinary sentencing powers. The case was accordingly referred to the High Court for review and correction of the apparent irregularity.</w:t>
      </w:r>
    </w:p>
    <w:p w14:paraId="37C7C681" w14:textId="77777777" w:rsidR="00C6326C" w:rsidRPr="00A32F52" w:rsidRDefault="00C6326C" w:rsidP="00A32F52">
      <w:pPr>
        <w:spacing w:after="0" w:line="360" w:lineRule="auto"/>
        <w:jc w:val="both"/>
        <w:outlineLvl w:val="1"/>
        <w:rPr>
          <w:rFonts w:ascii="Times New Roman" w:eastAsia="Times New Roman" w:hAnsi="Times New Roman" w:cs="Times New Roman"/>
          <w:b/>
          <w:sz w:val="24"/>
          <w:szCs w:val="28"/>
          <w:u w:val="single"/>
          <w:lang w:eastAsia="en-ZW"/>
        </w:rPr>
      </w:pPr>
      <w:r w:rsidRPr="00A32F52">
        <w:rPr>
          <w:rFonts w:ascii="Times New Roman" w:eastAsia="Times New Roman" w:hAnsi="Times New Roman" w:cs="Times New Roman"/>
          <w:b/>
          <w:sz w:val="24"/>
          <w:szCs w:val="28"/>
          <w:u w:val="single"/>
          <w:lang w:eastAsia="en-ZW"/>
        </w:rPr>
        <w:t>Legal Framework: Section 70(1) Offence and Section 80 Mandatory Sentencing</w:t>
      </w:r>
    </w:p>
    <w:p w14:paraId="061712D1" w14:textId="7E2D544B"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Under Zimbabwean law, sexual intercourse with a young person (someone below the age of consent) is a criminal offense in terms of section 70(1</w:t>
      </w:r>
      <w:proofErr w:type="gramStart"/>
      <w:r w:rsidR="00C6326C" w:rsidRPr="00A32F52">
        <w:rPr>
          <w:rFonts w:ascii="Times New Roman" w:eastAsia="Times New Roman" w:hAnsi="Times New Roman" w:cs="Times New Roman"/>
          <w:sz w:val="24"/>
          <w:szCs w:val="28"/>
          <w:lang w:eastAsia="en-ZW"/>
        </w:rPr>
        <w:t>)(</w:t>
      </w:r>
      <w:proofErr w:type="gramEnd"/>
      <w:r w:rsidR="00C6326C" w:rsidRPr="00A32F52">
        <w:rPr>
          <w:rFonts w:ascii="Times New Roman" w:eastAsia="Times New Roman" w:hAnsi="Times New Roman" w:cs="Times New Roman"/>
          <w:sz w:val="24"/>
          <w:szCs w:val="28"/>
          <w:lang w:eastAsia="en-ZW"/>
        </w:rPr>
        <w:t>a) of the Criminal L</w:t>
      </w:r>
      <w:r w:rsidR="00A24768">
        <w:rPr>
          <w:rFonts w:ascii="Times New Roman" w:eastAsia="Times New Roman" w:hAnsi="Times New Roman" w:cs="Times New Roman"/>
          <w:sz w:val="24"/>
          <w:szCs w:val="28"/>
          <w:lang w:eastAsia="en-ZW"/>
        </w:rPr>
        <w:t>aw Code. Ordinarily, this offenc</w:t>
      </w:r>
      <w:r w:rsidR="00C6326C" w:rsidRPr="00A32F52">
        <w:rPr>
          <w:rFonts w:ascii="Times New Roman" w:eastAsia="Times New Roman" w:hAnsi="Times New Roman" w:cs="Times New Roman"/>
          <w:sz w:val="24"/>
          <w:szCs w:val="28"/>
          <w:lang w:eastAsia="en-ZW"/>
        </w:rPr>
        <w:t>e carries a penalty at the discretion of the court</w:t>
      </w:r>
      <w:r w:rsidR="00C7346C" w:rsidRPr="00A32F52">
        <w:rPr>
          <w:rFonts w:ascii="Times New Roman" w:eastAsia="Times New Roman" w:hAnsi="Times New Roman" w:cs="Times New Roman"/>
          <w:sz w:val="24"/>
          <w:szCs w:val="28"/>
          <w:lang w:eastAsia="en-ZW"/>
        </w:rPr>
        <w:t xml:space="preserve">, </w:t>
      </w:r>
      <w:r w:rsidR="00C6326C" w:rsidRPr="00A32F52">
        <w:rPr>
          <w:rFonts w:ascii="Times New Roman" w:eastAsia="Times New Roman" w:hAnsi="Times New Roman" w:cs="Times New Roman"/>
          <w:sz w:val="24"/>
          <w:szCs w:val="28"/>
          <w:lang w:eastAsia="en-ZW"/>
        </w:rPr>
        <w:t xml:space="preserve">often a fine or </w:t>
      </w:r>
      <w:r w:rsidR="00C6326C" w:rsidRPr="00A32F52">
        <w:rPr>
          <w:rFonts w:ascii="Times New Roman" w:eastAsia="Times New Roman" w:hAnsi="Times New Roman" w:cs="Times New Roman"/>
          <w:sz w:val="24"/>
          <w:szCs w:val="28"/>
          <w:lang w:eastAsia="en-ZW"/>
        </w:rPr>
        <w:lastRenderedPageBreak/>
        <w:t>imprisonment up to a certain limit. However, section 80 of the Code imposes a special sentencing regime when certain aggravating circumstances are present – notably when the offender’s conduct posed a risk of transmitting HIV to the victim. Section 80(1</w:t>
      </w:r>
      <w:proofErr w:type="gramStart"/>
      <w:r w:rsidR="00C6326C" w:rsidRPr="00A32F52">
        <w:rPr>
          <w:rFonts w:ascii="Times New Roman" w:eastAsia="Times New Roman" w:hAnsi="Times New Roman" w:cs="Times New Roman"/>
          <w:sz w:val="24"/>
          <w:szCs w:val="28"/>
          <w:lang w:eastAsia="en-ZW"/>
        </w:rPr>
        <w:t>)(</w:t>
      </w:r>
      <w:proofErr w:type="gramEnd"/>
      <w:r w:rsidR="00C6326C" w:rsidRPr="00A32F52">
        <w:rPr>
          <w:rFonts w:ascii="Times New Roman" w:eastAsia="Times New Roman" w:hAnsi="Times New Roman" w:cs="Times New Roman"/>
          <w:sz w:val="24"/>
          <w:szCs w:val="28"/>
          <w:lang w:eastAsia="en-ZW"/>
        </w:rPr>
        <w:t xml:space="preserve">c) explicitly covers the scenario of sexual intercourse with a young person </w:t>
      </w:r>
      <w:r w:rsidR="00C6326C" w:rsidRPr="00A32F52">
        <w:rPr>
          <w:rFonts w:ascii="Times New Roman" w:eastAsia="Times New Roman" w:hAnsi="Times New Roman" w:cs="Times New Roman"/>
          <w:i/>
          <w:iCs/>
          <w:sz w:val="24"/>
          <w:szCs w:val="28"/>
          <w:lang w:eastAsia="en-ZW"/>
        </w:rPr>
        <w:t>“involving any penetration… that incurs the risk of transmission of HIV”</w:t>
      </w:r>
      <w:r w:rsidR="00C6326C" w:rsidRPr="00A32F52">
        <w:rPr>
          <w:rFonts w:ascii="Times New Roman" w:eastAsia="Times New Roman" w:hAnsi="Times New Roman" w:cs="Times New Roman"/>
          <w:sz w:val="24"/>
          <w:szCs w:val="28"/>
          <w:lang w:eastAsia="en-ZW"/>
        </w:rPr>
        <w:t>. If it is prove</w:t>
      </w:r>
      <w:r w:rsidR="00A24768">
        <w:rPr>
          <w:rFonts w:ascii="Times New Roman" w:eastAsia="Times New Roman" w:hAnsi="Times New Roman" w:cs="Times New Roman"/>
          <w:sz w:val="24"/>
          <w:szCs w:val="28"/>
          <w:lang w:eastAsia="en-ZW"/>
        </w:rPr>
        <w:t>n that at the time of the offenc</w:t>
      </w:r>
      <w:r w:rsidR="00C6326C" w:rsidRPr="00A32F52">
        <w:rPr>
          <w:rFonts w:ascii="Times New Roman" w:eastAsia="Times New Roman" w:hAnsi="Times New Roman" w:cs="Times New Roman"/>
          <w:sz w:val="24"/>
          <w:szCs w:val="28"/>
          <w:lang w:eastAsia="en-ZW"/>
        </w:rPr>
        <w:t>e the accused was infected with HIV, the law mandates that “he or she shall be sentenced to imprisonment for a period of not less than ten years”. This 10-year term is a statutory minimum sentence intended as a harsh deterrent in cases of potential HIV transmission.</w:t>
      </w:r>
    </w:p>
    <w:p w14:paraId="3E398822" w14:textId="5624A403"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 xml:space="preserve">Importantly, section 80 provides a saving provision in the form of “special circumstances.” If the convicted person </w:t>
      </w:r>
      <w:r w:rsidR="00C6326C" w:rsidRPr="00A32F52">
        <w:rPr>
          <w:rFonts w:ascii="Times New Roman" w:eastAsia="Times New Roman" w:hAnsi="Times New Roman" w:cs="Times New Roman"/>
          <w:i/>
          <w:iCs/>
          <w:sz w:val="24"/>
          <w:szCs w:val="28"/>
          <w:lang w:eastAsia="en-ZW"/>
        </w:rPr>
        <w:t>“satisfies the court that there are special circumstances peculiar to the case, which circumstances shall be recorded by the court, why the [minimum] penalty… should not be imposed,”</w:t>
      </w:r>
      <w:r w:rsidR="00C6326C" w:rsidRPr="00A32F52">
        <w:rPr>
          <w:rFonts w:ascii="Times New Roman" w:eastAsia="Times New Roman" w:hAnsi="Times New Roman" w:cs="Times New Roman"/>
          <w:sz w:val="24"/>
          <w:szCs w:val="28"/>
          <w:lang w:eastAsia="en-ZW"/>
        </w:rPr>
        <w:t xml:space="preserve"> then the court may depart from the 10-year minimum and impose an appropriate lesser sentence under the ordinary penalty provisions of the law. In other words, absent special circumstances, the court has no discretion – it must impose at least ten years’ imprisonment. Only if special circumstances peculiar to the case are proved to the court’s satisfaction (and entered into the record) </w:t>
      </w:r>
      <w:proofErr w:type="gramStart"/>
      <w:r w:rsidR="00C6326C" w:rsidRPr="00A32F52">
        <w:rPr>
          <w:rFonts w:ascii="Times New Roman" w:eastAsia="Times New Roman" w:hAnsi="Times New Roman" w:cs="Times New Roman"/>
          <w:sz w:val="24"/>
          <w:szCs w:val="28"/>
          <w:lang w:eastAsia="en-ZW"/>
        </w:rPr>
        <w:t>is</w:t>
      </w:r>
      <w:proofErr w:type="gramEnd"/>
      <w:r w:rsidR="00C6326C" w:rsidRPr="00A32F52">
        <w:rPr>
          <w:rFonts w:ascii="Times New Roman" w:eastAsia="Times New Roman" w:hAnsi="Times New Roman" w:cs="Times New Roman"/>
          <w:sz w:val="24"/>
          <w:szCs w:val="28"/>
          <w:lang w:eastAsia="en-ZW"/>
        </w:rPr>
        <w:t xml:space="preserve"> the court’s normal sentencing discretion restored. These provisions are peremptory</w:t>
      </w:r>
      <w:r w:rsidR="00C7346C" w:rsidRPr="00A32F52">
        <w:rPr>
          <w:rFonts w:ascii="Times New Roman" w:eastAsia="Times New Roman" w:hAnsi="Times New Roman" w:cs="Times New Roman"/>
          <w:sz w:val="24"/>
          <w:szCs w:val="28"/>
          <w:lang w:eastAsia="en-ZW"/>
        </w:rPr>
        <w:t>.</w:t>
      </w:r>
      <w:r w:rsidR="00C6326C" w:rsidRPr="00A32F52">
        <w:rPr>
          <w:rFonts w:ascii="Times New Roman" w:eastAsia="Times New Roman" w:hAnsi="Times New Roman" w:cs="Times New Roman"/>
          <w:sz w:val="24"/>
          <w:szCs w:val="28"/>
          <w:lang w:eastAsia="en-ZW"/>
        </w:rPr>
        <w:t xml:space="preserve"> </w:t>
      </w:r>
      <w:r w:rsidR="00C7346C" w:rsidRPr="00A32F52">
        <w:rPr>
          <w:rFonts w:ascii="Times New Roman" w:eastAsia="Times New Roman" w:hAnsi="Times New Roman" w:cs="Times New Roman"/>
          <w:sz w:val="24"/>
          <w:szCs w:val="28"/>
          <w:lang w:eastAsia="en-ZW"/>
        </w:rPr>
        <w:t>T</w:t>
      </w:r>
      <w:r w:rsidR="00C6326C" w:rsidRPr="00A32F52">
        <w:rPr>
          <w:rFonts w:ascii="Times New Roman" w:eastAsia="Times New Roman" w:hAnsi="Times New Roman" w:cs="Times New Roman"/>
          <w:sz w:val="24"/>
          <w:szCs w:val="28"/>
          <w:lang w:eastAsia="en-ZW"/>
        </w:rPr>
        <w:t>he onus is on the accused to prove the existence of special circumstances, and the court must inquire into and explicitly record such circumstances if it proposes to avoid the mandatory minimum.</w:t>
      </w:r>
    </w:p>
    <w:p w14:paraId="402860A2" w14:textId="56B4DA42" w:rsidR="00C6326C" w:rsidRPr="00A32F52" w:rsidRDefault="00A32F52" w:rsidP="00A32F52">
      <w:pPr>
        <w:spacing w:after="0" w:line="360" w:lineRule="auto"/>
        <w:jc w:val="both"/>
        <w:rPr>
          <w:rFonts w:ascii="Times New Roman" w:eastAsia="Times New Roman" w:hAnsi="Times New Roman" w:cs="Times New Roman"/>
          <w:i/>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 xml:space="preserve">In the present case, the fact that both the accused and complainant were HIV-positive should have immediately alerted the trial court to the applicability of section 80. The law is clear that the mandatory sentence is triggered by the mere fact of exposing someone to the risk of HIV transmission, </w:t>
      </w:r>
      <w:r w:rsidR="00C6326C" w:rsidRPr="00A32F52">
        <w:rPr>
          <w:rFonts w:ascii="Times New Roman" w:eastAsia="Times New Roman" w:hAnsi="Times New Roman" w:cs="Times New Roman"/>
          <w:i/>
          <w:iCs/>
          <w:sz w:val="24"/>
          <w:szCs w:val="28"/>
          <w:lang w:eastAsia="en-ZW"/>
        </w:rPr>
        <w:t>“irrespective of whether transmission actually occurs”</w:t>
      </w:r>
      <w:r w:rsidR="00C6326C" w:rsidRPr="00A32F52">
        <w:rPr>
          <w:rFonts w:ascii="Times New Roman" w:eastAsia="Times New Roman" w:hAnsi="Times New Roman" w:cs="Times New Roman"/>
          <w:sz w:val="24"/>
          <w:szCs w:val="28"/>
          <w:lang w:eastAsia="en-ZW"/>
        </w:rPr>
        <w:t>. The rationale is that one should be punished for endangering the victim by potentially exposing them to HIV, even if, by providence or as in this case by the complainant’s pre-existing status, no new infection occurs. Thus, the magistrate was obliged by law to conduct an inquiry into special circumstances immediately after conviction and before passing sentence. This procedure – canvassing special circumstances post-verdict but prior to mitigation and sentence – is well established in our courts.</w:t>
      </w:r>
      <w:r w:rsidR="00A740CC" w:rsidRPr="00A32F52">
        <w:rPr>
          <w:rFonts w:ascii="Times New Roman" w:eastAsia="Times New Roman" w:hAnsi="Times New Roman" w:cs="Times New Roman"/>
          <w:sz w:val="24"/>
          <w:szCs w:val="28"/>
          <w:lang w:eastAsia="en-ZW"/>
        </w:rPr>
        <w:t xml:space="preserve"> </w:t>
      </w:r>
      <w:proofErr w:type="gramStart"/>
      <w:r w:rsidR="00A740CC" w:rsidRPr="00A32F52">
        <w:rPr>
          <w:rFonts w:ascii="Times New Roman" w:eastAsia="Times New Roman" w:hAnsi="Times New Roman" w:cs="Times New Roman"/>
          <w:sz w:val="24"/>
          <w:szCs w:val="28"/>
          <w:lang w:eastAsia="en-ZW"/>
        </w:rPr>
        <w:t xml:space="preserve">See, </w:t>
      </w:r>
      <w:r w:rsidR="00A740CC" w:rsidRPr="00A32F52">
        <w:rPr>
          <w:rFonts w:ascii="Times New Roman" w:eastAsia="Times New Roman" w:hAnsi="Times New Roman" w:cs="Times New Roman"/>
          <w:i/>
          <w:iCs/>
          <w:sz w:val="24"/>
          <w:szCs w:val="28"/>
          <w:lang w:eastAsia="en-ZW"/>
        </w:rPr>
        <w:t xml:space="preserve">State </w:t>
      </w:r>
      <w:r w:rsidR="00A740CC" w:rsidRPr="00A32F52">
        <w:rPr>
          <w:rFonts w:ascii="Times New Roman" w:eastAsia="Times New Roman" w:hAnsi="Times New Roman" w:cs="Times New Roman"/>
          <w:iCs/>
          <w:sz w:val="24"/>
          <w:szCs w:val="28"/>
          <w:lang w:eastAsia="en-ZW"/>
        </w:rPr>
        <w:t>v</w:t>
      </w:r>
      <w:r w:rsidR="00A740CC" w:rsidRPr="00A32F52">
        <w:rPr>
          <w:rFonts w:ascii="Times New Roman" w:eastAsia="Times New Roman" w:hAnsi="Times New Roman" w:cs="Times New Roman"/>
          <w:i/>
          <w:iCs/>
          <w:sz w:val="24"/>
          <w:szCs w:val="28"/>
          <w:lang w:eastAsia="en-ZW"/>
        </w:rPr>
        <w:t xml:space="preserve"> </w:t>
      </w:r>
      <w:proofErr w:type="spellStart"/>
      <w:r w:rsidR="00A740CC" w:rsidRPr="00A32F52">
        <w:rPr>
          <w:rFonts w:ascii="Times New Roman" w:eastAsia="Times New Roman" w:hAnsi="Times New Roman" w:cs="Times New Roman"/>
          <w:i/>
          <w:iCs/>
          <w:sz w:val="24"/>
          <w:szCs w:val="28"/>
          <w:lang w:eastAsia="en-ZW"/>
        </w:rPr>
        <w:t>Kambuzuma</w:t>
      </w:r>
      <w:proofErr w:type="spellEnd"/>
      <w:r w:rsidR="00A740CC" w:rsidRPr="00A32F52">
        <w:rPr>
          <w:rFonts w:ascii="Times New Roman" w:eastAsia="Times New Roman" w:hAnsi="Times New Roman" w:cs="Times New Roman"/>
          <w:i/>
          <w:iCs/>
          <w:sz w:val="24"/>
          <w:szCs w:val="28"/>
          <w:lang w:eastAsia="en-ZW"/>
        </w:rPr>
        <w:t xml:space="preserve"> </w:t>
      </w:r>
      <w:r w:rsidR="00A740CC" w:rsidRPr="00A32F52">
        <w:rPr>
          <w:rFonts w:ascii="Times New Roman" w:eastAsia="Times New Roman" w:hAnsi="Times New Roman" w:cs="Times New Roman"/>
          <w:iCs/>
          <w:sz w:val="24"/>
          <w:szCs w:val="28"/>
          <w:lang w:eastAsia="en-ZW"/>
        </w:rPr>
        <w:t>2015 ZWHHC 175.</w:t>
      </w:r>
      <w:proofErr w:type="gramEnd"/>
      <w:r w:rsidR="00A740CC" w:rsidRPr="00A32F52">
        <w:rPr>
          <w:rFonts w:ascii="Times New Roman" w:eastAsia="Times New Roman" w:hAnsi="Times New Roman" w:cs="Times New Roman"/>
          <w:sz w:val="24"/>
          <w:szCs w:val="28"/>
          <w:lang w:eastAsia="en-ZW"/>
        </w:rPr>
        <w:t xml:space="preserve"> </w:t>
      </w:r>
      <w:r w:rsidR="00C6326C" w:rsidRPr="00A32F52">
        <w:rPr>
          <w:rFonts w:ascii="Times New Roman" w:eastAsia="Times New Roman" w:hAnsi="Times New Roman" w:cs="Times New Roman"/>
          <w:sz w:val="24"/>
          <w:szCs w:val="28"/>
          <w:lang w:eastAsia="en-ZW"/>
        </w:rPr>
        <w:t xml:space="preserve"> Both the accused and the prosecution should be given the opportunity to make representations or lead evidence on any special circumstances peculiar to the case. Only once that inquiry is concluded can the court determine the appropriate sentence</w:t>
      </w:r>
      <w:r w:rsidR="00A740CC" w:rsidRPr="00A32F52">
        <w:rPr>
          <w:rFonts w:ascii="Times New Roman" w:eastAsia="Times New Roman" w:hAnsi="Times New Roman" w:cs="Times New Roman"/>
          <w:sz w:val="24"/>
          <w:szCs w:val="28"/>
          <w:lang w:eastAsia="en-ZW"/>
        </w:rPr>
        <w:t>.</w:t>
      </w:r>
      <w:r w:rsidR="00C6326C" w:rsidRPr="00A32F52">
        <w:rPr>
          <w:rFonts w:ascii="Times New Roman" w:eastAsia="Times New Roman" w:hAnsi="Times New Roman" w:cs="Times New Roman"/>
          <w:sz w:val="24"/>
          <w:szCs w:val="28"/>
          <w:lang w:eastAsia="en-ZW"/>
        </w:rPr>
        <w:t xml:space="preserve"> </w:t>
      </w:r>
      <w:r w:rsidR="00A740CC" w:rsidRPr="00A32F52">
        <w:rPr>
          <w:rFonts w:ascii="Times New Roman" w:eastAsia="Times New Roman" w:hAnsi="Times New Roman" w:cs="Times New Roman"/>
          <w:sz w:val="24"/>
          <w:szCs w:val="28"/>
          <w:lang w:eastAsia="en-ZW"/>
        </w:rPr>
        <w:t>I</w:t>
      </w:r>
      <w:r w:rsidR="00C6326C" w:rsidRPr="00A32F52">
        <w:rPr>
          <w:rFonts w:ascii="Times New Roman" w:eastAsia="Times New Roman" w:hAnsi="Times New Roman" w:cs="Times New Roman"/>
          <w:sz w:val="24"/>
          <w:szCs w:val="28"/>
          <w:lang w:eastAsia="en-ZW"/>
        </w:rPr>
        <w:t xml:space="preserve">f no special circumstances are found, a minimum of 10 years must be imposed, but if special </w:t>
      </w:r>
      <w:r w:rsidR="00C6326C" w:rsidRPr="00A32F52">
        <w:rPr>
          <w:rFonts w:ascii="Times New Roman" w:eastAsia="Times New Roman" w:hAnsi="Times New Roman" w:cs="Times New Roman"/>
          <w:sz w:val="24"/>
          <w:szCs w:val="28"/>
          <w:lang w:eastAsia="en-ZW"/>
        </w:rPr>
        <w:lastRenderedPageBreak/>
        <w:t>circumstances are found and recorded, the court may then consider the usual mitigating and aggravating factors and impose a lesser sentence in line with sectio</w:t>
      </w:r>
      <w:r w:rsidR="00C6326C" w:rsidRPr="00A32F52">
        <w:rPr>
          <w:rFonts w:ascii="Times New Roman" w:eastAsia="Times New Roman" w:hAnsi="Times New Roman" w:cs="Times New Roman"/>
          <w:i/>
          <w:sz w:val="24"/>
          <w:szCs w:val="28"/>
          <w:lang w:eastAsia="en-ZW"/>
        </w:rPr>
        <w:t>n 70’s penalties.</w:t>
      </w:r>
    </w:p>
    <w:p w14:paraId="68101059" w14:textId="4155C1EF"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i/>
          <w:sz w:val="24"/>
          <w:szCs w:val="28"/>
          <w:lang w:eastAsia="en-ZW"/>
        </w:rPr>
        <w:tab/>
      </w:r>
      <w:r w:rsidR="00C6326C" w:rsidRPr="00A32F52">
        <w:rPr>
          <w:rFonts w:ascii="Times New Roman" w:eastAsia="Times New Roman" w:hAnsi="Times New Roman" w:cs="Times New Roman"/>
          <w:i/>
          <w:sz w:val="24"/>
          <w:szCs w:val="28"/>
          <w:lang w:eastAsia="en-ZW"/>
        </w:rPr>
        <w:t>In S</w:t>
      </w:r>
      <w:r w:rsidR="00C6326C" w:rsidRPr="00A32F52">
        <w:rPr>
          <w:rFonts w:ascii="Times New Roman" w:eastAsia="Times New Roman" w:hAnsi="Times New Roman" w:cs="Times New Roman"/>
          <w:sz w:val="24"/>
          <w:szCs w:val="28"/>
          <w:lang w:eastAsia="en-ZW"/>
        </w:rPr>
        <w:t xml:space="preserve"> v </w:t>
      </w:r>
      <w:proofErr w:type="spellStart"/>
      <w:r w:rsidR="00C6326C" w:rsidRPr="00A32F52">
        <w:rPr>
          <w:rFonts w:ascii="Times New Roman" w:eastAsia="Times New Roman" w:hAnsi="Times New Roman" w:cs="Times New Roman"/>
          <w:i/>
          <w:sz w:val="24"/>
          <w:szCs w:val="28"/>
          <w:lang w:eastAsia="en-ZW"/>
        </w:rPr>
        <w:t>Guvheya</w:t>
      </w:r>
      <w:proofErr w:type="spellEnd"/>
      <w:r w:rsidR="00C6326C" w:rsidRPr="00A32F52">
        <w:rPr>
          <w:rFonts w:ascii="Times New Roman" w:eastAsia="Times New Roman" w:hAnsi="Times New Roman" w:cs="Times New Roman"/>
          <w:i/>
          <w:sz w:val="24"/>
          <w:szCs w:val="28"/>
          <w:lang w:eastAsia="en-ZW"/>
        </w:rPr>
        <w:t xml:space="preserve"> </w:t>
      </w:r>
      <w:r w:rsidR="00C6326C" w:rsidRPr="00A32F52">
        <w:rPr>
          <w:rFonts w:ascii="Times New Roman" w:eastAsia="Times New Roman" w:hAnsi="Times New Roman" w:cs="Times New Roman"/>
          <w:sz w:val="24"/>
          <w:szCs w:val="28"/>
          <w:lang w:eastAsia="en-ZW"/>
        </w:rPr>
        <w:t>[2024] ZWHHC 334, a case very similar to the present one, the High Court emphasized that when dealing w</w:t>
      </w:r>
      <w:r w:rsidR="00A24768">
        <w:rPr>
          <w:rFonts w:ascii="Times New Roman" w:eastAsia="Times New Roman" w:hAnsi="Times New Roman" w:cs="Times New Roman"/>
          <w:sz w:val="24"/>
          <w:szCs w:val="28"/>
          <w:lang w:eastAsia="en-ZW"/>
        </w:rPr>
        <w:t>ith a young person sexual offenc</w:t>
      </w:r>
      <w:r w:rsidR="00C6326C" w:rsidRPr="00A32F52">
        <w:rPr>
          <w:rFonts w:ascii="Times New Roman" w:eastAsia="Times New Roman" w:hAnsi="Times New Roman" w:cs="Times New Roman"/>
          <w:sz w:val="24"/>
          <w:szCs w:val="28"/>
          <w:lang w:eastAsia="en-ZW"/>
        </w:rPr>
        <w:t xml:space="preserve">e involving HIV risk, </w:t>
      </w:r>
      <w:r w:rsidR="00C6326C" w:rsidRPr="00A32F52">
        <w:rPr>
          <w:rFonts w:ascii="Times New Roman" w:eastAsia="Times New Roman" w:hAnsi="Times New Roman" w:cs="Times New Roman"/>
          <w:i/>
          <w:iCs/>
          <w:sz w:val="24"/>
          <w:szCs w:val="28"/>
          <w:lang w:eastAsia="en-ZW"/>
        </w:rPr>
        <w:t>“the starting point had to be an interrogation of the question of special circumstances,”</w:t>
      </w:r>
      <w:r w:rsidR="00C6326C" w:rsidRPr="00A32F52">
        <w:rPr>
          <w:rFonts w:ascii="Times New Roman" w:eastAsia="Times New Roman" w:hAnsi="Times New Roman" w:cs="Times New Roman"/>
          <w:sz w:val="24"/>
          <w:szCs w:val="28"/>
          <w:lang w:eastAsia="en-ZW"/>
        </w:rPr>
        <w:t xml:space="preserve"> and this inquiry </w:t>
      </w:r>
      <w:r w:rsidR="00C6326C" w:rsidRPr="00A32F52">
        <w:rPr>
          <w:rFonts w:ascii="Times New Roman" w:eastAsia="Times New Roman" w:hAnsi="Times New Roman" w:cs="Times New Roman"/>
          <w:i/>
          <w:iCs/>
          <w:sz w:val="24"/>
          <w:szCs w:val="28"/>
          <w:lang w:eastAsia="en-ZW"/>
        </w:rPr>
        <w:t>“had to precede the canvassing of all other general mitigation and aggravation.</w:t>
      </w:r>
      <w:proofErr w:type="gramStart"/>
      <w:r w:rsidR="00C6326C" w:rsidRPr="00A32F52">
        <w:rPr>
          <w:rFonts w:ascii="Times New Roman" w:eastAsia="Times New Roman" w:hAnsi="Times New Roman" w:cs="Times New Roman"/>
          <w:i/>
          <w:iCs/>
          <w:sz w:val="24"/>
          <w:szCs w:val="28"/>
          <w:lang w:eastAsia="en-ZW"/>
        </w:rPr>
        <w:t>”</w:t>
      </w:r>
      <w:r w:rsidR="00C6326C" w:rsidRPr="00A32F52">
        <w:rPr>
          <w:rFonts w:ascii="Times New Roman" w:eastAsia="Times New Roman" w:hAnsi="Times New Roman" w:cs="Times New Roman"/>
          <w:sz w:val="24"/>
          <w:szCs w:val="28"/>
          <w:lang w:eastAsia="en-ZW"/>
        </w:rPr>
        <w:t>.</w:t>
      </w:r>
      <w:proofErr w:type="gramEnd"/>
      <w:r w:rsidR="00C6326C" w:rsidRPr="00A32F52">
        <w:rPr>
          <w:rFonts w:ascii="Times New Roman" w:eastAsia="Times New Roman" w:hAnsi="Times New Roman" w:cs="Times New Roman"/>
          <w:sz w:val="24"/>
          <w:szCs w:val="28"/>
          <w:lang w:eastAsia="en-ZW"/>
        </w:rPr>
        <w:t xml:space="preserve"> The court noted that the offender in that case was facing the mandatory ten-year term, and thus legal representation and a full special circumstances hearing were arranged on review to ensure justice. That exemplifies the crucial step the trial magistrate in our case regrettably skipped. By failing to call for special circumstances, the magistrate here neither applied the mandatory sentence nor gave the accused an opportunity to avoid it lawfully – a serious procedural irregularity</w:t>
      </w:r>
      <w:r w:rsidR="00A740CC" w:rsidRPr="00A32F52">
        <w:rPr>
          <w:rFonts w:ascii="Times New Roman" w:eastAsia="Times New Roman" w:hAnsi="Times New Roman" w:cs="Times New Roman"/>
          <w:sz w:val="24"/>
          <w:szCs w:val="28"/>
          <w:lang w:eastAsia="en-ZW"/>
        </w:rPr>
        <w:t xml:space="preserve"> per the </w:t>
      </w:r>
      <w:proofErr w:type="spellStart"/>
      <w:r w:rsidR="00A740CC" w:rsidRPr="00A32F52">
        <w:rPr>
          <w:rFonts w:ascii="Times New Roman" w:eastAsia="Times New Roman" w:hAnsi="Times New Roman" w:cs="Times New Roman"/>
          <w:i/>
          <w:iCs/>
          <w:sz w:val="24"/>
          <w:szCs w:val="28"/>
          <w:lang w:eastAsia="en-ZW"/>
        </w:rPr>
        <w:t>Kambuzuma</w:t>
      </w:r>
      <w:proofErr w:type="spellEnd"/>
      <w:r w:rsidR="00A740CC" w:rsidRPr="00A32F52">
        <w:rPr>
          <w:rFonts w:ascii="Times New Roman" w:eastAsia="Times New Roman" w:hAnsi="Times New Roman" w:cs="Times New Roman"/>
          <w:i/>
          <w:iCs/>
          <w:sz w:val="24"/>
          <w:szCs w:val="28"/>
          <w:lang w:eastAsia="en-ZW"/>
        </w:rPr>
        <w:t xml:space="preserve"> </w:t>
      </w:r>
      <w:r w:rsidR="00A740CC" w:rsidRPr="00A32F52">
        <w:rPr>
          <w:rFonts w:ascii="Times New Roman" w:eastAsia="Times New Roman" w:hAnsi="Times New Roman" w:cs="Times New Roman"/>
          <w:sz w:val="24"/>
          <w:szCs w:val="28"/>
          <w:lang w:eastAsia="en-ZW"/>
        </w:rPr>
        <w:t>case supra</w:t>
      </w:r>
      <w:r w:rsidR="00C6326C" w:rsidRPr="00A32F52">
        <w:rPr>
          <w:rFonts w:ascii="Times New Roman" w:eastAsia="Times New Roman" w:hAnsi="Times New Roman" w:cs="Times New Roman"/>
          <w:sz w:val="24"/>
          <w:szCs w:val="28"/>
          <w:lang w:eastAsia="en-ZW"/>
        </w:rPr>
        <w:t>.</w:t>
      </w:r>
    </w:p>
    <w:p w14:paraId="4B501CF1" w14:textId="77777777" w:rsidR="00C6326C" w:rsidRPr="00A32F52" w:rsidRDefault="00C6326C" w:rsidP="00A32F52">
      <w:pPr>
        <w:spacing w:after="0" w:line="360" w:lineRule="auto"/>
        <w:jc w:val="both"/>
        <w:outlineLvl w:val="1"/>
        <w:rPr>
          <w:rFonts w:ascii="Times New Roman" w:eastAsia="Times New Roman" w:hAnsi="Times New Roman" w:cs="Times New Roman"/>
          <w:b/>
          <w:sz w:val="24"/>
          <w:szCs w:val="28"/>
          <w:u w:val="single"/>
          <w:lang w:eastAsia="en-ZW"/>
        </w:rPr>
      </w:pPr>
      <w:r w:rsidRPr="00A32F52">
        <w:rPr>
          <w:rFonts w:ascii="Times New Roman" w:eastAsia="Times New Roman" w:hAnsi="Times New Roman" w:cs="Times New Roman"/>
          <w:b/>
          <w:sz w:val="24"/>
          <w:szCs w:val="28"/>
          <w:u w:val="single"/>
          <w:lang w:eastAsia="en-ZW"/>
        </w:rPr>
        <w:t>Magistrates’ Sentencing Jurisdiction and the Error in this Case</w:t>
      </w:r>
    </w:p>
    <w:p w14:paraId="5B7337FE" w14:textId="15000D7A"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It is a fundamental principle that the Magistrates’ Court is a creature of statute, having only the jurisdiction and powers conferred upon it by law</w:t>
      </w:r>
      <w:r w:rsidR="00A740CC" w:rsidRPr="00A32F52">
        <w:rPr>
          <w:rFonts w:ascii="Times New Roman" w:hAnsi="Times New Roman" w:cs="Times New Roman"/>
          <w:sz w:val="24"/>
          <w:szCs w:val="28"/>
        </w:rPr>
        <w:t xml:space="preserve"> as emphasized in </w:t>
      </w:r>
      <w:r w:rsidR="00A740CC" w:rsidRPr="00A32F52">
        <w:rPr>
          <w:rFonts w:ascii="Times New Roman" w:hAnsi="Times New Roman" w:cs="Times New Roman"/>
          <w:i/>
          <w:iCs/>
          <w:sz w:val="24"/>
          <w:szCs w:val="28"/>
        </w:rPr>
        <w:t xml:space="preserve">S </w:t>
      </w:r>
      <w:r w:rsidR="00A740CC" w:rsidRPr="00A32F52">
        <w:rPr>
          <w:rFonts w:ascii="Times New Roman" w:hAnsi="Times New Roman" w:cs="Times New Roman"/>
          <w:iCs/>
          <w:sz w:val="24"/>
          <w:szCs w:val="28"/>
        </w:rPr>
        <w:t>v</w:t>
      </w:r>
      <w:r w:rsidR="00A740CC" w:rsidRPr="00A32F52">
        <w:rPr>
          <w:rFonts w:ascii="Times New Roman" w:hAnsi="Times New Roman" w:cs="Times New Roman"/>
          <w:i/>
          <w:iCs/>
          <w:sz w:val="24"/>
          <w:szCs w:val="28"/>
        </w:rPr>
        <w:t xml:space="preserve"> </w:t>
      </w:r>
      <w:proofErr w:type="spellStart"/>
      <w:r w:rsidR="00A740CC" w:rsidRPr="00A32F52">
        <w:rPr>
          <w:rFonts w:ascii="Times New Roman" w:hAnsi="Times New Roman" w:cs="Times New Roman"/>
          <w:i/>
          <w:iCs/>
          <w:sz w:val="24"/>
          <w:szCs w:val="28"/>
        </w:rPr>
        <w:t>Ncube</w:t>
      </w:r>
      <w:proofErr w:type="spellEnd"/>
      <w:r w:rsidR="00A740CC" w:rsidRPr="00A32F52">
        <w:rPr>
          <w:rFonts w:ascii="Times New Roman" w:hAnsi="Times New Roman" w:cs="Times New Roman"/>
          <w:sz w:val="24"/>
          <w:szCs w:val="28"/>
        </w:rPr>
        <w:t xml:space="preserve"> HB 6 /24</w:t>
      </w:r>
      <w:r w:rsidR="00C6326C" w:rsidRPr="00A32F52">
        <w:rPr>
          <w:rFonts w:ascii="Times New Roman" w:eastAsia="Times New Roman" w:hAnsi="Times New Roman" w:cs="Times New Roman"/>
          <w:sz w:val="24"/>
          <w:szCs w:val="28"/>
          <w:lang w:eastAsia="en-ZW"/>
        </w:rPr>
        <w:t>. In criminal matters, magistrates are limited in the severity of sentences they may impose. For an ordinary magistrate (as opposed to a regional magistrate), the Magistrates Court Act [</w:t>
      </w:r>
      <w:r w:rsidR="00C6326C" w:rsidRPr="00A32F52">
        <w:rPr>
          <w:rFonts w:ascii="Times New Roman" w:eastAsia="Times New Roman" w:hAnsi="Times New Roman" w:cs="Times New Roman"/>
          <w:i/>
          <w:sz w:val="24"/>
          <w:szCs w:val="28"/>
          <w:lang w:eastAsia="en-ZW"/>
        </w:rPr>
        <w:t>Chapter 7:10</w:t>
      </w:r>
      <w:r w:rsidR="00C6326C" w:rsidRPr="00A32F52">
        <w:rPr>
          <w:rFonts w:ascii="Times New Roman" w:eastAsia="Times New Roman" w:hAnsi="Times New Roman" w:cs="Times New Roman"/>
          <w:sz w:val="24"/>
          <w:szCs w:val="28"/>
          <w:lang w:eastAsia="en-ZW"/>
        </w:rPr>
        <w:t xml:space="preserve">] provides that the maximum sentence on a summary trial is generally 2 years’ imprisonment (or a fine up to level 7), and up to 4 years (or fine level 9) if the matter is referred to the magistrate by the Prosecutor-General for sentence under special authorization. Certain statutes or statutory provisions can extend a magistrate’s jurisdiction for particular offenses (for example, section 51 of the Magistrates Court Act grants magistrates enhanced jurisdiction up to 7 years for specific crimes like public violence, and unlimited jurisdiction for a few particular offenses such as stock theft under section 114 of the Criminal Law Code). Unless such an extension is expressly provided by law, a magistrate cannot exceed the ordinary sentencing limits. As was succinctly stated in </w:t>
      </w:r>
      <w:r w:rsidR="00C6326C" w:rsidRPr="00A32F52">
        <w:rPr>
          <w:rFonts w:ascii="Times New Roman" w:eastAsia="Times New Roman" w:hAnsi="Times New Roman" w:cs="Times New Roman"/>
          <w:i/>
          <w:sz w:val="24"/>
          <w:szCs w:val="28"/>
          <w:lang w:eastAsia="en-ZW"/>
        </w:rPr>
        <w:t xml:space="preserve">S </w:t>
      </w:r>
      <w:r w:rsidR="00C6326C" w:rsidRPr="00A32F52">
        <w:rPr>
          <w:rFonts w:ascii="Times New Roman" w:eastAsia="Times New Roman" w:hAnsi="Times New Roman" w:cs="Times New Roman"/>
          <w:sz w:val="24"/>
          <w:szCs w:val="28"/>
          <w:lang w:eastAsia="en-ZW"/>
        </w:rPr>
        <w:t xml:space="preserve">v </w:t>
      </w:r>
      <w:proofErr w:type="spellStart"/>
      <w:r w:rsidR="00C6326C" w:rsidRPr="00A32F52">
        <w:rPr>
          <w:rFonts w:ascii="Times New Roman" w:eastAsia="Times New Roman" w:hAnsi="Times New Roman" w:cs="Times New Roman"/>
          <w:i/>
          <w:sz w:val="24"/>
          <w:szCs w:val="28"/>
          <w:lang w:eastAsia="en-ZW"/>
        </w:rPr>
        <w:t>Ncube</w:t>
      </w:r>
      <w:proofErr w:type="spellEnd"/>
      <w:r w:rsidR="00C6326C" w:rsidRPr="00A32F52">
        <w:rPr>
          <w:rFonts w:ascii="Times New Roman" w:eastAsia="Times New Roman" w:hAnsi="Times New Roman" w:cs="Times New Roman"/>
          <w:i/>
          <w:sz w:val="24"/>
          <w:szCs w:val="28"/>
          <w:lang w:eastAsia="en-ZW"/>
        </w:rPr>
        <w:t xml:space="preserve"> </w:t>
      </w:r>
      <w:r w:rsidR="00E105D4" w:rsidRPr="00A32F52">
        <w:rPr>
          <w:rFonts w:ascii="Times New Roman" w:eastAsia="Times New Roman" w:hAnsi="Times New Roman" w:cs="Times New Roman"/>
          <w:i/>
          <w:sz w:val="24"/>
          <w:szCs w:val="28"/>
          <w:lang w:eastAsia="en-ZW"/>
        </w:rPr>
        <w:t>supra</w:t>
      </w:r>
      <w:r w:rsidR="00C6326C" w:rsidRPr="00A32F52">
        <w:rPr>
          <w:rFonts w:ascii="Times New Roman" w:eastAsia="Times New Roman" w:hAnsi="Times New Roman" w:cs="Times New Roman"/>
          <w:sz w:val="24"/>
          <w:szCs w:val="28"/>
          <w:lang w:eastAsia="en-ZW"/>
        </w:rPr>
        <w:t xml:space="preserve">, </w:t>
      </w:r>
      <w:r w:rsidR="00C6326C" w:rsidRPr="00A32F52">
        <w:rPr>
          <w:rFonts w:ascii="Times New Roman" w:eastAsia="Times New Roman" w:hAnsi="Times New Roman" w:cs="Times New Roman"/>
          <w:i/>
          <w:iCs/>
          <w:sz w:val="24"/>
          <w:szCs w:val="28"/>
          <w:lang w:eastAsia="en-ZW"/>
        </w:rPr>
        <w:t>“The fact that [a statute] prescribes a minimum mandatory sentence of five years does not automatically give an ordinary magistrate sentencing jurisdiction that she does not possess. Her sentencing jurisdiction can only be increased or extended by legislation.</w:t>
      </w:r>
      <w:proofErr w:type="gramStart"/>
      <w:r w:rsidR="00C6326C" w:rsidRPr="00A32F52">
        <w:rPr>
          <w:rFonts w:ascii="Times New Roman" w:eastAsia="Times New Roman" w:hAnsi="Times New Roman" w:cs="Times New Roman"/>
          <w:i/>
          <w:iCs/>
          <w:sz w:val="24"/>
          <w:szCs w:val="28"/>
          <w:lang w:eastAsia="en-ZW"/>
        </w:rPr>
        <w:t>”</w:t>
      </w:r>
      <w:r w:rsidR="00C6326C" w:rsidRPr="00A32F52">
        <w:rPr>
          <w:rFonts w:ascii="Times New Roman" w:eastAsia="Times New Roman" w:hAnsi="Times New Roman" w:cs="Times New Roman"/>
          <w:sz w:val="24"/>
          <w:szCs w:val="28"/>
          <w:lang w:eastAsia="en-ZW"/>
        </w:rPr>
        <w:t>.</w:t>
      </w:r>
      <w:proofErr w:type="gramEnd"/>
      <w:r w:rsidR="00C6326C" w:rsidRPr="00A32F52">
        <w:rPr>
          <w:rFonts w:ascii="Times New Roman" w:eastAsia="Times New Roman" w:hAnsi="Times New Roman" w:cs="Times New Roman"/>
          <w:sz w:val="24"/>
          <w:szCs w:val="28"/>
          <w:lang w:eastAsia="en-ZW"/>
        </w:rPr>
        <w:t xml:space="preserve"> In short, a magistrate cannot assume greater powers simply because an offense carries a heavy mandatory sentence</w:t>
      </w:r>
      <w:r w:rsidR="00E105D4" w:rsidRPr="00A32F52">
        <w:rPr>
          <w:rFonts w:ascii="Times New Roman" w:eastAsia="Times New Roman" w:hAnsi="Times New Roman" w:cs="Times New Roman"/>
          <w:sz w:val="24"/>
          <w:szCs w:val="28"/>
          <w:lang w:eastAsia="en-ZW"/>
        </w:rPr>
        <w:t>.</w:t>
      </w:r>
      <w:r w:rsidR="00C6326C" w:rsidRPr="00A32F52">
        <w:rPr>
          <w:rFonts w:ascii="Times New Roman" w:eastAsia="Times New Roman" w:hAnsi="Times New Roman" w:cs="Times New Roman"/>
          <w:sz w:val="24"/>
          <w:szCs w:val="28"/>
          <w:lang w:eastAsia="en-ZW"/>
        </w:rPr>
        <w:t xml:space="preserve"> </w:t>
      </w:r>
      <w:r w:rsidR="00E105D4" w:rsidRPr="00A32F52">
        <w:rPr>
          <w:rFonts w:ascii="Times New Roman" w:eastAsia="Times New Roman" w:hAnsi="Times New Roman" w:cs="Times New Roman"/>
          <w:sz w:val="24"/>
          <w:szCs w:val="28"/>
          <w:lang w:eastAsia="en-ZW"/>
        </w:rPr>
        <w:t>T</w:t>
      </w:r>
      <w:r w:rsidR="00C6326C" w:rsidRPr="00A32F52">
        <w:rPr>
          <w:rFonts w:ascii="Times New Roman" w:eastAsia="Times New Roman" w:hAnsi="Times New Roman" w:cs="Times New Roman"/>
          <w:sz w:val="24"/>
          <w:szCs w:val="28"/>
          <w:lang w:eastAsia="en-ZW"/>
        </w:rPr>
        <w:t>he case should instead be heard or sentenced at a level of court with sufficient jurisdiction.</w:t>
      </w:r>
    </w:p>
    <w:p w14:paraId="6E38016F" w14:textId="58A43BFF"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 xml:space="preserve">In the present matter, if no special circumstances were found, section 80 demanded a minimum 10-year prison term, which far exceeds the sentencing authority of a magistrate. </w:t>
      </w:r>
      <w:r w:rsidR="00C6326C" w:rsidRPr="00A32F52">
        <w:rPr>
          <w:rFonts w:ascii="Times New Roman" w:eastAsia="Times New Roman" w:hAnsi="Times New Roman" w:cs="Times New Roman"/>
          <w:sz w:val="24"/>
          <w:szCs w:val="28"/>
          <w:lang w:eastAsia="en-ZW"/>
        </w:rPr>
        <w:lastRenderedPageBreak/>
        <w:t xml:space="preserve">Even a regional magistrate in Zimbabwe is typically limited to imposing up to 10 or 20 years for certain offenses (depending on rank and charge), whereas an ordinary or senior magistrate’s cap is much lower. </w:t>
      </w:r>
      <w:r w:rsidRPr="00A32F52">
        <w:rPr>
          <w:rFonts w:ascii="Times New Roman" w:eastAsia="Times New Roman" w:hAnsi="Times New Roman" w:cs="Times New Roman"/>
          <w:sz w:val="24"/>
          <w:szCs w:val="28"/>
          <w:lang w:eastAsia="en-ZW"/>
        </w:rPr>
        <w:t>Here the</w:t>
      </w:r>
      <w:r w:rsidR="00C6326C" w:rsidRPr="00A32F52">
        <w:rPr>
          <w:rFonts w:ascii="Times New Roman" w:eastAsia="Times New Roman" w:hAnsi="Times New Roman" w:cs="Times New Roman"/>
          <w:sz w:val="24"/>
          <w:szCs w:val="28"/>
          <w:lang w:eastAsia="en-ZW"/>
        </w:rPr>
        <w:t xml:space="preserve"> trial was handled by a magistrate who did not have regional status. Thus, one of two errors (or both) occurred: (1) the matter ought to have been referred to a higher court (or a regional magistrate) for sentencing because of the potential 10-year minimum, and/or (2) the magistrate treated the case as if special circumstances were present (hence imposing only 10 months) without actually conducting the required inquiry on the record. Either way, the sentence imposed – 10 months in place of the statutorily required 10 years – was not in accordance with the law and beyond the magistrate’s proper jurisdiction.</w:t>
      </w:r>
    </w:p>
    <w:p w14:paraId="50C4AC36" w14:textId="77777777" w:rsidR="00A24768" w:rsidRDefault="00A32F52" w:rsidP="00A24768">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 xml:space="preserve">Our superior courts have dealt with analogous scenarios. In </w:t>
      </w:r>
      <w:r w:rsidR="00C6326C" w:rsidRPr="00A32F52">
        <w:rPr>
          <w:rFonts w:ascii="Times New Roman" w:eastAsia="Times New Roman" w:hAnsi="Times New Roman" w:cs="Times New Roman"/>
          <w:i/>
          <w:sz w:val="24"/>
          <w:szCs w:val="28"/>
          <w:lang w:eastAsia="en-ZW"/>
        </w:rPr>
        <w:t xml:space="preserve">S </w:t>
      </w:r>
      <w:r w:rsidR="00C6326C" w:rsidRPr="00A32F52">
        <w:rPr>
          <w:rFonts w:ascii="Times New Roman" w:eastAsia="Times New Roman" w:hAnsi="Times New Roman" w:cs="Times New Roman"/>
          <w:sz w:val="24"/>
          <w:szCs w:val="28"/>
          <w:lang w:eastAsia="en-ZW"/>
        </w:rPr>
        <w:t xml:space="preserve">v </w:t>
      </w:r>
      <w:proofErr w:type="spellStart"/>
      <w:r w:rsidR="00C6326C" w:rsidRPr="00A32F52">
        <w:rPr>
          <w:rFonts w:ascii="Times New Roman" w:eastAsia="Times New Roman" w:hAnsi="Times New Roman" w:cs="Times New Roman"/>
          <w:i/>
          <w:sz w:val="24"/>
          <w:szCs w:val="28"/>
          <w:lang w:eastAsia="en-ZW"/>
        </w:rPr>
        <w:t>Ncube</w:t>
      </w:r>
      <w:proofErr w:type="spellEnd"/>
      <w:r w:rsidR="00C6326C" w:rsidRPr="00A32F52">
        <w:rPr>
          <w:rFonts w:ascii="Times New Roman" w:eastAsia="Times New Roman" w:hAnsi="Times New Roman" w:cs="Times New Roman"/>
          <w:i/>
          <w:sz w:val="24"/>
          <w:szCs w:val="28"/>
          <w:lang w:eastAsia="en-ZW"/>
        </w:rPr>
        <w:t xml:space="preserve"> </w:t>
      </w:r>
      <w:r w:rsidR="00C6326C" w:rsidRPr="00A32F52">
        <w:rPr>
          <w:rFonts w:ascii="Times New Roman" w:eastAsia="Times New Roman" w:hAnsi="Times New Roman" w:cs="Times New Roman"/>
          <w:sz w:val="24"/>
          <w:szCs w:val="28"/>
          <w:lang w:eastAsia="en-ZW"/>
        </w:rPr>
        <w:t>(HB 6-24), an ordinary magistrate convicted an accused of possessing gold without a license, an offense which by law carried a mandatory minimum 5-year sentence absent special circumstances. The magistrate went on to impose the 5-year term, believing the mandatory nature authorized her to do so, despite her normal jurisdiction being capped at 4 years. On review, the High Court (</w:t>
      </w:r>
      <w:r w:rsidR="00C6326C" w:rsidRPr="00A32F52">
        <w:rPr>
          <w:rFonts w:ascii="Times New Roman" w:eastAsia="Times New Roman" w:hAnsi="Times New Roman" w:cs="Times New Roman"/>
          <w:smallCaps/>
          <w:sz w:val="24"/>
          <w:szCs w:val="28"/>
          <w:lang w:eastAsia="en-ZW"/>
        </w:rPr>
        <w:t>Dube-Banda J</w:t>
      </w:r>
      <w:r w:rsidR="00C6326C" w:rsidRPr="00A32F52">
        <w:rPr>
          <w:rFonts w:ascii="Times New Roman" w:eastAsia="Times New Roman" w:hAnsi="Times New Roman" w:cs="Times New Roman"/>
          <w:sz w:val="24"/>
          <w:szCs w:val="28"/>
          <w:lang w:eastAsia="en-ZW"/>
        </w:rPr>
        <w:t xml:space="preserve">, with </w:t>
      </w:r>
      <w:proofErr w:type="spellStart"/>
      <w:r w:rsidR="00C6326C" w:rsidRPr="00A32F52">
        <w:rPr>
          <w:rFonts w:ascii="Times New Roman" w:eastAsia="Times New Roman" w:hAnsi="Times New Roman" w:cs="Times New Roman"/>
          <w:smallCaps/>
          <w:sz w:val="24"/>
          <w:szCs w:val="28"/>
          <w:lang w:eastAsia="en-ZW"/>
        </w:rPr>
        <w:t>Kabasa</w:t>
      </w:r>
      <w:proofErr w:type="spellEnd"/>
      <w:r w:rsidR="00C6326C" w:rsidRPr="00A32F52">
        <w:rPr>
          <w:rFonts w:ascii="Times New Roman" w:eastAsia="Times New Roman" w:hAnsi="Times New Roman" w:cs="Times New Roman"/>
          <w:smallCaps/>
          <w:sz w:val="24"/>
          <w:szCs w:val="28"/>
          <w:lang w:eastAsia="en-ZW"/>
        </w:rPr>
        <w:t xml:space="preserve"> J</w:t>
      </w:r>
      <w:r w:rsidR="00C6326C" w:rsidRPr="00A32F52">
        <w:rPr>
          <w:rFonts w:ascii="Times New Roman" w:eastAsia="Times New Roman" w:hAnsi="Times New Roman" w:cs="Times New Roman"/>
          <w:sz w:val="24"/>
          <w:szCs w:val="28"/>
          <w:lang w:eastAsia="en-ZW"/>
        </w:rPr>
        <w:t xml:space="preserve"> concurring) held this to be a jurisdictional irregularity: </w:t>
      </w:r>
      <w:r w:rsidR="00C6326C" w:rsidRPr="00A32F52">
        <w:rPr>
          <w:rFonts w:ascii="Times New Roman" w:eastAsia="Times New Roman" w:hAnsi="Times New Roman" w:cs="Times New Roman"/>
          <w:i/>
          <w:iCs/>
          <w:sz w:val="24"/>
          <w:szCs w:val="28"/>
          <w:lang w:eastAsia="en-ZW"/>
        </w:rPr>
        <w:t xml:space="preserve">“The </w:t>
      </w:r>
      <w:proofErr w:type="gramStart"/>
      <w:r w:rsidR="00C6326C" w:rsidRPr="00A32F52">
        <w:rPr>
          <w:rFonts w:ascii="Times New Roman" w:eastAsia="Times New Roman" w:hAnsi="Times New Roman" w:cs="Times New Roman"/>
          <w:i/>
          <w:iCs/>
          <w:sz w:val="24"/>
          <w:szCs w:val="28"/>
          <w:lang w:eastAsia="en-ZW"/>
        </w:rPr>
        <w:t>magistrates</w:t>
      </w:r>
      <w:proofErr w:type="gramEnd"/>
      <w:r w:rsidR="00C6326C" w:rsidRPr="00A32F52">
        <w:rPr>
          <w:rFonts w:ascii="Times New Roman" w:eastAsia="Times New Roman" w:hAnsi="Times New Roman" w:cs="Times New Roman"/>
          <w:i/>
          <w:iCs/>
          <w:sz w:val="24"/>
          <w:szCs w:val="28"/>
          <w:lang w:eastAsia="en-ZW"/>
        </w:rPr>
        <w:t xml:space="preserve"> court cannot possess jurisdiction beyond what the Magistrates Court Act or other statutes give to it… The fact that [the Act] prescribes a minimum sentence of five years does not automatically give an ordinary magistrate sentencing jurisdiction that she does not possess.</w:t>
      </w:r>
      <w:proofErr w:type="gramStart"/>
      <w:r w:rsidR="00C6326C" w:rsidRPr="00A32F52">
        <w:rPr>
          <w:rFonts w:ascii="Times New Roman" w:eastAsia="Times New Roman" w:hAnsi="Times New Roman" w:cs="Times New Roman"/>
          <w:i/>
          <w:iCs/>
          <w:sz w:val="24"/>
          <w:szCs w:val="28"/>
          <w:lang w:eastAsia="en-ZW"/>
        </w:rPr>
        <w:t>”</w:t>
      </w:r>
      <w:r w:rsidR="00C6326C" w:rsidRPr="00A32F52">
        <w:rPr>
          <w:rFonts w:ascii="Times New Roman" w:eastAsia="Times New Roman" w:hAnsi="Times New Roman" w:cs="Times New Roman"/>
          <w:sz w:val="24"/>
          <w:szCs w:val="28"/>
          <w:lang w:eastAsia="en-ZW"/>
        </w:rPr>
        <w:t>.</w:t>
      </w:r>
      <w:proofErr w:type="gramEnd"/>
      <w:r w:rsidR="00C6326C" w:rsidRPr="00A32F52">
        <w:rPr>
          <w:rFonts w:ascii="Times New Roman" w:eastAsia="Times New Roman" w:hAnsi="Times New Roman" w:cs="Times New Roman"/>
          <w:sz w:val="24"/>
          <w:szCs w:val="28"/>
          <w:lang w:eastAsia="en-ZW"/>
        </w:rPr>
        <w:t xml:space="preserve"> The proper course, the Court emphasized, was for the magistrate to stop the proceedings and remit the case for trial or sentencing in a higher court once it became clear that a sentence above her jurisdiction was warranted. In terms of section 54 of the Magistrates Court Act, if at any stage of a trial it appears to the magistrate that the offense merits a punishment beyond their jurisdiction, the magistrate </w:t>
      </w:r>
      <w:r w:rsidR="00C6326C" w:rsidRPr="00A32F52">
        <w:rPr>
          <w:rFonts w:ascii="Times New Roman" w:eastAsia="Times New Roman" w:hAnsi="Times New Roman" w:cs="Times New Roman"/>
          <w:i/>
          <w:iCs/>
          <w:sz w:val="24"/>
          <w:szCs w:val="28"/>
          <w:lang w:eastAsia="en-ZW"/>
        </w:rPr>
        <w:t>“shall stop the trial and remit the case to the Prosecutor-General”</w:t>
      </w:r>
      <w:r w:rsidR="00C6326C" w:rsidRPr="00A32F52">
        <w:rPr>
          <w:rFonts w:ascii="Times New Roman" w:eastAsia="Times New Roman" w:hAnsi="Times New Roman" w:cs="Times New Roman"/>
          <w:sz w:val="24"/>
          <w:szCs w:val="28"/>
          <w:lang w:eastAsia="en-ZW"/>
        </w:rPr>
        <w:t xml:space="preserve"> for direction (often to have the accused indicted in the High Court or transferred to a regional magistrate). Likewise, section 225 of the Criminal Procedure and Evidence Act [</w:t>
      </w:r>
      <w:r w:rsidR="00C6326C" w:rsidRPr="00A32F52">
        <w:rPr>
          <w:rFonts w:ascii="Times New Roman" w:eastAsia="Times New Roman" w:hAnsi="Times New Roman" w:cs="Times New Roman"/>
          <w:i/>
          <w:sz w:val="24"/>
          <w:szCs w:val="28"/>
          <w:lang w:eastAsia="en-ZW"/>
        </w:rPr>
        <w:t>Chapter 9:07</w:t>
      </w:r>
      <w:r w:rsidR="00C6326C" w:rsidRPr="00A32F52">
        <w:rPr>
          <w:rFonts w:ascii="Times New Roman" w:eastAsia="Times New Roman" w:hAnsi="Times New Roman" w:cs="Times New Roman"/>
          <w:sz w:val="24"/>
          <w:szCs w:val="28"/>
          <w:lang w:eastAsia="en-ZW"/>
        </w:rPr>
        <w:t xml:space="preserve">] provides a mechanism for the Prosecutor-General to facilitate bringing the matter before an appropriate court for sentence. In </w:t>
      </w:r>
      <w:r w:rsidR="00C6326C" w:rsidRPr="00A32F52">
        <w:rPr>
          <w:rFonts w:ascii="Times New Roman" w:eastAsia="Times New Roman" w:hAnsi="Times New Roman" w:cs="Times New Roman"/>
          <w:i/>
          <w:sz w:val="24"/>
          <w:szCs w:val="28"/>
          <w:lang w:eastAsia="en-ZW"/>
        </w:rPr>
        <w:t>S</w:t>
      </w:r>
      <w:r w:rsidR="00C6326C" w:rsidRPr="00A32F52">
        <w:rPr>
          <w:rFonts w:ascii="Times New Roman" w:eastAsia="Times New Roman" w:hAnsi="Times New Roman" w:cs="Times New Roman"/>
          <w:sz w:val="24"/>
          <w:szCs w:val="28"/>
          <w:lang w:eastAsia="en-ZW"/>
        </w:rPr>
        <w:t xml:space="preserve"> v </w:t>
      </w:r>
      <w:proofErr w:type="spellStart"/>
      <w:r w:rsidR="00C6326C" w:rsidRPr="00A32F52">
        <w:rPr>
          <w:rFonts w:ascii="Times New Roman" w:eastAsia="Times New Roman" w:hAnsi="Times New Roman" w:cs="Times New Roman"/>
          <w:i/>
          <w:sz w:val="24"/>
          <w:szCs w:val="28"/>
          <w:lang w:eastAsia="en-ZW"/>
        </w:rPr>
        <w:t>Ncube</w:t>
      </w:r>
      <w:proofErr w:type="spellEnd"/>
      <w:r w:rsidR="00C6326C" w:rsidRPr="00A32F52">
        <w:rPr>
          <w:rFonts w:ascii="Times New Roman" w:eastAsia="Times New Roman" w:hAnsi="Times New Roman" w:cs="Times New Roman"/>
          <w:sz w:val="24"/>
          <w:szCs w:val="28"/>
          <w:lang w:eastAsia="en-ZW"/>
        </w:rPr>
        <w:t xml:space="preserve">, because the magistrate failed to follow these procedures and exceeded her authority, the High Court set aside the improper sentence and remitted the matter </w:t>
      </w:r>
      <w:r w:rsidR="00C6326C" w:rsidRPr="00A32F52">
        <w:rPr>
          <w:rFonts w:ascii="Times New Roman" w:eastAsia="Times New Roman" w:hAnsi="Times New Roman" w:cs="Times New Roman"/>
          <w:i/>
          <w:iCs/>
          <w:sz w:val="24"/>
          <w:szCs w:val="28"/>
          <w:lang w:eastAsia="en-ZW"/>
        </w:rPr>
        <w:t>“to the magistrate to proceed in terms of the law.</w:t>
      </w:r>
      <w:proofErr w:type="gramStart"/>
      <w:r w:rsidR="00C6326C" w:rsidRPr="00A32F52">
        <w:rPr>
          <w:rFonts w:ascii="Times New Roman" w:eastAsia="Times New Roman" w:hAnsi="Times New Roman" w:cs="Times New Roman"/>
          <w:i/>
          <w:iCs/>
          <w:sz w:val="24"/>
          <w:szCs w:val="28"/>
          <w:lang w:eastAsia="en-ZW"/>
        </w:rPr>
        <w:t>”</w:t>
      </w:r>
      <w:r w:rsidR="00C6326C" w:rsidRPr="00A32F52">
        <w:rPr>
          <w:rFonts w:ascii="Times New Roman" w:eastAsia="Times New Roman" w:hAnsi="Times New Roman" w:cs="Times New Roman"/>
          <w:sz w:val="24"/>
          <w:szCs w:val="28"/>
          <w:lang w:eastAsia="en-ZW"/>
        </w:rPr>
        <w:t>.</w:t>
      </w:r>
      <w:proofErr w:type="gramEnd"/>
      <w:r w:rsidR="00C6326C" w:rsidRPr="00A32F52">
        <w:rPr>
          <w:rFonts w:ascii="Times New Roman" w:eastAsia="Times New Roman" w:hAnsi="Times New Roman" w:cs="Times New Roman"/>
          <w:sz w:val="24"/>
          <w:szCs w:val="28"/>
          <w:lang w:eastAsia="en-ZW"/>
        </w:rPr>
        <w:t xml:space="preserve"> The High Court explicitly confirmed the conviction (which was otherwise proper) but quashed the sentence and directed the trial court to re-sentence the </w:t>
      </w:r>
      <w:r w:rsidR="00C6326C" w:rsidRPr="00A32F52">
        <w:rPr>
          <w:rFonts w:ascii="Times New Roman" w:eastAsia="Times New Roman" w:hAnsi="Times New Roman" w:cs="Times New Roman"/>
          <w:sz w:val="24"/>
          <w:szCs w:val="28"/>
          <w:lang w:eastAsia="en-ZW"/>
        </w:rPr>
        <w:lastRenderedPageBreak/>
        <w:t>accused afresh according to law, after either finding special circumstances or ensuring the case is handled by a court with power to impose the mandatory term.</w:t>
      </w:r>
    </w:p>
    <w:p w14:paraId="79793450" w14:textId="01C9B1F1" w:rsidR="00C6326C" w:rsidRPr="00A32F52" w:rsidRDefault="00A24768" w:rsidP="00A24768">
      <w:pPr>
        <w:spacing w:after="0" w:line="360" w:lineRule="auto"/>
        <w:jc w:val="both"/>
        <w:rPr>
          <w:rFonts w:ascii="Times New Roman" w:eastAsia="Times New Roman" w:hAnsi="Times New Roman" w:cs="Times New Roman"/>
          <w:sz w:val="24"/>
          <w:szCs w:val="28"/>
          <w:lang w:eastAsia="en-ZW"/>
        </w:rPr>
      </w:pPr>
      <w:r>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 xml:space="preserve">Similarly, in the earlier case of </w:t>
      </w:r>
      <w:r w:rsidR="00C6326C" w:rsidRPr="00A32F52">
        <w:rPr>
          <w:rFonts w:ascii="Times New Roman" w:eastAsia="Times New Roman" w:hAnsi="Times New Roman" w:cs="Times New Roman"/>
          <w:i/>
          <w:sz w:val="24"/>
          <w:szCs w:val="28"/>
          <w:lang w:eastAsia="en-ZW"/>
        </w:rPr>
        <w:t>S</w:t>
      </w:r>
      <w:r w:rsidR="00C6326C" w:rsidRPr="00A32F52">
        <w:rPr>
          <w:rFonts w:ascii="Times New Roman" w:eastAsia="Times New Roman" w:hAnsi="Times New Roman" w:cs="Times New Roman"/>
          <w:sz w:val="24"/>
          <w:szCs w:val="28"/>
          <w:lang w:eastAsia="en-ZW"/>
        </w:rPr>
        <w:t xml:space="preserve"> v </w:t>
      </w:r>
      <w:r w:rsidR="00C6326C" w:rsidRPr="00A32F52">
        <w:rPr>
          <w:rFonts w:ascii="Times New Roman" w:eastAsia="Times New Roman" w:hAnsi="Times New Roman" w:cs="Times New Roman"/>
          <w:i/>
          <w:sz w:val="24"/>
          <w:szCs w:val="28"/>
          <w:lang w:eastAsia="en-ZW"/>
        </w:rPr>
        <w:t xml:space="preserve">Spencer </w:t>
      </w:r>
      <w:proofErr w:type="spellStart"/>
      <w:r w:rsidR="00C6326C" w:rsidRPr="00A32F52">
        <w:rPr>
          <w:rFonts w:ascii="Times New Roman" w:eastAsia="Times New Roman" w:hAnsi="Times New Roman" w:cs="Times New Roman"/>
          <w:i/>
          <w:sz w:val="24"/>
          <w:szCs w:val="28"/>
          <w:lang w:eastAsia="en-ZW"/>
        </w:rPr>
        <w:t>Mpofu</w:t>
      </w:r>
      <w:proofErr w:type="spellEnd"/>
      <w:r w:rsidR="00C6326C" w:rsidRPr="00A32F52">
        <w:rPr>
          <w:rFonts w:ascii="Times New Roman" w:eastAsia="Times New Roman" w:hAnsi="Times New Roman" w:cs="Times New Roman"/>
          <w:sz w:val="24"/>
          <w:szCs w:val="28"/>
          <w:lang w:eastAsia="en-ZW"/>
        </w:rPr>
        <w:t xml:space="preserve"> (HB 126-09), an ordinary magistrate had imposed sentences of 5 years’ imprisonment on multiple robbery counts – well beyond her normal jurisdiction. The High Court (</w:t>
      </w:r>
      <w:proofErr w:type="spellStart"/>
      <w:r w:rsidR="00C6326C" w:rsidRPr="00A32F52">
        <w:rPr>
          <w:rFonts w:ascii="Times New Roman" w:eastAsia="Times New Roman" w:hAnsi="Times New Roman" w:cs="Times New Roman"/>
          <w:smallCaps/>
          <w:sz w:val="24"/>
          <w:szCs w:val="28"/>
          <w:lang w:eastAsia="en-ZW"/>
        </w:rPr>
        <w:t>Ndou</w:t>
      </w:r>
      <w:proofErr w:type="spellEnd"/>
      <w:r w:rsidR="00C6326C" w:rsidRPr="00A32F52">
        <w:rPr>
          <w:rFonts w:ascii="Times New Roman" w:eastAsia="Times New Roman" w:hAnsi="Times New Roman" w:cs="Times New Roman"/>
          <w:smallCaps/>
          <w:sz w:val="24"/>
          <w:szCs w:val="28"/>
          <w:lang w:eastAsia="en-ZW"/>
        </w:rPr>
        <w:t xml:space="preserve"> J</w:t>
      </w:r>
      <w:r w:rsidR="00C6326C" w:rsidRPr="00A32F52">
        <w:rPr>
          <w:rFonts w:ascii="Times New Roman" w:eastAsia="Times New Roman" w:hAnsi="Times New Roman" w:cs="Times New Roman"/>
          <w:sz w:val="24"/>
          <w:szCs w:val="28"/>
          <w:lang w:eastAsia="en-ZW"/>
        </w:rPr>
        <w:t xml:space="preserve">) in review reprimanded the magistrate for </w:t>
      </w:r>
      <w:r w:rsidR="00C6326C" w:rsidRPr="00A32F52">
        <w:rPr>
          <w:rFonts w:ascii="Times New Roman" w:eastAsia="Times New Roman" w:hAnsi="Times New Roman" w:cs="Times New Roman"/>
          <w:i/>
          <w:iCs/>
          <w:sz w:val="24"/>
          <w:szCs w:val="28"/>
          <w:lang w:eastAsia="en-ZW"/>
        </w:rPr>
        <w:t>“</w:t>
      </w:r>
      <w:proofErr w:type="spellStart"/>
      <w:r w:rsidR="00C6326C" w:rsidRPr="00A32F52">
        <w:rPr>
          <w:rFonts w:ascii="Times New Roman" w:eastAsia="Times New Roman" w:hAnsi="Times New Roman" w:cs="Times New Roman"/>
          <w:i/>
          <w:iCs/>
          <w:sz w:val="24"/>
          <w:szCs w:val="28"/>
          <w:lang w:eastAsia="en-ZW"/>
        </w:rPr>
        <w:t>assum</w:t>
      </w:r>
      <w:proofErr w:type="spellEnd"/>
      <w:r w:rsidR="00C6326C" w:rsidRPr="00A32F52">
        <w:rPr>
          <w:rFonts w:ascii="Times New Roman" w:eastAsia="Times New Roman" w:hAnsi="Times New Roman" w:cs="Times New Roman"/>
          <w:i/>
          <w:iCs/>
          <w:sz w:val="24"/>
          <w:szCs w:val="28"/>
          <w:lang w:eastAsia="en-ZW"/>
        </w:rPr>
        <w:t>[</w:t>
      </w:r>
      <w:proofErr w:type="spellStart"/>
      <w:r w:rsidR="00C6326C" w:rsidRPr="00A32F52">
        <w:rPr>
          <w:rFonts w:ascii="Times New Roman" w:eastAsia="Times New Roman" w:hAnsi="Times New Roman" w:cs="Times New Roman"/>
          <w:i/>
          <w:iCs/>
          <w:sz w:val="24"/>
          <w:szCs w:val="28"/>
          <w:lang w:eastAsia="en-ZW"/>
        </w:rPr>
        <w:t>ing</w:t>
      </w:r>
      <w:proofErr w:type="spellEnd"/>
      <w:r w:rsidR="00C6326C" w:rsidRPr="00A32F52">
        <w:rPr>
          <w:rFonts w:ascii="Times New Roman" w:eastAsia="Times New Roman" w:hAnsi="Times New Roman" w:cs="Times New Roman"/>
          <w:i/>
          <w:iCs/>
          <w:sz w:val="24"/>
          <w:szCs w:val="28"/>
          <w:lang w:eastAsia="en-ZW"/>
        </w:rPr>
        <w:t>] jurisdiction that she does not have,”</w:t>
      </w:r>
      <w:r w:rsidR="00C6326C" w:rsidRPr="00A32F52">
        <w:rPr>
          <w:rFonts w:ascii="Times New Roman" w:eastAsia="Times New Roman" w:hAnsi="Times New Roman" w:cs="Times New Roman"/>
          <w:sz w:val="24"/>
          <w:szCs w:val="28"/>
          <w:lang w:eastAsia="en-ZW"/>
        </w:rPr>
        <w:t xml:space="preserve"> noting she wrongly believed her extended jurisdiction for certain property offenses would also cover robbery. The court reiterated that magistrates must strictly adhere to their statutory limits, and where a harsher sentence seems justified, the proper procedure is to refer the matter for sentence by a higher authority. The High Court in </w:t>
      </w:r>
      <w:proofErr w:type="spellStart"/>
      <w:r w:rsidR="00C6326C" w:rsidRPr="00A32F52">
        <w:rPr>
          <w:rFonts w:ascii="Times New Roman" w:eastAsia="Times New Roman" w:hAnsi="Times New Roman" w:cs="Times New Roman"/>
          <w:sz w:val="24"/>
          <w:szCs w:val="28"/>
          <w:lang w:eastAsia="en-ZW"/>
        </w:rPr>
        <w:t>Mpofu</w:t>
      </w:r>
      <w:proofErr w:type="spellEnd"/>
      <w:r w:rsidR="00C6326C" w:rsidRPr="00A32F52">
        <w:rPr>
          <w:rFonts w:ascii="Times New Roman" w:eastAsia="Times New Roman" w:hAnsi="Times New Roman" w:cs="Times New Roman"/>
          <w:sz w:val="24"/>
          <w:szCs w:val="28"/>
          <w:lang w:eastAsia="en-ZW"/>
        </w:rPr>
        <w:t xml:space="preserve"> also set aside the irregular sentence and remitted for sentencing </w:t>
      </w:r>
      <w:r w:rsidR="00C6326C" w:rsidRPr="00A32F52">
        <w:rPr>
          <w:rFonts w:ascii="Times New Roman" w:eastAsia="Times New Roman" w:hAnsi="Times New Roman" w:cs="Times New Roman"/>
          <w:i/>
          <w:iCs/>
          <w:sz w:val="24"/>
          <w:szCs w:val="28"/>
          <w:lang w:eastAsia="en-ZW"/>
        </w:rPr>
        <w:t>de novo</w:t>
      </w:r>
      <w:r w:rsidR="00C6326C" w:rsidRPr="00A32F52">
        <w:rPr>
          <w:rFonts w:ascii="Times New Roman" w:eastAsia="Times New Roman" w:hAnsi="Times New Roman" w:cs="Times New Roman"/>
          <w:sz w:val="24"/>
          <w:szCs w:val="28"/>
          <w:lang w:eastAsia="en-ZW"/>
        </w:rPr>
        <w:t xml:space="preserve"> by a competent court. These authorities underscore that a sentence imposed without jurisdiction is a nullity in law, and the High Court will not hesitate to intervene and correct such errors on review.</w:t>
      </w:r>
    </w:p>
    <w:p w14:paraId="39D8C9E3" w14:textId="7CF2CBA4" w:rsidR="00C6326C" w:rsidRPr="00A32F52" w:rsidRDefault="00C6326C" w:rsidP="00A32F52">
      <w:pPr>
        <w:spacing w:after="0" w:line="360" w:lineRule="auto"/>
        <w:jc w:val="both"/>
        <w:outlineLvl w:val="1"/>
        <w:rPr>
          <w:rFonts w:ascii="Times New Roman" w:eastAsia="Times New Roman" w:hAnsi="Times New Roman" w:cs="Times New Roman"/>
          <w:b/>
          <w:sz w:val="24"/>
          <w:szCs w:val="28"/>
          <w:u w:val="single"/>
          <w:lang w:eastAsia="en-ZW"/>
        </w:rPr>
      </w:pPr>
      <w:r w:rsidRPr="00A32F52">
        <w:rPr>
          <w:rFonts w:ascii="Times New Roman" w:eastAsia="Times New Roman" w:hAnsi="Times New Roman" w:cs="Times New Roman"/>
          <w:b/>
          <w:sz w:val="24"/>
          <w:szCs w:val="28"/>
          <w:u w:val="single"/>
          <w:lang w:eastAsia="en-ZW"/>
        </w:rPr>
        <w:t>Special Circumstances and the Present Case</w:t>
      </w:r>
    </w:p>
    <w:p w14:paraId="4CC5E7CD" w14:textId="1C35B6AB"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 xml:space="preserve">Applying the above principles to the </w:t>
      </w:r>
      <w:r w:rsidR="00E105D4" w:rsidRPr="00A32F52">
        <w:rPr>
          <w:rFonts w:ascii="Times New Roman" w:eastAsia="Times New Roman" w:hAnsi="Times New Roman" w:cs="Times New Roman"/>
          <w:sz w:val="24"/>
          <w:szCs w:val="28"/>
          <w:lang w:eastAsia="en-ZW"/>
        </w:rPr>
        <w:t>present case</w:t>
      </w:r>
      <w:r w:rsidR="00C6326C" w:rsidRPr="00A32F52">
        <w:rPr>
          <w:rFonts w:ascii="Times New Roman" w:eastAsia="Times New Roman" w:hAnsi="Times New Roman" w:cs="Times New Roman"/>
          <w:sz w:val="24"/>
          <w:szCs w:val="28"/>
          <w:lang w:eastAsia="en-ZW"/>
        </w:rPr>
        <w:t xml:space="preserve">, it is evident that the trial magistrate’s sentence cannot stand. The magistrate failed to recognize the mandatory sentencing provisions of section 80 and did not conduct any inquiry into special circumstances. By sentencing the offender to only 10 months, the magistrate effectively bypassed a law-imposed minimum sentence of 10 years without any legal basis for doing so. This was not a mere technical oversight but a substantial departure from the requirements of justice. As the High Court observed in </w:t>
      </w:r>
      <w:proofErr w:type="spellStart"/>
      <w:r w:rsidR="00C6326C" w:rsidRPr="00A32F52">
        <w:rPr>
          <w:rFonts w:ascii="Times New Roman" w:eastAsia="Times New Roman" w:hAnsi="Times New Roman" w:cs="Times New Roman"/>
          <w:sz w:val="24"/>
          <w:szCs w:val="28"/>
          <w:lang w:eastAsia="en-ZW"/>
        </w:rPr>
        <w:t>Ncube’s</w:t>
      </w:r>
      <w:proofErr w:type="spellEnd"/>
      <w:r w:rsidR="00C6326C" w:rsidRPr="00A32F52">
        <w:rPr>
          <w:rFonts w:ascii="Times New Roman" w:eastAsia="Times New Roman" w:hAnsi="Times New Roman" w:cs="Times New Roman"/>
          <w:sz w:val="24"/>
          <w:szCs w:val="28"/>
          <w:lang w:eastAsia="en-ZW"/>
        </w:rPr>
        <w:t xml:space="preserve"> case, a sentence that is not in accordance with a mandatory statutory requirement is “not in accordance with real and substantial justice”. The proceedings in regard to sentencing were therefore irregular.</w:t>
      </w:r>
    </w:p>
    <w:p w14:paraId="5F5A713F" w14:textId="1B094B00"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It should be stressed that confirming the conviction while vacating the sentence is appropriate here. There is no indication of any defect in the conviction itself – the accused knowingly pleaded guilty to the charge and the essential elements were adequately canvassed on the record</w:t>
      </w:r>
      <w:r w:rsidR="00E105D4" w:rsidRPr="00A32F52">
        <w:rPr>
          <w:rFonts w:ascii="Times New Roman" w:eastAsia="Times New Roman" w:hAnsi="Times New Roman" w:cs="Times New Roman"/>
          <w:sz w:val="24"/>
          <w:szCs w:val="28"/>
          <w:lang w:eastAsia="en-ZW"/>
        </w:rPr>
        <w:t>.</w:t>
      </w:r>
      <w:r w:rsidR="00C6326C" w:rsidRPr="00A32F52">
        <w:rPr>
          <w:rFonts w:ascii="Times New Roman" w:eastAsia="Times New Roman" w:hAnsi="Times New Roman" w:cs="Times New Roman"/>
          <w:sz w:val="24"/>
          <w:szCs w:val="28"/>
          <w:lang w:eastAsia="en-ZW"/>
        </w:rPr>
        <w:t xml:space="preserve"> </w:t>
      </w:r>
      <w:r w:rsidR="00E105D4" w:rsidRPr="00A32F52">
        <w:rPr>
          <w:rFonts w:ascii="Times New Roman" w:eastAsia="Times New Roman" w:hAnsi="Times New Roman" w:cs="Times New Roman"/>
          <w:sz w:val="24"/>
          <w:szCs w:val="28"/>
          <w:lang w:eastAsia="en-ZW"/>
        </w:rPr>
        <w:t>C</w:t>
      </w:r>
      <w:r w:rsidR="00C6326C" w:rsidRPr="00A32F52">
        <w:rPr>
          <w:rFonts w:ascii="Times New Roman" w:eastAsia="Times New Roman" w:hAnsi="Times New Roman" w:cs="Times New Roman"/>
          <w:sz w:val="24"/>
          <w:szCs w:val="28"/>
          <w:lang w:eastAsia="en-ZW"/>
        </w:rPr>
        <w:t xml:space="preserve">onsent of the young complainant is not a </w:t>
      </w:r>
      <w:r w:rsidR="00E105D4" w:rsidRPr="00A32F52">
        <w:rPr>
          <w:rFonts w:ascii="Times New Roman" w:eastAsia="Times New Roman" w:hAnsi="Times New Roman" w:cs="Times New Roman"/>
          <w:sz w:val="24"/>
          <w:szCs w:val="28"/>
          <w:lang w:eastAsia="en-ZW"/>
        </w:rPr>
        <w:t>defence</w:t>
      </w:r>
      <w:r w:rsidR="00C6326C" w:rsidRPr="00A32F52">
        <w:rPr>
          <w:rFonts w:ascii="Times New Roman" w:eastAsia="Times New Roman" w:hAnsi="Times New Roman" w:cs="Times New Roman"/>
          <w:sz w:val="24"/>
          <w:szCs w:val="28"/>
          <w:lang w:eastAsia="en-ZW"/>
        </w:rPr>
        <w:t xml:space="preserve"> to a section 70(1</w:t>
      </w:r>
      <w:proofErr w:type="gramStart"/>
      <w:r w:rsidR="00C6326C" w:rsidRPr="00A32F52">
        <w:rPr>
          <w:rFonts w:ascii="Times New Roman" w:eastAsia="Times New Roman" w:hAnsi="Times New Roman" w:cs="Times New Roman"/>
          <w:sz w:val="24"/>
          <w:szCs w:val="28"/>
          <w:lang w:eastAsia="en-ZW"/>
        </w:rPr>
        <w:t>)(</w:t>
      </w:r>
      <w:proofErr w:type="gramEnd"/>
      <w:r w:rsidR="00C6326C" w:rsidRPr="00A32F52">
        <w:rPr>
          <w:rFonts w:ascii="Times New Roman" w:eastAsia="Times New Roman" w:hAnsi="Times New Roman" w:cs="Times New Roman"/>
          <w:sz w:val="24"/>
          <w:szCs w:val="28"/>
          <w:lang w:eastAsia="en-ZW"/>
        </w:rPr>
        <w:t xml:space="preserve">a) charge, and the accused admitted knowing or risking that she was under the age of consent. The conviction is thus proper and must be upheld. It is only the sentence that was imposed </w:t>
      </w:r>
      <w:r w:rsidR="00A24768">
        <w:rPr>
          <w:rFonts w:ascii="Times New Roman" w:eastAsia="Times New Roman" w:hAnsi="Times New Roman" w:cs="Times New Roman"/>
          <w:sz w:val="24"/>
          <w:szCs w:val="28"/>
          <w:lang w:eastAsia="en-ZW"/>
        </w:rPr>
        <w:t xml:space="preserve">illegally </w:t>
      </w:r>
      <w:r w:rsidR="00C6326C" w:rsidRPr="00A32F52">
        <w:rPr>
          <w:rFonts w:ascii="Times New Roman" w:eastAsia="Times New Roman" w:hAnsi="Times New Roman" w:cs="Times New Roman"/>
          <w:sz w:val="24"/>
          <w:szCs w:val="28"/>
          <w:lang w:eastAsia="en-ZW"/>
        </w:rPr>
        <w:t>(beyond jurisdiction and without following the law), and thus the High Court’s intervention is confined to the sentencing stage.</w:t>
      </w:r>
    </w:p>
    <w:p w14:paraId="2BB76C8F" w14:textId="4E8F0B0D"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 xml:space="preserve">Looking forward, the case must return to the trial court or a court of competent jurisdiction for correct sentencing proceedings. At that stage, the magistrate will need to </w:t>
      </w:r>
      <w:r w:rsidR="00C6326C" w:rsidRPr="00A32F52">
        <w:rPr>
          <w:rFonts w:ascii="Times New Roman" w:eastAsia="Times New Roman" w:hAnsi="Times New Roman" w:cs="Times New Roman"/>
          <w:sz w:val="24"/>
          <w:szCs w:val="28"/>
          <w:lang w:eastAsia="en-ZW"/>
        </w:rPr>
        <w:lastRenderedPageBreak/>
        <w:t xml:space="preserve">canvass special circumstances afresh with the accused. The accused should be informed of his right to present any evidence or arguments as to why the mandatory 10-year term should not be imposed, and the State should be given an opportunity to respond. </w:t>
      </w:r>
    </w:p>
    <w:p w14:paraId="36CC684A" w14:textId="0BD2826C" w:rsidR="00C6326C" w:rsidRPr="00A32F52" w:rsidRDefault="00A32F52" w:rsidP="00A32F52">
      <w:p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Ultimately, what constitutes “special circumstances” is a matter of fact and degree, to be decided on a case-by-case basis. The phrase is given a wide interpretation, encompassing circumstances related to how the offense was committed as well as the offender’s personal situation – but only those factors that are truly out of the ordinary for the offen</w:t>
      </w:r>
      <w:r w:rsidR="000F774D" w:rsidRPr="00A32F52">
        <w:rPr>
          <w:rFonts w:ascii="Times New Roman" w:eastAsia="Times New Roman" w:hAnsi="Times New Roman" w:cs="Times New Roman"/>
          <w:sz w:val="24"/>
          <w:szCs w:val="28"/>
          <w:lang w:eastAsia="en-ZW"/>
        </w:rPr>
        <w:t>c</w:t>
      </w:r>
      <w:r w:rsidR="00C6326C" w:rsidRPr="00A32F52">
        <w:rPr>
          <w:rFonts w:ascii="Times New Roman" w:eastAsia="Times New Roman" w:hAnsi="Times New Roman" w:cs="Times New Roman"/>
          <w:sz w:val="24"/>
          <w:szCs w:val="28"/>
          <w:lang w:eastAsia="en-ZW"/>
        </w:rPr>
        <w:t>e. Routine personal hardships or generic mitigating factors</w:t>
      </w:r>
      <w:r w:rsidR="000F774D" w:rsidRPr="00A32F52">
        <w:rPr>
          <w:rFonts w:ascii="Times New Roman" w:eastAsia="Times New Roman" w:hAnsi="Times New Roman" w:cs="Times New Roman"/>
          <w:sz w:val="24"/>
          <w:szCs w:val="28"/>
          <w:lang w:eastAsia="en-ZW"/>
        </w:rPr>
        <w:t xml:space="preserve">, </w:t>
      </w:r>
      <w:r w:rsidR="00C6326C" w:rsidRPr="00A32F52">
        <w:rPr>
          <w:rFonts w:ascii="Times New Roman" w:eastAsia="Times New Roman" w:hAnsi="Times New Roman" w:cs="Times New Roman"/>
          <w:sz w:val="24"/>
          <w:szCs w:val="28"/>
          <w:lang w:eastAsia="en-ZW"/>
        </w:rPr>
        <w:t>such as being a first offender, showing remorse, having family dependents, etc.</w:t>
      </w:r>
      <w:r w:rsidR="000F774D" w:rsidRPr="00A32F52">
        <w:rPr>
          <w:rFonts w:ascii="Times New Roman" w:eastAsia="Times New Roman" w:hAnsi="Times New Roman" w:cs="Times New Roman"/>
          <w:sz w:val="24"/>
          <w:szCs w:val="28"/>
          <w:lang w:eastAsia="en-ZW"/>
        </w:rPr>
        <w:t>,</w:t>
      </w:r>
      <w:r w:rsidR="00C6326C" w:rsidRPr="00A32F52">
        <w:rPr>
          <w:rFonts w:ascii="Times New Roman" w:eastAsia="Times New Roman" w:hAnsi="Times New Roman" w:cs="Times New Roman"/>
          <w:sz w:val="24"/>
          <w:szCs w:val="28"/>
          <w:lang w:eastAsia="en-ZW"/>
        </w:rPr>
        <w:t xml:space="preserve"> would not normally qualify as special since they are common to many cases. However, an unusual combination of factors can rise to the level of special circumstances. The Supreme Court in</w:t>
      </w:r>
      <w:r w:rsidR="00C6326C" w:rsidRPr="00A32F52">
        <w:rPr>
          <w:rFonts w:ascii="Times New Roman" w:eastAsia="Times New Roman" w:hAnsi="Times New Roman" w:cs="Times New Roman"/>
          <w:i/>
          <w:sz w:val="24"/>
          <w:szCs w:val="28"/>
          <w:lang w:eastAsia="en-ZW"/>
        </w:rPr>
        <w:t xml:space="preserve"> S</w:t>
      </w:r>
      <w:r w:rsidR="00C6326C" w:rsidRPr="00A32F52">
        <w:rPr>
          <w:rFonts w:ascii="Times New Roman" w:eastAsia="Times New Roman" w:hAnsi="Times New Roman" w:cs="Times New Roman"/>
          <w:sz w:val="24"/>
          <w:szCs w:val="28"/>
          <w:lang w:eastAsia="en-ZW"/>
        </w:rPr>
        <w:t xml:space="preserve"> v </w:t>
      </w:r>
      <w:proofErr w:type="spellStart"/>
      <w:r w:rsidR="00C6326C" w:rsidRPr="00A32F52">
        <w:rPr>
          <w:rFonts w:ascii="Times New Roman" w:eastAsia="Times New Roman" w:hAnsi="Times New Roman" w:cs="Times New Roman"/>
          <w:i/>
          <w:sz w:val="24"/>
          <w:szCs w:val="28"/>
          <w:lang w:eastAsia="en-ZW"/>
        </w:rPr>
        <w:t>Mugangavari</w:t>
      </w:r>
      <w:proofErr w:type="spellEnd"/>
      <w:r w:rsidR="00C6326C" w:rsidRPr="00A32F52">
        <w:rPr>
          <w:rFonts w:ascii="Times New Roman" w:eastAsia="Times New Roman" w:hAnsi="Times New Roman" w:cs="Times New Roman"/>
          <w:sz w:val="24"/>
          <w:szCs w:val="28"/>
          <w:lang w:eastAsia="en-ZW"/>
        </w:rPr>
        <w:t xml:space="preserve"> 1984 (1) ZLR 80 (S) noted that while no single ordinary mitigating factor may suffice, </w:t>
      </w:r>
      <w:r w:rsidR="00C6326C" w:rsidRPr="00A32F52">
        <w:rPr>
          <w:rFonts w:ascii="Times New Roman" w:eastAsia="Times New Roman" w:hAnsi="Times New Roman" w:cs="Times New Roman"/>
          <w:i/>
          <w:iCs/>
          <w:sz w:val="24"/>
          <w:szCs w:val="28"/>
          <w:lang w:eastAsia="en-ZW"/>
        </w:rPr>
        <w:t>“</w:t>
      </w:r>
      <w:proofErr w:type="spellStart"/>
      <w:r w:rsidR="00C6326C" w:rsidRPr="00A32F52">
        <w:rPr>
          <w:rFonts w:ascii="Times New Roman" w:eastAsia="Times New Roman" w:hAnsi="Times New Roman" w:cs="Times New Roman"/>
          <w:i/>
          <w:iCs/>
          <w:sz w:val="24"/>
          <w:szCs w:val="28"/>
          <w:lang w:eastAsia="en-ZW"/>
        </w:rPr>
        <w:t>mitigatory</w:t>
      </w:r>
      <w:proofErr w:type="spellEnd"/>
      <w:r w:rsidR="00C6326C" w:rsidRPr="00A32F52">
        <w:rPr>
          <w:rFonts w:ascii="Times New Roman" w:eastAsia="Times New Roman" w:hAnsi="Times New Roman" w:cs="Times New Roman"/>
          <w:i/>
          <w:iCs/>
          <w:sz w:val="24"/>
          <w:szCs w:val="28"/>
          <w:lang w:eastAsia="en-ZW"/>
        </w:rPr>
        <w:t xml:space="preserve"> factors if considered cumulatively can constitute special circumstances</w:t>
      </w:r>
      <w:r>
        <w:rPr>
          <w:rFonts w:ascii="Times New Roman" w:eastAsia="Times New Roman" w:hAnsi="Times New Roman" w:cs="Times New Roman"/>
          <w:i/>
          <w:iCs/>
          <w:sz w:val="24"/>
          <w:szCs w:val="28"/>
          <w:lang w:eastAsia="en-ZW"/>
        </w:rPr>
        <w:t>”</w:t>
      </w:r>
      <w:r w:rsidR="00C6326C" w:rsidRPr="00A32F52">
        <w:rPr>
          <w:rFonts w:ascii="Times New Roman" w:eastAsia="Times New Roman" w:hAnsi="Times New Roman" w:cs="Times New Roman"/>
          <w:i/>
          <w:iCs/>
          <w:sz w:val="24"/>
          <w:szCs w:val="28"/>
          <w:lang w:eastAsia="en-ZW"/>
        </w:rPr>
        <w:t>.</w:t>
      </w:r>
      <w:r w:rsidR="00C6326C" w:rsidRPr="00A32F52">
        <w:rPr>
          <w:rFonts w:ascii="Times New Roman" w:eastAsia="Times New Roman" w:hAnsi="Times New Roman" w:cs="Times New Roman"/>
          <w:sz w:val="24"/>
          <w:szCs w:val="28"/>
          <w:lang w:eastAsia="en-ZW"/>
        </w:rPr>
        <w:t xml:space="preserve"> In </w:t>
      </w:r>
      <w:r w:rsidR="00C6326C" w:rsidRPr="00A32F52">
        <w:rPr>
          <w:rFonts w:ascii="Times New Roman" w:eastAsia="Times New Roman" w:hAnsi="Times New Roman" w:cs="Times New Roman"/>
          <w:i/>
          <w:iCs/>
          <w:sz w:val="24"/>
          <w:szCs w:val="28"/>
          <w:lang w:eastAsia="en-ZW"/>
        </w:rPr>
        <w:t xml:space="preserve">S </w:t>
      </w:r>
      <w:r w:rsidR="00C6326C" w:rsidRPr="00A32F52">
        <w:rPr>
          <w:rFonts w:ascii="Times New Roman" w:eastAsia="Times New Roman" w:hAnsi="Times New Roman" w:cs="Times New Roman"/>
          <w:iCs/>
          <w:sz w:val="24"/>
          <w:szCs w:val="28"/>
          <w:lang w:eastAsia="en-ZW"/>
        </w:rPr>
        <w:t xml:space="preserve">v </w:t>
      </w:r>
      <w:proofErr w:type="spellStart"/>
      <w:r w:rsidR="00C6326C" w:rsidRPr="00A32F52">
        <w:rPr>
          <w:rFonts w:ascii="Times New Roman" w:eastAsia="Times New Roman" w:hAnsi="Times New Roman" w:cs="Times New Roman"/>
          <w:i/>
          <w:iCs/>
          <w:sz w:val="24"/>
          <w:szCs w:val="28"/>
          <w:lang w:eastAsia="en-ZW"/>
        </w:rPr>
        <w:t>Kambuzuma</w:t>
      </w:r>
      <w:proofErr w:type="spellEnd"/>
      <w:r w:rsidR="00C6326C" w:rsidRPr="00A32F52">
        <w:rPr>
          <w:rFonts w:ascii="Times New Roman" w:eastAsia="Times New Roman" w:hAnsi="Times New Roman" w:cs="Times New Roman"/>
          <w:i/>
          <w:iCs/>
          <w:sz w:val="24"/>
          <w:szCs w:val="28"/>
          <w:lang w:eastAsia="en-ZW"/>
        </w:rPr>
        <w:t xml:space="preserve"> </w:t>
      </w:r>
      <w:r w:rsidR="00C6326C" w:rsidRPr="00A32F52">
        <w:rPr>
          <w:rFonts w:ascii="Times New Roman" w:eastAsia="Times New Roman" w:hAnsi="Times New Roman" w:cs="Times New Roman"/>
          <w:iCs/>
          <w:sz w:val="24"/>
          <w:szCs w:val="28"/>
          <w:lang w:eastAsia="en-ZW"/>
        </w:rPr>
        <w:t>2015 (HH 175-15)</w:t>
      </w:r>
      <w:r w:rsidR="00C6326C" w:rsidRPr="00A32F52">
        <w:rPr>
          <w:rFonts w:ascii="Times New Roman" w:eastAsia="Times New Roman" w:hAnsi="Times New Roman" w:cs="Times New Roman"/>
          <w:sz w:val="24"/>
          <w:szCs w:val="28"/>
          <w:lang w:eastAsia="en-ZW"/>
        </w:rPr>
        <w:t>, a stock theft case, the High Court accepted the trial magistrate’s finding of special circumstances where the accused had gone for eight years without pay, was effectively abandoned by his employer, and sold the cattle to meet pressing family needs – a scenario deemed out of the ordinary. In our case, the task for the sentencing court is to evaluate all relevant factors – including the complainant’s status and any other peculiar features – and decide whether they collectively amount to special circumstances warranting less than ten years. If such circumstances are found, they must be meticulously recorded on the proceedings and a proportionate sentence under section 70 which carries no fixed minimum in the absence of section 80 can then be imposed. If, on the other hand, no special circumstances are established, the law mandates a sentence of no less than 10 years’ imprisonment.</w:t>
      </w:r>
    </w:p>
    <w:p w14:paraId="76527272" w14:textId="77777777" w:rsidR="00A32F52" w:rsidRPr="00A32F52" w:rsidRDefault="00C6326C" w:rsidP="00A32F52">
      <w:pPr>
        <w:spacing w:after="0" w:line="360" w:lineRule="auto"/>
        <w:jc w:val="both"/>
        <w:outlineLvl w:val="1"/>
        <w:rPr>
          <w:rFonts w:ascii="Times New Roman" w:eastAsia="Times New Roman" w:hAnsi="Times New Roman" w:cs="Times New Roman"/>
          <w:b/>
          <w:sz w:val="24"/>
          <w:szCs w:val="28"/>
          <w:u w:val="single"/>
          <w:lang w:eastAsia="en-ZW"/>
        </w:rPr>
      </w:pPr>
      <w:r w:rsidRPr="00A32F52">
        <w:rPr>
          <w:rFonts w:ascii="Times New Roman" w:eastAsia="Times New Roman" w:hAnsi="Times New Roman" w:cs="Times New Roman"/>
          <w:b/>
          <w:sz w:val="24"/>
          <w:szCs w:val="28"/>
          <w:u w:val="single"/>
          <w:lang w:eastAsia="en-ZW"/>
        </w:rPr>
        <w:t>Disposition</w:t>
      </w:r>
    </w:p>
    <w:p w14:paraId="3C2F108D" w14:textId="3ED664FE" w:rsidR="00C6326C" w:rsidRPr="00A32F52" w:rsidRDefault="00A32F52" w:rsidP="00A32F52">
      <w:pPr>
        <w:spacing w:after="0" w:line="360" w:lineRule="auto"/>
        <w:jc w:val="both"/>
        <w:outlineLvl w:val="1"/>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ab/>
      </w:r>
      <w:r w:rsidR="00C6326C" w:rsidRPr="00A32F52">
        <w:rPr>
          <w:rFonts w:ascii="Times New Roman" w:eastAsia="Times New Roman" w:hAnsi="Times New Roman" w:cs="Times New Roman"/>
          <w:sz w:val="24"/>
          <w:szCs w:val="28"/>
          <w:lang w:eastAsia="en-ZW"/>
        </w:rPr>
        <w:t>In the result, it is ordered as follows –</w:t>
      </w:r>
    </w:p>
    <w:p w14:paraId="749ACC08" w14:textId="77FAB246" w:rsidR="00C6326C" w:rsidRPr="00A32F52" w:rsidRDefault="00C6326C" w:rsidP="00A32F52">
      <w:pPr>
        <w:pStyle w:val="ListParagraph"/>
        <w:numPr>
          <w:ilvl w:val="0"/>
          <w:numId w:val="2"/>
        </w:num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The conviction of the accused for contravening section 70(1</w:t>
      </w:r>
      <w:proofErr w:type="gramStart"/>
      <w:r w:rsidRPr="00A32F52">
        <w:rPr>
          <w:rFonts w:ascii="Times New Roman" w:eastAsia="Times New Roman" w:hAnsi="Times New Roman" w:cs="Times New Roman"/>
          <w:sz w:val="24"/>
          <w:szCs w:val="28"/>
          <w:lang w:eastAsia="en-ZW"/>
        </w:rPr>
        <w:t>)(</w:t>
      </w:r>
      <w:proofErr w:type="gramEnd"/>
      <w:r w:rsidRPr="00A32F52">
        <w:rPr>
          <w:rFonts w:ascii="Times New Roman" w:eastAsia="Times New Roman" w:hAnsi="Times New Roman" w:cs="Times New Roman"/>
          <w:sz w:val="24"/>
          <w:szCs w:val="28"/>
          <w:lang w:eastAsia="en-ZW"/>
        </w:rPr>
        <w:t>a) of the Criminal Law [Codification and Reform] Act [</w:t>
      </w:r>
      <w:r w:rsidRPr="00A32F52">
        <w:rPr>
          <w:rFonts w:ascii="Times New Roman" w:eastAsia="Times New Roman" w:hAnsi="Times New Roman" w:cs="Times New Roman"/>
          <w:i/>
          <w:sz w:val="24"/>
          <w:szCs w:val="28"/>
          <w:lang w:eastAsia="en-ZW"/>
        </w:rPr>
        <w:t>Chapter 9:23</w:t>
      </w:r>
      <w:r w:rsidRPr="00A32F52">
        <w:rPr>
          <w:rFonts w:ascii="Times New Roman" w:eastAsia="Times New Roman" w:hAnsi="Times New Roman" w:cs="Times New Roman"/>
          <w:sz w:val="24"/>
          <w:szCs w:val="28"/>
          <w:lang w:eastAsia="en-ZW"/>
        </w:rPr>
        <w:t>] is confirmed.</w:t>
      </w:r>
    </w:p>
    <w:p w14:paraId="719254CD" w14:textId="77777777" w:rsidR="00C6326C" w:rsidRPr="00A32F52" w:rsidRDefault="00C6326C" w:rsidP="00A32F52">
      <w:pPr>
        <w:numPr>
          <w:ilvl w:val="0"/>
          <w:numId w:val="2"/>
        </w:num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The sentence of 14 months’ imprisonment imposed by the magistrate on 02 June 2025 is set aside as irregular and of no force.</w:t>
      </w:r>
    </w:p>
    <w:p w14:paraId="344885DE" w14:textId="7028A788" w:rsidR="00A94E98" w:rsidRDefault="00C6326C" w:rsidP="00A32F52">
      <w:pPr>
        <w:numPr>
          <w:ilvl w:val="0"/>
          <w:numId w:val="2"/>
        </w:numPr>
        <w:spacing w:after="0" w:line="360" w:lineRule="auto"/>
        <w:jc w:val="both"/>
        <w:rPr>
          <w:rFonts w:ascii="Times New Roman" w:eastAsia="Times New Roman" w:hAnsi="Times New Roman" w:cs="Times New Roman"/>
          <w:sz w:val="24"/>
          <w:szCs w:val="28"/>
          <w:lang w:eastAsia="en-ZW"/>
        </w:rPr>
      </w:pPr>
      <w:r w:rsidRPr="00A32F52">
        <w:rPr>
          <w:rFonts w:ascii="Times New Roman" w:eastAsia="Times New Roman" w:hAnsi="Times New Roman" w:cs="Times New Roman"/>
          <w:sz w:val="24"/>
          <w:szCs w:val="28"/>
          <w:lang w:eastAsia="en-ZW"/>
        </w:rPr>
        <w:t>The matter is remitted to the magistrates’ court for sentencing afresh. The magistrate is directed to proceed in terms of section 80 of the Criminal Law Code</w:t>
      </w:r>
    </w:p>
    <w:p w14:paraId="25E22CBF" w14:textId="77777777" w:rsidR="00A32F52" w:rsidRDefault="00A32F52" w:rsidP="00A32F52">
      <w:pPr>
        <w:spacing w:after="0" w:line="360" w:lineRule="auto"/>
        <w:jc w:val="both"/>
        <w:rPr>
          <w:rFonts w:ascii="Times New Roman" w:eastAsia="Times New Roman" w:hAnsi="Times New Roman" w:cs="Times New Roman"/>
          <w:sz w:val="24"/>
          <w:szCs w:val="28"/>
          <w:lang w:eastAsia="en-ZW"/>
        </w:rPr>
      </w:pPr>
    </w:p>
    <w:p w14:paraId="70DB681C" w14:textId="77777777" w:rsidR="00A32F52" w:rsidRDefault="00A32F52" w:rsidP="00A32F52">
      <w:pPr>
        <w:spacing w:after="0" w:line="360" w:lineRule="auto"/>
        <w:jc w:val="both"/>
        <w:rPr>
          <w:rFonts w:ascii="Times New Roman" w:eastAsia="Times New Roman" w:hAnsi="Times New Roman" w:cs="Times New Roman"/>
          <w:sz w:val="24"/>
          <w:szCs w:val="28"/>
          <w:lang w:eastAsia="en-ZW"/>
        </w:rPr>
      </w:pPr>
    </w:p>
    <w:p w14:paraId="39B8BFC1" w14:textId="558919FC" w:rsidR="00A32F52" w:rsidRDefault="00A32F52" w:rsidP="00A32F52">
      <w:pPr>
        <w:spacing w:after="0" w:line="240" w:lineRule="auto"/>
        <w:jc w:val="both"/>
        <w:rPr>
          <w:rFonts w:ascii="Times New Roman" w:eastAsia="Times New Roman" w:hAnsi="Times New Roman" w:cs="Times New Roman"/>
          <w:sz w:val="24"/>
          <w:szCs w:val="28"/>
          <w:lang w:eastAsia="en-ZW"/>
        </w:rPr>
      </w:pPr>
      <w:proofErr w:type="spellStart"/>
      <w:r w:rsidRPr="00A32F52">
        <w:rPr>
          <w:rFonts w:ascii="Times New Roman" w:eastAsia="Times New Roman" w:hAnsi="Times New Roman" w:cs="Times New Roman"/>
          <w:b/>
          <w:smallCaps/>
          <w:sz w:val="24"/>
          <w:szCs w:val="28"/>
          <w:lang w:eastAsia="en-ZW"/>
        </w:rPr>
        <w:t>Mambara</w:t>
      </w:r>
      <w:proofErr w:type="spellEnd"/>
      <w:r w:rsidRPr="00A32F52">
        <w:rPr>
          <w:rFonts w:ascii="Times New Roman" w:eastAsia="Times New Roman" w:hAnsi="Times New Roman" w:cs="Times New Roman"/>
          <w:b/>
          <w:smallCaps/>
          <w:sz w:val="24"/>
          <w:szCs w:val="28"/>
          <w:lang w:eastAsia="en-ZW"/>
        </w:rPr>
        <w:t xml:space="preserve"> J</w:t>
      </w:r>
      <w:r w:rsidR="0051390A">
        <w:rPr>
          <w:rFonts w:ascii="Times New Roman" w:eastAsia="Times New Roman" w:hAnsi="Times New Roman" w:cs="Times New Roman"/>
          <w:sz w:val="24"/>
          <w:szCs w:val="28"/>
          <w:lang w:eastAsia="en-ZW"/>
        </w:rPr>
        <w:t>: …………………………………………….</w:t>
      </w:r>
    </w:p>
    <w:p w14:paraId="7FA12E0C" w14:textId="77777777" w:rsidR="00A32F52" w:rsidRPr="00A32F52" w:rsidRDefault="00A32F52" w:rsidP="00A32F52">
      <w:pPr>
        <w:spacing w:after="0" w:line="240" w:lineRule="auto"/>
        <w:jc w:val="both"/>
        <w:rPr>
          <w:rFonts w:ascii="Times New Roman" w:eastAsia="Times New Roman" w:hAnsi="Times New Roman" w:cs="Times New Roman"/>
          <w:sz w:val="24"/>
          <w:szCs w:val="28"/>
          <w:lang w:eastAsia="en-ZW"/>
        </w:rPr>
      </w:pPr>
    </w:p>
    <w:p w14:paraId="62B008A3" w14:textId="72B90CB3" w:rsidR="00A94E98" w:rsidRPr="0051390A" w:rsidRDefault="00A94E98" w:rsidP="00A32F52">
      <w:pPr>
        <w:spacing w:after="0" w:line="360" w:lineRule="auto"/>
        <w:jc w:val="both"/>
        <w:rPr>
          <w:rFonts w:ascii="Times New Roman" w:eastAsia="Times New Roman" w:hAnsi="Times New Roman" w:cs="Times New Roman"/>
          <w:b/>
          <w:sz w:val="24"/>
          <w:szCs w:val="28"/>
          <w:lang w:eastAsia="en-ZW"/>
        </w:rPr>
      </w:pPr>
      <w:proofErr w:type="spellStart"/>
      <w:r w:rsidRPr="00A32F52">
        <w:rPr>
          <w:rFonts w:ascii="Times New Roman" w:eastAsia="Times New Roman" w:hAnsi="Times New Roman" w:cs="Times New Roman"/>
          <w:b/>
          <w:smallCaps/>
          <w:sz w:val="24"/>
          <w:szCs w:val="28"/>
          <w:lang w:eastAsia="en-ZW"/>
        </w:rPr>
        <w:t>Dembure</w:t>
      </w:r>
      <w:proofErr w:type="spellEnd"/>
      <w:r w:rsidRPr="00A32F52">
        <w:rPr>
          <w:rFonts w:ascii="Times New Roman" w:eastAsia="Times New Roman" w:hAnsi="Times New Roman" w:cs="Times New Roman"/>
          <w:b/>
          <w:smallCaps/>
          <w:sz w:val="24"/>
          <w:szCs w:val="28"/>
          <w:lang w:eastAsia="en-ZW"/>
        </w:rPr>
        <w:t xml:space="preserve"> J</w:t>
      </w:r>
      <w:r w:rsidR="00A32F52">
        <w:rPr>
          <w:rFonts w:ascii="Times New Roman" w:eastAsia="Times New Roman" w:hAnsi="Times New Roman" w:cs="Times New Roman"/>
          <w:sz w:val="24"/>
          <w:szCs w:val="28"/>
          <w:lang w:eastAsia="en-ZW"/>
        </w:rPr>
        <w:t>:</w:t>
      </w:r>
      <w:r w:rsidRPr="00A32F52">
        <w:rPr>
          <w:rFonts w:ascii="Times New Roman" w:eastAsia="Times New Roman" w:hAnsi="Times New Roman" w:cs="Times New Roman"/>
          <w:sz w:val="24"/>
          <w:szCs w:val="28"/>
          <w:lang w:eastAsia="en-ZW"/>
        </w:rPr>
        <w:t xml:space="preserve"> …</w:t>
      </w:r>
      <w:r w:rsidR="00A32F52">
        <w:rPr>
          <w:rFonts w:ascii="Times New Roman" w:eastAsia="Times New Roman" w:hAnsi="Times New Roman" w:cs="Times New Roman"/>
          <w:sz w:val="24"/>
          <w:szCs w:val="28"/>
          <w:lang w:eastAsia="en-ZW"/>
        </w:rPr>
        <w:t>……………………………………………</w:t>
      </w:r>
      <w:r w:rsidRPr="00A32F52">
        <w:rPr>
          <w:rFonts w:ascii="Times New Roman" w:eastAsia="Times New Roman" w:hAnsi="Times New Roman" w:cs="Times New Roman"/>
          <w:sz w:val="24"/>
          <w:szCs w:val="28"/>
          <w:lang w:eastAsia="en-ZW"/>
        </w:rPr>
        <w:t>..</w:t>
      </w:r>
      <w:r w:rsidR="00A32F52">
        <w:rPr>
          <w:rFonts w:ascii="Times New Roman" w:eastAsia="Times New Roman" w:hAnsi="Times New Roman" w:cs="Times New Roman"/>
          <w:sz w:val="24"/>
          <w:szCs w:val="28"/>
          <w:lang w:eastAsia="en-ZW"/>
        </w:rPr>
        <w:t xml:space="preserve"> </w:t>
      </w:r>
      <w:r w:rsidRPr="0051390A">
        <w:rPr>
          <w:rFonts w:ascii="Times New Roman" w:eastAsia="Times New Roman" w:hAnsi="Times New Roman" w:cs="Times New Roman"/>
          <w:b/>
          <w:sz w:val="24"/>
          <w:szCs w:val="28"/>
          <w:lang w:eastAsia="en-ZW"/>
        </w:rPr>
        <w:t>Agrees</w:t>
      </w:r>
    </w:p>
    <w:sectPr w:rsidR="00A94E98" w:rsidRPr="005139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01732" w14:textId="77777777" w:rsidR="005A760C" w:rsidRDefault="005A760C" w:rsidP="00A32F52">
      <w:pPr>
        <w:spacing w:after="0" w:line="240" w:lineRule="auto"/>
      </w:pPr>
      <w:r>
        <w:separator/>
      </w:r>
    </w:p>
  </w:endnote>
  <w:endnote w:type="continuationSeparator" w:id="0">
    <w:p w14:paraId="09CE6ADD" w14:textId="77777777" w:rsidR="005A760C" w:rsidRDefault="005A760C" w:rsidP="00A3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B44E3" w14:textId="77777777" w:rsidR="005A760C" w:rsidRDefault="005A760C" w:rsidP="00A32F52">
      <w:pPr>
        <w:spacing w:after="0" w:line="240" w:lineRule="auto"/>
      </w:pPr>
      <w:r>
        <w:separator/>
      </w:r>
    </w:p>
  </w:footnote>
  <w:footnote w:type="continuationSeparator" w:id="0">
    <w:p w14:paraId="3CDCD365" w14:textId="77777777" w:rsidR="005A760C" w:rsidRDefault="005A760C" w:rsidP="00A32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152193"/>
      <w:docPartObj>
        <w:docPartGallery w:val="Page Numbers (Top of Page)"/>
        <w:docPartUnique/>
      </w:docPartObj>
    </w:sdtPr>
    <w:sdtEndPr>
      <w:rPr>
        <w:noProof/>
      </w:rPr>
    </w:sdtEndPr>
    <w:sdtContent>
      <w:p w14:paraId="0F53E9B1" w14:textId="77777777" w:rsidR="00A32F52" w:rsidRDefault="00A32F52">
        <w:pPr>
          <w:pStyle w:val="Header"/>
          <w:jc w:val="right"/>
          <w:rPr>
            <w:noProof/>
          </w:rPr>
        </w:pPr>
        <w:r>
          <w:fldChar w:fldCharType="begin"/>
        </w:r>
        <w:r>
          <w:instrText xml:space="preserve"> PAGE   \* MERGEFORMAT </w:instrText>
        </w:r>
        <w:r>
          <w:fldChar w:fldCharType="separate"/>
        </w:r>
        <w:r w:rsidR="000606CD">
          <w:rPr>
            <w:noProof/>
          </w:rPr>
          <w:t>1</w:t>
        </w:r>
        <w:r>
          <w:rPr>
            <w:noProof/>
          </w:rPr>
          <w:fldChar w:fldCharType="end"/>
        </w:r>
      </w:p>
      <w:p w14:paraId="1A89CB42" w14:textId="7B3529B3" w:rsidR="00415A90" w:rsidRDefault="00415A90">
        <w:pPr>
          <w:pStyle w:val="Header"/>
          <w:jc w:val="right"/>
          <w:rPr>
            <w:noProof/>
          </w:rPr>
        </w:pPr>
        <w:r>
          <w:rPr>
            <w:noProof/>
          </w:rPr>
          <w:t>HH 561 - 25</w:t>
        </w:r>
      </w:p>
      <w:p w14:paraId="2D6A4464" w14:textId="55C3C7C1" w:rsidR="00A32F52" w:rsidRDefault="00A32F52">
        <w:pPr>
          <w:pStyle w:val="Header"/>
          <w:jc w:val="right"/>
        </w:pPr>
        <w:r>
          <w:rPr>
            <w:noProof/>
          </w:rPr>
          <w:t>CRB No. CHTP 1199/25</w:t>
        </w:r>
      </w:p>
    </w:sdtContent>
  </w:sdt>
  <w:p w14:paraId="4CC54AC0" w14:textId="77777777" w:rsidR="00A32F52" w:rsidRDefault="00A32F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36AB"/>
    <w:multiLevelType w:val="hybridMultilevel"/>
    <w:tmpl w:val="F338336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EEF4C2A"/>
    <w:multiLevelType w:val="multilevel"/>
    <w:tmpl w:val="9ED03C90"/>
    <w:lvl w:ilvl="0">
      <w:start w:val="1"/>
      <w:numFmt w:val="decimal"/>
      <w:lvlText w:val="%1."/>
      <w:lvlJc w:val="left"/>
      <w:pPr>
        <w:tabs>
          <w:tab w:val="num" w:pos="1080"/>
        </w:tabs>
        <w:ind w:left="1080" w:hanging="360"/>
      </w:pPr>
      <w:rPr>
        <w:rFonts w:ascii="Times New Roman" w:eastAsia="Times New Roman" w:hAnsi="Times New Roman" w:cs="Times New Roman"/>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5B021604"/>
    <w:multiLevelType w:val="multilevel"/>
    <w:tmpl w:val="B4829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26C"/>
    <w:rsid w:val="000606CD"/>
    <w:rsid w:val="00083873"/>
    <w:rsid w:val="000F774D"/>
    <w:rsid w:val="001047DB"/>
    <w:rsid w:val="00415A90"/>
    <w:rsid w:val="004269DB"/>
    <w:rsid w:val="0051390A"/>
    <w:rsid w:val="005A760C"/>
    <w:rsid w:val="006665C2"/>
    <w:rsid w:val="00710B80"/>
    <w:rsid w:val="00776E46"/>
    <w:rsid w:val="008668FE"/>
    <w:rsid w:val="009872B4"/>
    <w:rsid w:val="00A24768"/>
    <w:rsid w:val="00A32F52"/>
    <w:rsid w:val="00A740CC"/>
    <w:rsid w:val="00A94E98"/>
    <w:rsid w:val="00B560C3"/>
    <w:rsid w:val="00B64E15"/>
    <w:rsid w:val="00C6326C"/>
    <w:rsid w:val="00C7346C"/>
    <w:rsid w:val="00D21ED9"/>
    <w:rsid w:val="00E105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32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C6326C"/>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26C"/>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C6326C"/>
    <w:rPr>
      <w:rFonts w:ascii="Times New Roman" w:eastAsia="Times New Roman" w:hAnsi="Times New Roman" w:cs="Times New Roman"/>
      <w:b/>
      <w:bCs/>
      <w:sz w:val="36"/>
      <w:szCs w:val="36"/>
      <w:lang w:eastAsia="en-ZW"/>
    </w:rPr>
  </w:style>
  <w:style w:type="character" w:styleId="Strong">
    <w:name w:val="Strong"/>
    <w:basedOn w:val="DefaultParagraphFont"/>
    <w:uiPriority w:val="22"/>
    <w:qFormat/>
    <w:rsid w:val="00C6326C"/>
    <w:rPr>
      <w:b/>
      <w:bCs/>
    </w:rPr>
  </w:style>
  <w:style w:type="paragraph" w:styleId="NormalWeb">
    <w:name w:val="Normal (Web)"/>
    <w:basedOn w:val="Normal"/>
    <w:uiPriority w:val="99"/>
    <w:semiHidden/>
    <w:unhideWhenUsed/>
    <w:rsid w:val="00C6326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C6326C"/>
    <w:rPr>
      <w:i/>
      <w:iCs/>
    </w:rPr>
  </w:style>
  <w:style w:type="character" w:customStyle="1" w:styleId="ms-1">
    <w:name w:val="ms-1"/>
    <w:basedOn w:val="DefaultParagraphFont"/>
    <w:rsid w:val="00C6326C"/>
  </w:style>
  <w:style w:type="character" w:customStyle="1" w:styleId="max-w-full">
    <w:name w:val="max-w-full"/>
    <w:basedOn w:val="DefaultParagraphFont"/>
    <w:rsid w:val="00C6326C"/>
  </w:style>
  <w:style w:type="paragraph" w:styleId="z-TopofForm">
    <w:name w:val="HTML Top of Form"/>
    <w:basedOn w:val="Normal"/>
    <w:next w:val="Normal"/>
    <w:link w:val="z-TopofFormChar"/>
    <w:hidden/>
    <w:uiPriority w:val="99"/>
    <w:semiHidden/>
    <w:unhideWhenUsed/>
    <w:rsid w:val="00C6326C"/>
    <w:pPr>
      <w:pBdr>
        <w:bottom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TopofFormChar">
    <w:name w:val="z-Top of Form Char"/>
    <w:basedOn w:val="DefaultParagraphFont"/>
    <w:link w:val="z-TopofForm"/>
    <w:uiPriority w:val="99"/>
    <w:semiHidden/>
    <w:rsid w:val="00C6326C"/>
    <w:rPr>
      <w:rFonts w:ascii="Arial" w:eastAsia="Times New Roman" w:hAnsi="Arial" w:cs="Arial"/>
      <w:vanish/>
      <w:sz w:val="16"/>
      <w:szCs w:val="16"/>
      <w:lang w:eastAsia="en-ZW"/>
    </w:rPr>
  </w:style>
  <w:style w:type="paragraph" w:styleId="z-BottomofForm">
    <w:name w:val="HTML Bottom of Form"/>
    <w:basedOn w:val="Normal"/>
    <w:next w:val="Normal"/>
    <w:link w:val="z-BottomofFormChar"/>
    <w:hidden/>
    <w:uiPriority w:val="99"/>
    <w:semiHidden/>
    <w:unhideWhenUsed/>
    <w:rsid w:val="00C6326C"/>
    <w:pPr>
      <w:pBdr>
        <w:top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BottomofFormChar">
    <w:name w:val="z-Bottom of Form Char"/>
    <w:basedOn w:val="DefaultParagraphFont"/>
    <w:link w:val="z-BottomofForm"/>
    <w:uiPriority w:val="99"/>
    <w:semiHidden/>
    <w:rsid w:val="00C6326C"/>
    <w:rPr>
      <w:rFonts w:ascii="Arial" w:eastAsia="Times New Roman" w:hAnsi="Arial" w:cs="Arial"/>
      <w:vanish/>
      <w:sz w:val="16"/>
      <w:szCs w:val="16"/>
      <w:lang w:eastAsia="en-ZW"/>
    </w:rPr>
  </w:style>
  <w:style w:type="paragraph" w:styleId="ListParagraph">
    <w:name w:val="List Paragraph"/>
    <w:basedOn w:val="Normal"/>
    <w:uiPriority w:val="34"/>
    <w:qFormat/>
    <w:rsid w:val="00E105D4"/>
    <w:pPr>
      <w:ind w:left="720"/>
      <w:contextualSpacing/>
    </w:pPr>
  </w:style>
  <w:style w:type="paragraph" w:styleId="Header">
    <w:name w:val="header"/>
    <w:basedOn w:val="Normal"/>
    <w:link w:val="HeaderChar"/>
    <w:uiPriority w:val="99"/>
    <w:unhideWhenUsed/>
    <w:rsid w:val="00A32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52"/>
  </w:style>
  <w:style w:type="paragraph" w:styleId="Footer">
    <w:name w:val="footer"/>
    <w:basedOn w:val="Normal"/>
    <w:link w:val="FooterChar"/>
    <w:uiPriority w:val="99"/>
    <w:unhideWhenUsed/>
    <w:rsid w:val="00A32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32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C6326C"/>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26C"/>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C6326C"/>
    <w:rPr>
      <w:rFonts w:ascii="Times New Roman" w:eastAsia="Times New Roman" w:hAnsi="Times New Roman" w:cs="Times New Roman"/>
      <w:b/>
      <w:bCs/>
      <w:sz w:val="36"/>
      <w:szCs w:val="36"/>
      <w:lang w:eastAsia="en-ZW"/>
    </w:rPr>
  </w:style>
  <w:style w:type="character" w:styleId="Strong">
    <w:name w:val="Strong"/>
    <w:basedOn w:val="DefaultParagraphFont"/>
    <w:uiPriority w:val="22"/>
    <w:qFormat/>
    <w:rsid w:val="00C6326C"/>
    <w:rPr>
      <w:b/>
      <w:bCs/>
    </w:rPr>
  </w:style>
  <w:style w:type="paragraph" w:styleId="NormalWeb">
    <w:name w:val="Normal (Web)"/>
    <w:basedOn w:val="Normal"/>
    <w:uiPriority w:val="99"/>
    <w:semiHidden/>
    <w:unhideWhenUsed/>
    <w:rsid w:val="00C6326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C6326C"/>
    <w:rPr>
      <w:i/>
      <w:iCs/>
    </w:rPr>
  </w:style>
  <w:style w:type="character" w:customStyle="1" w:styleId="ms-1">
    <w:name w:val="ms-1"/>
    <w:basedOn w:val="DefaultParagraphFont"/>
    <w:rsid w:val="00C6326C"/>
  </w:style>
  <w:style w:type="character" w:customStyle="1" w:styleId="max-w-full">
    <w:name w:val="max-w-full"/>
    <w:basedOn w:val="DefaultParagraphFont"/>
    <w:rsid w:val="00C6326C"/>
  </w:style>
  <w:style w:type="paragraph" w:styleId="z-TopofForm">
    <w:name w:val="HTML Top of Form"/>
    <w:basedOn w:val="Normal"/>
    <w:next w:val="Normal"/>
    <w:link w:val="z-TopofFormChar"/>
    <w:hidden/>
    <w:uiPriority w:val="99"/>
    <w:semiHidden/>
    <w:unhideWhenUsed/>
    <w:rsid w:val="00C6326C"/>
    <w:pPr>
      <w:pBdr>
        <w:bottom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TopofFormChar">
    <w:name w:val="z-Top of Form Char"/>
    <w:basedOn w:val="DefaultParagraphFont"/>
    <w:link w:val="z-TopofForm"/>
    <w:uiPriority w:val="99"/>
    <w:semiHidden/>
    <w:rsid w:val="00C6326C"/>
    <w:rPr>
      <w:rFonts w:ascii="Arial" w:eastAsia="Times New Roman" w:hAnsi="Arial" w:cs="Arial"/>
      <w:vanish/>
      <w:sz w:val="16"/>
      <w:szCs w:val="16"/>
      <w:lang w:eastAsia="en-ZW"/>
    </w:rPr>
  </w:style>
  <w:style w:type="paragraph" w:styleId="z-BottomofForm">
    <w:name w:val="HTML Bottom of Form"/>
    <w:basedOn w:val="Normal"/>
    <w:next w:val="Normal"/>
    <w:link w:val="z-BottomofFormChar"/>
    <w:hidden/>
    <w:uiPriority w:val="99"/>
    <w:semiHidden/>
    <w:unhideWhenUsed/>
    <w:rsid w:val="00C6326C"/>
    <w:pPr>
      <w:pBdr>
        <w:top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BottomofFormChar">
    <w:name w:val="z-Bottom of Form Char"/>
    <w:basedOn w:val="DefaultParagraphFont"/>
    <w:link w:val="z-BottomofForm"/>
    <w:uiPriority w:val="99"/>
    <w:semiHidden/>
    <w:rsid w:val="00C6326C"/>
    <w:rPr>
      <w:rFonts w:ascii="Arial" w:eastAsia="Times New Roman" w:hAnsi="Arial" w:cs="Arial"/>
      <w:vanish/>
      <w:sz w:val="16"/>
      <w:szCs w:val="16"/>
      <w:lang w:eastAsia="en-ZW"/>
    </w:rPr>
  </w:style>
  <w:style w:type="paragraph" w:styleId="ListParagraph">
    <w:name w:val="List Paragraph"/>
    <w:basedOn w:val="Normal"/>
    <w:uiPriority w:val="34"/>
    <w:qFormat/>
    <w:rsid w:val="00E105D4"/>
    <w:pPr>
      <w:ind w:left="720"/>
      <w:contextualSpacing/>
    </w:pPr>
  </w:style>
  <w:style w:type="paragraph" w:styleId="Header">
    <w:name w:val="header"/>
    <w:basedOn w:val="Normal"/>
    <w:link w:val="HeaderChar"/>
    <w:uiPriority w:val="99"/>
    <w:unhideWhenUsed/>
    <w:rsid w:val="00A32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52"/>
  </w:style>
  <w:style w:type="paragraph" w:styleId="Footer">
    <w:name w:val="footer"/>
    <w:basedOn w:val="Normal"/>
    <w:link w:val="FooterChar"/>
    <w:uiPriority w:val="99"/>
    <w:unhideWhenUsed/>
    <w:rsid w:val="00A32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76336">
      <w:bodyDiv w:val="1"/>
      <w:marLeft w:val="0"/>
      <w:marRight w:val="0"/>
      <w:marTop w:val="0"/>
      <w:marBottom w:val="0"/>
      <w:divBdr>
        <w:top w:val="none" w:sz="0" w:space="0" w:color="auto"/>
        <w:left w:val="none" w:sz="0" w:space="0" w:color="auto"/>
        <w:bottom w:val="none" w:sz="0" w:space="0" w:color="auto"/>
        <w:right w:val="none" w:sz="0" w:space="0" w:color="auto"/>
      </w:divBdr>
      <w:divsChild>
        <w:div w:id="938219819">
          <w:marLeft w:val="0"/>
          <w:marRight w:val="0"/>
          <w:marTop w:val="0"/>
          <w:marBottom w:val="0"/>
          <w:divBdr>
            <w:top w:val="none" w:sz="0" w:space="0" w:color="auto"/>
            <w:left w:val="none" w:sz="0" w:space="0" w:color="auto"/>
            <w:bottom w:val="none" w:sz="0" w:space="0" w:color="auto"/>
            <w:right w:val="none" w:sz="0" w:space="0" w:color="auto"/>
          </w:divBdr>
          <w:divsChild>
            <w:div w:id="1106579699">
              <w:marLeft w:val="0"/>
              <w:marRight w:val="0"/>
              <w:marTop w:val="0"/>
              <w:marBottom w:val="0"/>
              <w:divBdr>
                <w:top w:val="none" w:sz="0" w:space="0" w:color="auto"/>
                <w:left w:val="none" w:sz="0" w:space="0" w:color="auto"/>
                <w:bottom w:val="none" w:sz="0" w:space="0" w:color="auto"/>
                <w:right w:val="none" w:sz="0" w:space="0" w:color="auto"/>
              </w:divBdr>
              <w:divsChild>
                <w:div w:id="420417742">
                  <w:marLeft w:val="0"/>
                  <w:marRight w:val="0"/>
                  <w:marTop w:val="0"/>
                  <w:marBottom w:val="0"/>
                  <w:divBdr>
                    <w:top w:val="none" w:sz="0" w:space="0" w:color="auto"/>
                    <w:left w:val="none" w:sz="0" w:space="0" w:color="auto"/>
                    <w:bottom w:val="none" w:sz="0" w:space="0" w:color="auto"/>
                    <w:right w:val="none" w:sz="0" w:space="0" w:color="auto"/>
                  </w:divBdr>
                  <w:divsChild>
                    <w:div w:id="63066038">
                      <w:marLeft w:val="0"/>
                      <w:marRight w:val="0"/>
                      <w:marTop w:val="0"/>
                      <w:marBottom w:val="0"/>
                      <w:divBdr>
                        <w:top w:val="none" w:sz="0" w:space="0" w:color="auto"/>
                        <w:left w:val="none" w:sz="0" w:space="0" w:color="auto"/>
                        <w:bottom w:val="none" w:sz="0" w:space="0" w:color="auto"/>
                        <w:right w:val="none" w:sz="0" w:space="0" w:color="auto"/>
                      </w:divBdr>
                      <w:divsChild>
                        <w:div w:id="1406416339">
                          <w:marLeft w:val="0"/>
                          <w:marRight w:val="0"/>
                          <w:marTop w:val="0"/>
                          <w:marBottom w:val="0"/>
                          <w:divBdr>
                            <w:top w:val="none" w:sz="0" w:space="0" w:color="auto"/>
                            <w:left w:val="none" w:sz="0" w:space="0" w:color="auto"/>
                            <w:bottom w:val="none" w:sz="0" w:space="0" w:color="auto"/>
                            <w:right w:val="none" w:sz="0" w:space="0" w:color="auto"/>
                          </w:divBdr>
                          <w:divsChild>
                            <w:div w:id="691539931">
                              <w:marLeft w:val="0"/>
                              <w:marRight w:val="0"/>
                              <w:marTop w:val="0"/>
                              <w:marBottom w:val="0"/>
                              <w:divBdr>
                                <w:top w:val="none" w:sz="0" w:space="0" w:color="auto"/>
                                <w:left w:val="none" w:sz="0" w:space="0" w:color="auto"/>
                                <w:bottom w:val="none" w:sz="0" w:space="0" w:color="auto"/>
                                <w:right w:val="none" w:sz="0" w:space="0" w:color="auto"/>
                              </w:divBdr>
                              <w:divsChild>
                                <w:div w:id="1753508562">
                                  <w:marLeft w:val="0"/>
                                  <w:marRight w:val="0"/>
                                  <w:marTop w:val="0"/>
                                  <w:marBottom w:val="0"/>
                                  <w:divBdr>
                                    <w:top w:val="none" w:sz="0" w:space="0" w:color="auto"/>
                                    <w:left w:val="none" w:sz="0" w:space="0" w:color="auto"/>
                                    <w:bottom w:val="none" w:sz="0" w:space="0" w:color="auto"/>
                                    <w:right w:val="none" w:sz="0" w:space="0" w:color="auto"/>
                                  </w:divBdr>
                                  <w:divsChild>
                                    <w:div w:id="1253783255">
                                      <w:marLeft w:val="0"/>
                                      <w:marRight w:val="0"/>
                                      <w:marTop w:val="0"/>
                                      <w:marBottom w:val="0"/>
                                      <w:divBdr>
                                        <w:top w:val="none" w:sz="0" w:space="0" w:color="auto"/>
                                        <w:left w:val="none" w:sz="0" w:space="0" w:color="auto"/>
                                        <w:bottom w:val="none" w:sz="0" w:space="0" w:color="auto"/>
                                        <w:right w:val="none" w:sz="0" w:space="0" w:color="auto"/>
                                      </w:divBdr>
                                      <w:divsChild>
                                        <w:div w:id="1431509836">
                                          <w:marLeft w:val="0"/>
                                          <w:marRight w:val="0"/>
                                          <w:marTop w:val="0"/>
                                          <w:marBottom w:val="0"/>
                                          <w:divBdr>
                                            <w:top w:val="none" w:sz="0" w:space="0" w:color="auto"/>
                                            <w:left w:val="none" w:sz="0" w:space="0" w:color="auto"/>
                                            <w:bottom w:val="none" w:sz="0" w:space="0" w:color="auto"/>
                                            <w:right w:val="none" w:sz="0" w:space="0" w:color="auto"/>
                                          </w:divBdr>
                                          <w:divsChild>
                                            <w:div w:id="121505611">
                                              <w:marLeft w:val="0"/>
                                              <w:marRight w:val="0"/>
                                              <w:marTop w:val="0"/>
                                              <w:marBottom w:val="0"/>
                                              <w:divBdr>
                                                <w:top w:val="none" w:sz="0" w:space="0" w:color="auto"/>
                                                <w:left w:val="none" w:sz="0" w:space="0" w:color="auto"/>
                                                <w:bottom w:val="none" w:sz="0" w:space="0" w:color="auto"/>
                                                <w:right w:val="none" w:sz="0" w:space="0" w:color="auto"/>
                                              </w:divBdr>
                                              <w:divsChild>
                                                <w:div w:id="10907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5587">
                                          <w:marLeft w:val="0"/>
                                          <w:marRight w:val="0"/>
                                          <w:marTop w:val="0"/>
                                          <w:marBottom w:val="0"/>
                                          <w:divBdr>
                                            <w:top w:val="none" w:sz="0" w:space="0" w:color="auto"/>
                                            <w:left w:val="none" w:sz="0" w:space="0" w:color="auto"/>
                                            <w:bottom w:val="none" w:sz="0" w:space="0" w:color="auto"/>
                                            <w:right w:val="none" w:sz="0" w:space="0" w:color="auto"/>
                                          </w:divBdr>
                                          <w:divsChild>
                                            <w:div w:id="882324191">
                                              <w:marLeft w:val="0"/>
                                              <w:marRight w:val="0"/>
                                              <w:marTop w:val="0"/>
                                              <w:marBottom w:val="0"/>
                                              <w:divBdr>
                                                <w:top w:val="none" w:sz="0" w:space="0" w:color="auto"/>
                                                <w:left w:val="none" w:sz="0" w:space="0" w:color="auto"/>
                                                <w:bottom w:val="none" w:sz="0" w:space="0" w:color="auto"/>
                                                <w:right w:val="none" w:sz="0" w:space="0" w:color="auto"/>
                                              </w:divBdr>
                                              <w:divsChild>
                                                <w:div w:id="673341336">
                                                  <w:marLeft w:val="0"/>
                                                  <w:marRight w:val="0"/>
                                                  <w:marTop w:val="0"/>
                                                  <w:marBottom w:val="0"/>
                                                  <w:divBdr>
                                                    <w:top w:val="none" w:sz="0" w:space="0" w:color="auto"/>
                                                    <w:left w:val="none" w:sz="0" w:space="0" w:color="auto"/>
                                                    <w:bottom w:val="none" w:sz="0" w:space="0" w:color="auto"/>
                                                    <w:right w:val="none" w:sz="0" w:space="0" w:color="auto"/>
                                                  </w:divBdr>
                                                  <w:divsChild>
                                                    <w:div w:id="1225220160">
                                                      <w:marLeft w:val="0"/>
                                                      <w:marRight w:val="0"/>
                                                      <w:marTop w:val="0"/>
                                                      <w:marBottom w:val="0"/>
                                                      <w:divBdr>
                                                        <w:top w:val="none" w:sz="0" w:space="0" w:color="auto"/>
                                                        <w:left w:val="none" w:sz="0" w:space="0" w:color="auto"/>
                                                        <w:bottom w:val="none" w:sz="0" w:space="0" w:color="auto"/>
                                                        <w:right w:val="none" w:sz="0" w:space="0" w:color="auto"/>
                                                      </w:divBdr>
                                                    </w:div>
                                                  </w:divsChild>
                                                </w:div>
                                                <w:div w:id="418257549">
                                                  <w:marLeft w:val="0"/>
                                                  <w:marRight w:val="0"/>
                                                  <w:marTop w:val="0"/>
                                                  <w:marBottom w:val="0"/>
                                                  <w:divBdr>
                                                    <w:top w:val="none" w:sz="0" w:space="0" w:color="auto"/>
                                                    <w:left w:val="none" w:sz="0" w:space="0" w:color="auto"/>
                                                    <w:bottom w:val="none" w:sz="0" w:space="0" w:color="auto"/>
                                                    <w:right w:val="none" w:sz="0" w:space="0" w:color="auto"/>
                                                  </w:divBdr>
                                                  <w:divsChild>
                                                    <w:div w:id="19542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3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738341">
          <w:marLeft w:val="0"/>
          <w:marRight w:val="0"/>
          <w:marTop w:val="0"/>
          <w:marBottom w:val="0"/>
          <w:divBdr>
            <w:top w:val="none" w:sz="0" w:space="0" w:color="auto"/>
            <w:left w:val="none" w:sz="0" w:space="0" w:color="auto"/>
            <w:bottom w:val="none" w:sz="0" w:space="0" w:color="auto"/>
            <w:right w:val="none" w:sz="0" w:space="0" w:color="auto"/>
          </w:divBdr>
          <w:divsChild>
            <w:div w:id="1399401913">
              <w:marLeft w:val="0"/>
              <w:marRight w:val="0"/>
              <w:marTop w:val="0"/>
              <w:marBottom w:val="0"/>
              <w:divBdr>
                <w:top w:val="none" w:sz="0" w:space="0" w:color="auto"/>
                <w:left w:val="none" w:sz="0" w:space="0" w:color="auto"/>
                <w:bottom w:val="none" w:sz="0" w:space="0" w:color="auto"/>
                <w:right w:val="none" w:sz="0" w:space="0" w:color="auto"/>
              </w:divBdr>
              <w:divsChild>
                <w:div w:id="1412392699">
                  <w:marLeft w:val="0"/>
                  <w:marRight w:val="0"/>
                  <w:marTop w:val="0"/>
                  <w:marBottom w:val="0"/>
                  <w:divBdr>
                    <w:top w:val="none" w:sz="0" w:space="0" w:color="auto"/>
                    <w:left w:val="none" w:sz="0" w:space="0" w:color="auto"/>
                    <w:bottom w:val="none" w:sz="0" w:space="0" w:color="auto"/>
                    <w:right w:val="none" w:sz="0" w:space="0" w:color="auto"/>
                  </w:divBdr>
                  <w:divsChild>
                    <w:div w:id="1184634827">
                      <w:marLeft w:val="0"/>
                      <w:marRight w:val="0"/>
                      <w:marTop w:val="0"/>
                      <w:marBottom w:val="0"/>
                      <w:divBdr>
                        <w:top w:val="none" w:sz="0" w:space="0" w:color="auto"/>
                        <w:left w:val="none" w:sz="0" w:space="0" w:color="auto"/>
                        <w:bottom w:val="none" w:sz="0" w:space="0" w:color="auto"/>
                        <w:right w:val="none" w:sz="0" w:space="0" w:color="auto"/>
                      </w:divBdr>
                      <w:divsChild>
                        <w:div w:id="679939712">
                          <w:marLeft w:val="0"/>
                          <w:marRight w:val="0"/>
                          <w:marTop w:val="0"/>
                          <w:marBottom w:val="0"/>
                          <w:divBdr>
                            <w:top w:val="none" w:sz="0" w:space="0" w:color="auto"/>
                            <w:left w:val="none" w:sz="0" w:space="0" w:color="auto"/>
                            <w:bottom w:val="none" w:sz="0" w:space="0" w:color="auto"/>
                            <w:right w:val="none" w:sz="0" w:space="0" w:color="auto"/>
                          </w:divBdr>
                          <w:divsChild>
                            <w:div w:id="971594472">
                              <w:marLeft w:val="0"/>
                              <w:marRight w:val="0"/>
                              <w:marTop w:val="0"/>
                              <w:marBottom w:val="0"/>
                              <w:divBdr>
                                <w:top w:val="none" w:sz="0" w:space="0" w:color="auto"/>
                                <w:left w:val="none" w:sz="0" w:space="0" w:color="auto"/>
                                <w:bottom w:val="none" w:sz="0" w:space="0" w:color="auto"/>
                                <w:right w:val="none" w:sz="0" w:space="0" w:color="auto"/>
                              </w:divBdr>
                              <w:divsChild>
                                <w:div w:id="638992987">
                                  <w:marLeft w:val="0"/>
                                  <w:marRight w:val="0"/>
                                  <w:marTop w:val="0"/>
                                  <w:marBottom w:val="0"/>
                                  <w:divBdr>
                                    <w:top w:val="none" w:sz="0" w:space="0" w:color="auto"/>
                                    <w:left w:val="none" w:sz="0" w:space="0" w:color="auto"/>
                                    <w:bottom w:val="none" w:sz="0" w:space="0" w:color="auto"/>
                                    <w:right w:val="none" w:sz="0" w:space="0" w:color="auto"/>
                                  </w:divBdr>
                                  <w:divsChild>
                                    <w:div w:id="1046491948">
                                      <w:marLeft w:val="0"/>
                                      <w:marRight w:val="0"/>
                                      <w:marTop w:val="0"/>
                                      <w:marBottom w:val="0"/>
                                      <w:divBdr>
                                        <w:top w:val="none" w:sz="0" w:space="0" w:color="auto"/>
                                        <w:left w:val="none" w:sz="0" w:space="0" w:color="auto"/>
                                        <w:bottom w:val="none" w:sz="0" w:space="0" w:color="auto"/>
                                        <w:right w:val="none" w:sz="0" w:space="0" w:color="auto"/>
                                      </w:divBdr>
                                      <w:divsChild>
                                        <w:div w:id="1458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2025-09-26T10:24:00Z</dcterms:created>
  <dcterms:modified xsi:type="dcterms:W3CDTF">2025-09-26T10:24:00Z</dcterms:modified>
</cp:coreProperties>
</file>