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A40" w:rsidRDefault="00E26A40" w:rsidP="00A338FA">
      <w:pPr>
        <w:pStyle w:val="NoSpacing"/>
        <w:jc w:val="both"/>
        <w:rPr>
          <w:rFonts w:ascii="Times New Roman" w:hAnsi="Times New Roman" w:cs="Times New Roman"/>
          <w:b/>
          <w:szCs w:val="24"/>
        </w:rPr>
      </w:pPr>
      <w:r>
        <w:rPr>
          <w:rFonts w:ascii="Times New Roman" w:hAnsi="Times New Roman" w:cs="Times New Roman"/>
          <w:b/>
          <w:szCs w:val="24"/>
        </w:rPr>
        <w:t>THE STATE</w:t>
      </w:r>
    </w:p>
    <w:p w:rsidR="00E26A40" w:rsidRDefault="00E26A40" w:rsidP="00A338FA">
      <w:pPr>
        <w:pStyle w:val="NoSpacing"/>
        <w:jc w:val="both"/>
        <w:rPr>
          <w:rFonts w:ascii="Times New Roman" w:hAnsi="Times New Roman" w:cs="Times New Roman"/>
          <w:b/>
          <w:szCs w:val="24"/>
        </w:rPr>
      </w:pPr>
    </w:p>
    <w:p w:rsidR="00E26A40" w:rsidRDefault="00E26A40" w:rsidP="00A338FA">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E26A40" w:rsidRDefault="00E26A40" w:rsidP="00A338FA">
      <w:pPr>
        <w:pStyle w:val="NoSpacing"/>
        <w:jc w:val="both"/>
        <w:rPr>
          <w:rFonts w:ascii="Times New Roman" w:hAnsi="Times New Roman" w:cs="Times New Roman"/>
          <w:b/>
          <w:szCs w:val="24"/>
        </w:rPr>
      </w:pPr>
    </w:p>
    <w:p w:rsidR="00E26A40" w:rsidRDefault="00E26A40" w:rsidP="00A338FA">
      <w:pPr>
        <w:pStyle w:val="NoSpacing"/>
        <w:jc w:val="both"/>
        <w:rPr>
          <w:rFonts w:ascii="Times New Roman" w:hAnsi="Times New Roman" w:cs="Times New Roman"/>
          <w:b/>
          <w:szCs w:val="24"/>
        </w:rPr>
      </w:pPr>
      <w:r>
        <w:rPr>
          <w:rFonts w:ascii="Times New Roman" w:hAnsi="Times New Roman" w:cs="Times New Roman"/>
          <w:b/>
          <w:szCs w:val="24"/>
        </w:rPr>
        <w:t>SENZENI JIYANE</w:t>
      </w:r>
    </w:p>
    <w:p w:rsidR="00E26A40" w:rsidRDefault="00E26A40" w:rsidP="00A338FA">
      <w:pPr>
        <w:pStyle w:val="NoSpacing"/>
        <w:jc w:val="both"/>
        <w:rPr>
          <w:rFonts w:ascii="Times New Roman" w:hAnsi="Times New Roman" w:cs="Times New Roman"/>
          <w:b/>
          <w:szCs w:val="24"/>
        </w:rPr>
      </w:pPr>
    </w:p>
    <w:p w:rsidR="00E26A40" w:rsidRDefault="00E26A40" w:rsidP="00A338FA">
      <w:pPr>
        <w:pStyle w:val="NoSpacing"/>
        <w:jc w:val="both"/>
        <w:rPr>
          <w:rFonts w:ascii="Times New Roman" w:hAnsi="Times New Roman" w:cs="Times New Roman"/>
          <w:b/>
          <w:szCs w:val="24"/>
        </w:rPr>
      </w:pPr>
      <w:r>
        <w:rPr>
          <w:rFonts w:ascii="Times New Roman" w:hAnsi="Times New Roman" w:cs="Times New Roman"/>
          <w:b/>
          <w:szCs w:val="24"/>
        </w:rPr>
        <w:t>AND</w:t>
      </w:r>
    </w:p>
    <w:p w:rsidR="00E26A40" w:rsidRDefault="00E26A40" w:rsidP="00A338FA">
      <w:pPr>
        <w:pStyle w:val="NoSpacing"/>
        <w:jc w:val="both"/>
        <w:rPr>
          <w:rFonts w:ascii="Times New Roman" w:hAnsi="Times New Roman" w:cs="Times New Roman"/>
          <w:b/>
          <w:szCs w:val="24"/>
        </w:rPr>
      </w:pPr>
    </w:p>
    <w:p w:rsidR="00E26A40" w:rsidRDefault="00E26A40" w:rsidP="00A338FA">
      <w:pPr>
        <w:pStyle w:val="NoSpacing"/>
        <w:jc w:val="both"/>
        <w:rPr>
          <w:rFonts w:ascii="Times New Roman" w:hAnsi="Times New Roman" w:cs="Times New Roman"/>
          <w:szCs w:val="24"/>
        </w:rPr>
      </w:pPr>
      <w:r>
        <w:rPr>
          <w:rFonts w:ascii="Times New Roman" w:hAnsi="Times New Roman" w:cs="Times New Roman"/>
          <w:b/>
          <w:szCs w:val="24"/>
        </w:rPr>
        <w:t>LINDIWE NCUBE</w:t>
      </w:r>
    </w:p>
    <w:p w:rsidR="00E26A40" w:rsidRDefault="00E26A40" w:rsidP="00A338FA">
      <w:pPr>
        <w:pStyle w:val="NoSpacing"/>
        <w:jc w:val="both"/>
        <w:rPr>
          <w:rFonts w:ascii="Times New Roman" w:hAnsi="Times New Roman" w:cs="Times New Roman"/>
          <w:szCs w:val="24"/>
        </w:rPr>
      </w:pPr>
    </w:p>
    <w:p w:rsidR="00E26A40" w:rsidRDefault="00E26A40" w:rsidP="00A338FA">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E26A40" w:rsidRDefault="00E26A40" w:rsidP="00A338FA">
      <w:pPr>
        <w:pStyle w:val="NoSpacing"/>
        <w:jc w:val="both"/>
        <w:rPr>
          <w:rFonts w:ascii="Times New Roman" w:hAnsi="Times New Roman" w:cs="Times New Roman"/>
          <w:szCs w:val="24"/>
        </w:rPr>
      </w:pPr>
      <w:r>
        <w:rPr>
          <w:rFonts w:ascii="Times New Roman" w:hAnsi="Times New Roman" w:cs="Times New Roman"/>
          <w:szCs w:val="24"/>
        </w:rPr>
        <w:t>MABHIKWA J with Assessors Mrs A Moyo and Mr M N Ndlovu</w:t>
      </w:r>
    </w:p>
    <w:p w:rsidR="00E26A40" w:rsidRDefault="00E26A40" w:rsidP="00A338FA">
      <w:pPr>
        <w:pStyle w:val="NoSpacing"/>
        <w:jc w:val="both"/>
        <w:rPr>
          <w:rFonts w:ascii="Times New Roman" w:hAnsi="Times New Roman" w:cs="Times New Roman"/>
          <w:szCs w:val="24"/>
        </w:rPr>
      </w:pPr>
      <w:r>
        <w:rPr>
          <w:rFonts w:ascii="Times New Roman" w:hAnsi="Times New Roman" w:cs="Times New Roman"/>
          <w:szCs w:val="24"/>
        </w:rPr>
        <w:t>BULAWAYO 4, 5 &amp; 6 MARCH 2020</w:t>
      </w:r>
    </w:p>
    <w:p w:rsidR="00E26A40" w:rsidRDefault="00E26A40" w:rsidP="00A338FA">
      <w:pPr>
        <w:pStyle w:val="NoSpacing"/>
        <w:jc w:val="both"/>
        <w:rPr>
          <w:rFonts w:ascii="Times New Roman" w:hAnsi="Times New Roman" w:cs="Times New Roman"/>
          <w:szCs w:val="24"/>
        </w:rPr>
      </w:pPr>
    </w:p>
    <w:p w:rsidR="00E26A40" w:rsidRDefault="00E26A40" w:rsidP="00A338FA">
      <w:pPr>
        <w:pStyle w:val="NoSpacing"/>
        <w:jc w:val="both"/>
        <w:rPr>
          <w:rFonts w:ascii="Times New Roman" w:hAnsi="Times New Roman" w:cs="Times New Roman"/>
          <w:b/>
          <w:szCs w:val="24"/>
        </w:rPr>
      </w:pPr>
      <w:r>
        <w:rPr>
          <w:rFonts w:ascii="Times New Roman" w:hAnsi="Times New Roman" w:cs="Times New Roman"/>
          <w:b/>
          <w:szCs w:val="24"/>
        </w:rPr>
        <w:t>Criminal Trial</w:t>
      </w:r>
    </w:p>
    <w:p w:rsidR="00E26A40" w:rsidRDefault="00E26A40" w:rsidP="00A338FA">
      <w:pPr>
        <w:pStyle w:val="NoSpacing"/>
        <w:jc w:val="both"/>
        <w:rPr>
          <w:rFonts w:ascii="Times New Roman" w:hAnsi="Times New Roman" w:cs="Times New Roman"/>
          <w:b/>
          <w:szCs w:val="24"/>
        </w:rPr>
      </w:pPr>
    </w:p>
    <w:p w:rsidR="00E26A40" w:rsidRDefault="00E26A40" w:rsidP="00A338FA">
      <w:pPr>
        <w:pStyle w:val="NoSpacing"/>
        <w:jc w:val="both"/>
        <w:rPr>
          <w:rFonts w:ascii="Times New Roman" w:hAnsi="Times New Roman" w:cs="Times New Roman"/>
          <w:szCs w:val="24"/>
        </w:rPr>
      </w:pPr>
      <w:r>
        <w:rPr>
          <w:rFonts w:ascii="Times New Roman" w:hAnsi="Times New Roman" w:cs="Times New Roman"/>
          <w:i/>
          <w:szCs w:val="24"/>
        </w:rPr>
        <w:t>B Gundani,</w:t>
      </w:r>
      <w:r>
        <w:rPr>
          <w:rFonts w:ascii="Times New Roman" w:hAnsi="Times New Roman" w:cs="Times New Roman"/>
          <w:szCs w:val="24"/>
        </w:rPr>
        <w:t xml:space="preserve"> for the state</w:t>
      </w:r>
    </w:p>
    <w:p w:rsidR="00E26A40" w:rsidRDefault="00E26A40" w:rsidP="00A338FA">
      <w:pPr>
        <w:pStyle w:val="NoSpacing"/>
        <w:jc w:val="both"/>
        <w:rPr>
          <w:rFonts w:ascii="Times New Roman" w:hAnsi="Times New Roman" w:cs="Times New Roman"/>
          <w:szCs w:val="24"/>
        </w:rPr>
      </w:pPr>
      <w:r>
        <w:rPr>
          <w:rFonts w:ascii="Times New Roman" w:hAnsi="Times New Roman" w:cs="Times New Roman"/>
          <w:i/>
          <w:szCs w:val="24"/>
        </w:rPr>
        <w:t>Ms T F Nyathi,</w:t>
      </w:r>
      <w:r>
        <w:rPr>
          <w:rFonts w:ascii="Times New Roman" w:hAnsi="Times New Roman" w:cs="Times New Roman"/>
          <w:szCs w:val="24"/>
        </w:rPr>
        <w:t xml:space="preserve"> for the accused</w:t>
      </w:r>
    </w:p>
    <w:p w:rsidR="00E26A40" w:rsidRDefault="00E26A40" w:rsidP="00A338FA">
      <w:pPr>
        <w:pStyle w:val="NoSpacing"/>
        <w:jc w:val="both"/>
        <w:rPr>
          <w:rFonts w:ascii="Times New Roman" w:hAnsi="Times New Roman" w:cs="Times New Roman"/>
          <w:b/>
          <w:szCs w:val="24"/>
        </w:rPr>
      </w:pPr>
    </w:p>
    <w:p w:rsidR="001D08C3" w:rsidRPr="00302CF9" w:rsidRDefault="00E26A40" w:rsidP="00A338FA">
      <w:pPr>
        <w:spacing w:line="360" w:lineRule="auto"/>
        <w:jc w:val="both"/>
        <w:rPr>
          <w:rFonts w:ascii="Times New Roman" w:hAnsi="Times New Roman" w:cs="Times New Roman"/>
          <w:sz w:val="24"/>
          <w:szCs w:val="24"/>
        </w:rPr>
      </w:pPr>
      <w:r>
        <w:rPr>
          <w:szCs w:val="24"/>
        </w:rPr>
        <w:tab/>
      </w:r>
      <w:r w:rsidRPr="00302CF9">
        <w:rPr>
          <w:rFonts w:ascii="Times New Roman" w:hAnsi="Times New Roman" w:cs="Times New Roman"/>
          <w:b/>
          <w:sz w:val="24"/>
          <w:szCs w:val="24"/>
        </w:rPr>
        <w:t>MABHIKWA J:</w:t>
      </w:r>
      <w:r w:rsidRPr="00302CF9">
        <w:rPr>
          <w:b/>
          <w:sz w:val="24"/>
          <w:szCs w:val="24"/>
        </w:rPr>
        <w:tab/>
      </w:r>
      <w:r w:rsidRPr="00302CF9">
        <w:rPr>
          <w:rFonts w:ascii="Times New Roman" w:hAnsi="Times New Roman" w:cs="Times New Roman"/>
          <w:sz w:val="24"/>
          <w:szCs w:val="24"/>
        </w:rPr>
        <w:t>The two (2) accused persons are facing a charge of murder in contravention of section 47 of the Criminal Law (Codification and Reform) Act, Chapter 9:23.  The accused pleaded not guilty to the charge and denied causing the death of the deceased in any way and prayed for an acquittal on the charge.</w:t>
      </w:r>
    </w:p>
    <w:p w:rsidR="00E26A40" w:rsidRPr="00302CF9" w:rsidRDefault="00E26A40" w:rsidP="00A338FA">
      <w:pPr>
        <w:spacing w:line="360" w:lineRule="auto"/>
        <w:jc w:val="both"/>
        <w:rPr>
          <w:rFonts w:ascii="Times New Roman" w:hAnsi="Times New Roman" w:cs="Times New Roman"/>
          <w:sz w:val="24"/>
          <w:szCs w:val="24"/>
        </w:rPr>
      </w:pPr>
      <w:r w:rsidRPr="00302CF9">
        <w:rPr>
          <w:rFonts w:ascii="Times New Roman" w:hAnsi="Times New Roman" w:cs="Times New Roman"/>
          <w:sz w:val="24"/>
          <w:szCs w:val="24"/>
        </w:rPr>
        <w:tab/>
        <w:t>It must be stated that most of the facts in this case are common cause to the extent that the outline of the state case and the accused</w:t>
      </w:r>
      <w:r w:rsidR="004D59CB" w:rsidRPr="00302CF9">
        <w:rPr>
          <w:rFonts w:ascii="Times New Roman" w:hAnsi="Times New Roman" w:cs="Times New Roman"/>
          <w:sz w:val="24"/>
          <w:szCs w:val="24"/>
        </w:rPr>
        <w:t>’s defence outline are almost the same with a few variations and that the accused deny any intention to kill or negligence leading to the deceased’s death.</w:t>
      </w:r>
    </w:p>
    <w:p w:rsidR="004D59CB" w:rsidRPr="00302CF9" w:rsidRDefault="004D59CB" w:rsidP="00A338FA">
      <w:pPr>
        <w:spacing w:line="360" w:lineRule="auto"/>
        <w:jc w:val="both"/>
        <w:rPr>
          <w:rFonts w:ascii="Times New Roman" w:hAnsi="Times New Roman" w:cs="Times New Roman"/>
          <w:sz w:val="24"/>
          <w:szCs w:val="24"/>
        </w:rPr>
      </w:pPr>
      <w:r w:rsidRPr="00302CF9">
        <w:rPr>
          <w:rFonts w:ascii="Times New Roman" w:hAnsi="Times New Roman" w:cs="Times New Roman"/>
          <w:sz w:val="24"/>
          <w:szCs w:val="24"/>
        </w:rPr>
        <w:tab/>
        <w:t>In opening remarks, the state conceded that from the circumstances of his case</w:t>
      </w:r>
      <w:r w:rsidR="00A00FCC" w:rsidRPr="00302CF9">
        <w:rPr>
          <w:rFonts w:ascii="Times New Roman" w:hAnsi="Times New Roman" w:cs="Times New Roman"/>
          <w:sz w:val="24"/>
          <w:szCs w:val="24"/>
        </w:rPr>
        <w:t>,</w:t>
      </w:r>
      <w:r w:rsidRPr="00302CF9">
        <w:rPr>
          <w:rFonts w:ascii="Times New Roman" w:hAnsi="Times New Roman" w:cs="Times New Roman"/>
          <w:sz w:val="24"/>
          <w:szCs w:val="24"/>
        </w:rPr>
        <w:t xml:space="preserve"> it is unlikely that the state could prove intention to kill whether actual or </w:t>
      </w:r>
      <w:r w:rsidRPr="00302CF9">
        <w:rPr>
          <w:rFonts w:ascii="Times New Roman" w:hAnsi="Times New Roman" w:cs="Times New Roman"/>
          <w:i/>
          <w:sz w:val="24"/>
          <w:szCs w:val="24"/>
        </w:rPr>
        <w:t>dolus eventualis</w:t>
      </w:r>
      <w:r w:rsidRPr="00302CF9">
        <w:rPr>
          <w:rFonts w:ascii="Times New Roman" w:hAnsi="Times New Roman" w:cs="Times New Roman"/>
          <w:sz w:val="24"/>
          <w:szCs w:val="24"/>
        </w:rPr>
        <w:t>.</w:t>
      </w:r>
      <w:r w:rsidR="00A00FCC" w:rsidRPr="00302CF9">
        <w:rPr>
          <w:rFonts w:ascii="Times New Roman" w:hAnsi="Times New Roman" w:cs="Times New Roman"/>
          <w:sz w:val="24"/>
          <w:szCs w:val="24"/>
        </w:rPr>
        <w:t xml:space="preserve">  </w:t>
      </w:r>
      <w:r w:rsidRPr="00302CF9">
        <w:rPr>
          <w:rFonts w:ascii="Times New Roman" w:hAnsi="Times New Roman" w:cs="Times New Roman"/>
          <w:sz w:val="24"/>
          <w:szCs w:val="24"/>
        </w:rPr>
        <w:t>It was agreed by both counsel therefore that the issue for determination by the court is whether the accused persons negligently caused the death of the deceased.  As already stated above, the accused denied causing the death at all.</w:t>
      </w:r>
    </w:p>
    <w:p w:rsidR="004D59CB" w:rsidRPr="00302CF9" w:rsidRDefault="004D59CB" w:rsidP="00A338FA">
      <w:pPr>
        <w:spacing w:line="360" w:lineRule="auto"/>
        <w:jc w:val="both"/>
        <w:rPr>
          <w:rFonts w:ascii="Times New Roman" w:hAnsi="Times New Roman" w:cs="Times New Roman"/>
          <w:sz w:val="24"/>
          <w:szCs w:val="24"/>
        </w:rPr>
      </w:pPr>
      <w:r w:rsidRPr="00302CF9">
        <w:rPr>
          <w:rFonts w:ascii="Times New Roman" w:hAnsi="Times New Roman" w:cs="Times New Roman"/>
          <w:sz w:val="24"/>
          <w:szCs w:val="24"/>
        </w:rPr>
        <w:tab/>
        <w:t xml:space="preserve">The common cause facts are that the deceased </w:t>
      </w:r>
      <w:r w:rsidRPr="00302CF9">
        <w:rPr>
          <w:rFonts w:ascii="Times New Roman" w:hAnsi="Times New Roman" w:cs="Times New Roman"/>
          <w:b/>
          <w:sz w:val="24"/>
          <w:szCs w:val="24"/>
        </w:rPr>
        <w:t>THABILE NCUBE</w:t>
      </w:r>
      <w:r w:rsidRPr="00302CF9">
        <w:rPr>
          <w:rFonts w:ascii="Times New Roman" w:hAnsi="Times New Roman" w:cs="Times New Roman"/>
          <w:sz w:val="24"/>
          <w:szCs w:val="24"/>
        </w:rPr>
        <w:t xml:space="preserve"> was 4 years six (6) months old at the time she lost her life.  The 1</w:t>
      </w:r>
      <w:r w:rsidRPr="00302CF9">
        <w:rPr>
          <w:rFonts w:ascii="Times New Roman" w:hAnsi="Times New Roman" w:cs="Times New Roman"/>
          <w:sz w:val="24"/>
          <w:szCs w:val="24"/>
          <w:vertAlign w:val="superscript"/>
        </w:rPr>
        <w:t>st</w:t>
      </w:r>
      <w:r w:rsidRPr="00302CF9">
        <w:rPr>
          <w:rFonts w:ascii="Times New Roman" w:hAnsi="Times New Roman" w:cs="Times New Roman"/>
          <w:sz w:val="24"/>
          <w:szCs w:val="24"/>
        </w:rPr>
        <w:t xml:space="preserve"> accused is a traditional cum faith healer who lives in Makhokhoba and conducts healing and prayer sessions from a shrine in a bushy area near Amakhosi Centre in Makhokhoba.  The 2</w:t>
      </w:r>
      <w:r w:rsidRPr="00302CF9">
        <w:rPr>
          <w:rFonts w:ascii="Times New Roman" w:hAnsi="Times New Roman" w:cs="Times New Roman"/>
          <w:sz w:val="24"/>
          <w:szCs w:val="24"/>
          <w:vertAlign w:val="superscript"/>
        </w:rPr>
        <w:t>nd</w:t>
      </w:r>
      <w:r w:rsidRPr="00302CF9">
        <w:rPr>
          <w:rFonts w:ascii="Times New Roman" w:hAnsi="Times New Roman" w:cs="Times New Roman"/>
          <w:sz w:val="24"/>
          <w:szCs w:val="24"/>
        </w:rPr>
        <w:t xml:space="preserve"> accused was the deceased child’s mother.</w:t>
      </w:r>
    </w:p>
    <w:p w:rsidR="004D59CB" w:rsidRPr="00302CF9" w:rsidRDefault="004D59CB" w:rsidP="00A338FA">
      <w:pPr>
        <w:spacing w:line="360" w:lineRule="auto"/>
        <w:jc w:val="both"/>
        <w:rPr>
          <w:rFonts w:ascii="Times New Roman" w:hAnsi="Times New Roman" w:cs="Times New Roman"/>
          <w:sz w:val="24"/>
          <w:szCs w:val="24"/>
        </w:rPr>
      </w:pPr>
      <w:r w:rsidRPr="00302CF9">
        <w:rPr>
          <w:rFonts w:ascii="Times New Roman" w:hAnsi="Times New Roman" w:cs="Times New Roman"/>
          <w:sz w:val="24"/>
          <w:szCs w:val="24"/>
        </w:rPr>
        <w:lastRenderedPageBreak/>
        <w:tab/>
        <w:t>It is also common cause that the child</w:t>
      </w:r>
      <w:r w:rsidR="00B22A0A" w:rsidRPr="00302CF9">
        <w:rPr>
          <w:rFonts w:ascii="Times New Roman" w:hAnsi="Times New Roman" w:cs="Times New Roman"/>
          <w:sz w:val="24"/>
          <w:szCs w:val="24"/>
        </w:rPr>
        <w:t>,</w:t>
      </w:r>
      <w:r w:rsidRPr="00302CF9">
        <w:rPr>
          <w:rFonts w:ascii="Times New Roman" w:hAnsi="Times New Roman" w:cs="Times New Roman"/>
          <w:sz w:val="24"/>
          <w:szCs w:val="24"/>
        </w:rPr>
        <w:t xml:space="preserve"> (deceased) during her lifetime</w:t>
      </w:r>
      <w:r w:rsidR="00B22A0A" w:rsidRPr="00302CF9">
        <w:rPr>
          <w:rFonts w:ascii="Times New Roman" w:hAnsi="Times New Roman" w:cs="Times New Roman"/>
          <w:sz w:val="24"/>
          <w:szCs w:val="24"/>
        </w:rPr>
        <w:t>,</w:t>
      </w:r>
      <w:r w:rsidRPr="00302CF9">
        <w:rPr>
          <w:rFonts w:ascii="Times New Roman" w:hAnsi="Times New Roman" w:cs="Times New Roman"/>
          <w:sz w:val="24"/>
          <w:szCs w:val="24"/>
        </w:rPr>
        <w:t xml:space="preserve"> was fit and well</w:t>
      </w:r>
      <w:r w:rsidR="00B22A0A" w:rsidRPr="00302CF9">
        <w:rPr>
          <w:rFonts w:ascii="Times New Roman" w:hAnsi="Times New Roman" w:cs="Times New Roman"/>
          <w:sz w:val="24"/>
          <w:szCs w:val="24"/>
        </w:rPr>
        <w:t xml:space="preserve">.  </w:t>
      </w:r>
      <w:r w:rsidRPr="00302CF9">
        <w:rPr>
          <w:rFonts w:ascii="Times New Roman" w:hAnsi="Times New Roman" w:cs="Times New Roman"/>
          <w:sz w:val="24"/>
          <w:szCs w:val="24"/>
        </w:rPr>
        <w:t>She however had a disability in that she had no speech meaning she was dumb though not deaf.  It is also not in dispute as stated by her mother that she was attending speech therapy at Mpilo Hospital in Bulawayo once every two (2) months.</w:t>
      </w:r>
    </w:p>
    <w:p w:rsidR="004D59CB" w:rsidRPr="00302CF9" w:rsidRDefault="004D59CB" w:rsidP="00A338FA">
      <w:pPr>
        <w:spacing w:line="360" w:lineRule="auto"/>
        <w:jc w:val="both"/>
        <w:rPr>
          <w:rFonts w:ascii="Times New Roman" w:hAnsi="Times New Roman" w:cs="Times New Roman"/>
          <w:sz w:val="24"/>
          <w:szCs w:val="24"/>
        </w:rPr>
      </w:pPr>
      <w:r w:rsidRPr="00302CF9">
        <w:rPr>
          <w:rFonts w:ascii="Times New Roman" w:hAnsi="Times New Roman" w:cs="Times New Roman"/>
          <w:sz w:val="24"/>
          <w:szCs w:val="24"/>
        </w:rPr>
        <w:tab/>
        <w:t xml:space="preserve">It is also not in dispute that in between the speech therapy sessions on 5 March 2019 </w:t>
      </w:r>
      <w:r w:rsidR="0010795A" w:rsidRPr="00302CF9">
        <w:rPr>
          <w:rFonts w:ascii="Times New Roman" w:hAnsi="Times New Roman" w:cs="Times New Roman"/>
          <w:sz w:val="24"/>
          <w:szCs w:val="24"/>
        </w:rPr>
        <w:t>accused 2 took the now deceased to accused one’s shrine.  Accused one prayed for her.  Thereafter the two accused and one Munkuli Elinah Ncube, who has not been charged, made the child drink a concoction of raw eggs, salt and water.  This was repeated in different doses on the 5</w:t>
      </w:r>
      <w:r w:rsidR="0010795A" w:rsidRPr="00302CF9">
        <w:rPr>
          <w:rFonts w:ascii="Times New Roman" w:hAnsi="Times New Roman" w:cs="Times New Roman"/>
          <w:sz w:val="24"/>
          <w:szCs w:val="24"/>
          <w:vertAlign w:val="superscript"/>
        </w:rPr>
        <w:t>th</w:t>
      </w:r>
      <w:r w:rsidR="0010795A" w:rsidRPr="00302CF9">
        <w:rPr>
          <w:rFonts w:ascii="Times New Roman" w:hAnsi="Times New Roman" w:cs="Times New Roman"/>
          <w:sz w:val="24"/>
          <w:szCs w:val="24"/>
        </w:rPr>
        <w:t>, 6</w:t>
      </w:r>
      <w:r w:rsidR="0010795A" w:rsidRPr="00302CF9">
        <w:rPr>
          <w:rFonts w:ascii="Times New Roman" w:hAnsi="Times New Roman" w:cs="Times New Roman"/>
          <w:sz w:val="24"/>
          <w:szCs w:val="24"/>
          <w:vertAlign w:val="superscript"/>
        </w:rPr>
        <w:t>th</w:t>
      </w:r>
      <w:r w:rsidR="0010795A" w:rsidRPr="00302CF9">
        <w:rPr>
          <w:rFonts w:ascii="Times New Roman" w:hAnsi="Times New Roman" w:cs="Times New Roman"/>
          <w:sz w:val="24"/>
          <w:szCs w:val="24"/>
        </w:rPr>
        <w:t xml:space="preserve"> and 7</w:t>
      </w:r>
      <w:r w:rsidR="0010795A" w:rsidRPr="00302CF9">
        <w:rPr>
          <w:rFonts w:ascii="Times New Roman" w:hAnsi="Times New Roman" w:cs="Times New Roman"/>
          <w:sz w:val="24"/>
          <w:szCs w:val="24"/>
          <w:vertAlign w:val="superscript"/>
        </w:rPr>
        <w:t>th</w:t>
      </w:r>
      <w:r w:rsidR="0010795A" w:rsidRPr="00302CF9">
        <w:rPr>
          <w:rFonts w:ascii="Times New Roman" w:hAnsi="Times New Roman" w:cs="Times New Roman"/>
          <w:sz w:val="24"/>
          <w:szCs w:val="24"/>
        </w:rPr>
        <w:t xml:space="preserve"> March 2019.  Of course the 2</w:t>
      </w:r>
      <w:r w:rsidR="0010795A" w:rsidRPr="00302CF9">
        <w:rPr>
          <w:rFonts w:ascii="Times New Roman" w:hAnsi="Times New Roman" w:cs="Times New Roman"/>
          <w:sz w:val="24"/>
          <w:szCs w:val="24"/>
          <w:vertAlign w:val="superscript"/>
        </w:rPr>
        <w:t>nd</w:t>
      </w:r>
      <w:r w:rsidR="0010795A" w:rsidRPr="00302CF9">
        <w:rPr>
          <w:rFonts w:ascii="Times New Roman" w:hAnsi="Times New Roman" w:cs="Times New Roman"/>
          <w:sz w:val="24"/>
          <w:szCs w:val="24"/>
        </w:rPr>
        <w:t xml:space="preserve"> accused as the child’s mother would give certain dosages of the concoction to the child at home.  The court would not waste time going overdrive on the dosages administered to the child for the following five (5) reasons</w:t>
      </w:r>
    </w:p>
    <w:p w:rsidR="0010795A" w:rsidRPr="00302CF9" w:rsidRDefault="0010795A" w:rsidP="00A338FA">
      <w:pPr>
        <w:pStyle w:val="ListParagraph"/>
        <w:numPr>
          <w:ilvl w:val="0"/>
          <w:numId w:val="1"/>
        </w:numPr>
        <w:spacing w:line="360" w:lineRule="auto"/>
        <w:jc w:val="both"/>
        <w:rPr>
          <w:rFonts w:ascii="Times New Roman" w:hAnsi="Times New Roman" w:cs="Times New Roman"/>
          <w:sz w:val="24"/>
          <w:szCs w:val="24"/>
        </w:rPr>
      </w:pPr>
      <w:r w:rsidRPr="00302CF9">
        <w:rPr>
          <w:rFonts w:ascii="Times New Roman" w:hAnsi="Times New Roman" w:cs="Times New Roman"/>
          <w:sz w:val="24"/>
          <w:szCs w:val="24"/>
        </w:rPr>
        <w:t>There appears to have been no specificall</w:t>
      </w:r>
      <w:r w:rsidR="0013375B" w:rsidRPr="00302CF9">
        <w:rPr>
          <w:rFonts w:ascii="Times New Roman" w:hAnsi="Times New Roman" w:cs="Times New Roman"/>
          <w:sz w:val="24"/>
          <w:szCs w:val="24"/>
        </w:rPr>
        <w:t>y and properly prescribed dosage.</w:t>
      </w:r>
    </w:p>
    <w:p w:rsidR="0010795A" w:rsidRPr="00302CF9" w:rsidRDefault="0010795A" w:rsidP="00A338FA">
      <w:pPr>
        <w:pStyle w:val="ListParagraph"/>
        <w:numPr>
          <w:ilvl w:val="0"/>
          <w:numId w:val="1"/>
        </w:numPr>
        <w:spacing w:line="360" w:lineRule="auto"/>
        <w:jc w:val="both"/>
        <w:rPr>
          <w:rFonts w:ascii="Times New Roman" w:hAnsi="Times New Roman" w:cs="Times New Roman"/>
          <w:sz w:val="24"/>
          <w:szCs w:val="24"/>
        </w:rPr>
      </w:pPr>
      <w:r w:rsidRPr="00302CF9">
        <w:rPr>
          <w:rFonts w:ascii="Times New Roman" w:hAnsi="Times New Roman" w:cs="Times New Roman"/>
          <w:sz w:val="24"/>
          <w:szCs w:val="24"/>
        </w:rPr>
        <w:t>There appears to have been no proper supervi</w:t>
      </w:r>
      <w:r w:rsidR="00B22A0A" w:rsidRPr="00302CF9">
        <w:rPr>
          <w:rFonts w:ascii="Times New Roman" w:hAnsi="Times New Roman" w:cs="Times New Roman"/>
          <w:sz w:val="24"/>
          <w:szCs w:val="24"/>
        </w:rPr>
        <w:t xml:space="preserve">sion by the prescriber of the </w:t>
      </w:r>
      <w:r w:rsidR="0013375B" w:rsidRPr="00302CF9">
        <w:rPr>
          <w:rFonts w:ascii="Times New Roman" w:hAnsi="Times New Roman" w:cs="Times New Roman"/>
          <w:sz w:val="24"/>
          <w:szCs w:val="24"/>
        </w:rPr>
        <w:t>m</w:t>
      </w:r>
      <w:r w:rsidRPr="00302CF9">
        <w:rPr>
          <w:rFonts w:ascii="Times New Roman" w:hAnsi="Times New Roman" w:cs="Times New Roman"/>
          <w:sz w:val="24"/>
          <w:szCs w:val="24"/>
        </w:rPr>
        <w:t>uti (1</w:t>
      </w:r>
      <w:r w:rsidRPr="00302CF9">
        <w:rPr>
          <w:rFonts w:ascii="Times New Roman" w:hAnsi="Times New Roman" w:cs="Times New Roman"/>
          <w:sz w:val="24"/>
          <w:szCs w:val="24"/>
          <w:vertAlign w:val="superscript"/>
        </w:rPr>
        <w:t>st</w:t>
      </w:r>
      <w:r w:rsidRPr="00302CF9">
        <w:rPr>
          <w:rFonts w:ascii="Times New Roman" w:hAnsi="Times New Roman" w:cs="Times New Roman"/>
          <w:sz w:val="24"/>
          <w:szCs w:val="24"/>
        </w:rPr>
        <w:t xml:space="preserve"> accused) to see to it that the muti is given properly as required especially since there was no written prescription as to dosage and times.</w:t>
      </w:r>
    </w:p>
    <w:p w:rsidR="00E07876" w:rsidRPr="00302CF9" w:rsidRDefault="0010795A" w:rsidP="00A338FA">
      <w:pPr>
        <w:pStyle w:val="ListParagraph"/>
        <w:numPr>
          <w:ilvl w:val="0"/>
          <w:numId w:val="1"/>
        </w:numPr>
        <w:spacing w:line="360" w:lineRule="auto"/>
        <w:jc w:val="both"/>
        <w:rPr>
          <w:rFonts w:ascii="Times New Roman" w:hAnsi="Times New Roman" w:cs="Times New Roman"/>
          <w:sz w:val="24"/>
          <w:szCs w:val="24"/>
        </w:rPr>
      </w:pPr>
      <w:r w:rsidRPr="00302CF9">
        <w:rPr>
          <w:rFonts w:ascii="Times New Roman" w:hAnsi="Times New Roman" w:cs="Times New Roman"/>
          <w:sz w:val="24"/>
          <w:szCs w:val="24"/>
        </w:rPr>
        <w:t>The three (3) women who testified especially Mnkuli Elinah Ncube and the 1</w:t>
      </w:r>
      <w:r w:rsidRPr="00302CF9">
        <w:rPr>
          <w:rFonts w:ascii="Times New Roman" w:hAnsi="Times New Roman" w:cs="Times New Roman"/>
          <w:sz w:val="24"/>
          <w:szCs w:val="24"/>
          <w:vertAlign w:val="superscript"/>
        </w:rPr>
        <w:t>st</w:t>
      </w:r>
      <w:r w:rsidRPr="00302CF9">
        <w:rPr>
          <w:rFonts w:ascii="Times New Roman" w:hAnsi="Times New Roman" w:cs="Times New Roman"/>
          <w:sz w:val="24"/>
          <w:szCs w:val="24"/>
        </w:rPr>
        <w:t xml:space="preserve"> accused seemed to testify in a manner that was calculated to minimise their culpability.  This was expected.</w:t>
      </w:r>
      <w:r w:rsidR="00E07876" w:rsidRPr="00302CF9">
        <w:rPr>
          <w:rFonts w:ascii="Times New Roman" w:hAnsi="Times New Roman" w:cs="Times New Roman"/>
          <w:sz w:val="24"/>
          <w:szCs w:val="24"/>
        </w:rPr>
        <w:t xml:space="preserve">  Although she testified as a state witness, Elinah Ncube revealed that she took part in preparing and administering of the concoction.  I may state herein that the court had not been advised</w:t>
      </w:r>
      <w:r w:rsidR="00B22A0A" w:rsidRPr="00302CF9">
        <w:rPr>
          <w:rFonts w:ascii="Times New Roman" w:hAnsi="Times New Roman" w:cs="Times New Roman"/>
          <w:sz w:val="24"/>
          <w:szCs w:val="24"/>
        </w:rPr>
        <w:t>,</w:t>
      </w:r>
      <w:r w:rsidR="00E07876" w:rsidRPr="00302CF9">
        <w:rPr>
          <w:rFonts w:ascii="Times New Roman" w:hAnsi="Times New Roman" w:cs="Times New Roman"/>
          <w:sz w:val="24"/>
          <w:szCs w:val="24"/>
        </w:rPr>
        <w:t xml:space="preserve"> perhaps inadvertently</w:t>
      </w:r>
      <w:r w:rsidR="00B22A0A" w:rsidRPr="00302CF9">
        <w:rPr>
          <w:rFonts w:ascii="Times New Roman" w:hAnsi="Times New Roman" w:cs="Times New Roman"/>
          <w:sz w:val="24"/>
          <w:szCs w:val="24"/>
        </w:rPr>
        <w:t>,</w:t>
      </w:r>
      <w:r w:rsidR="00E07876" w:rsidRPr="00302CF9">
        <w:rPr>
          <w:rFonts w:ascii="Times New Roman" w:hAnsi="Times New Roman" w:cs="Times New Roman"/>
          <w:sz w:val="24"/>
          <w:szCs w:val="24"/>
        </w:rPr>
        <w:t xml:space="preserve"> that Elinah had at some stage taken part and therefore she had not been warned in terms of the Criminal Code.</w:t>
      </w:r>
    </w:p>
    <w:p w:rsidR="00E07876" w:rsidRPr="00302CF9" w:rsidRDefault="00E07876" w:rsidP="00A338FA">
      <w:pPr>
        <w:pStyle w:val="ListParagraph"/>
        <w:numPr>
          <w:ilvl w:val="0"/>
          <w:numId w:val="1"/>
        </w:numPr>
        <w:spacing w:line="360" w:lineRule="auto"/>
        <w:jc w:val="both"/>
        <w:rPr>
          <w:rFonts w:ascii="Times New Roman" w:hAnsi="Times New Roman" w:cs="Times New Roman"/>
          <w:sz w:val="24"/>
          <w:szCs w:val="24"/>
        </w:rPr>
      </w:pPr>
      <w:r w:rsidRPr="00302CF9">
        <w:rPr>
          <w:rFonts w:ascii="Times New Roman" w:hAnsi="Times New Roman" w:cs="Times New Roman"/>
          <w:sz w:val="24"/>
          <w:szCs w:val="24"/>
        </w:rPr>
        <w:t xml:space="preserve">In any event, Doctor Jekenya tesfied that it is not so much as to </w:t>
      </w:r>
      <w:r w:rsidR="00B22A0A" w:rsidRPr="00302CF9">
        <w:rPr>
          <w:rFonts w:ascii="Times New Roman" w:hAnsi="Times New Roman" w:cs="Times New Roman"/>
          <w:sz w:val="24"/>
          <w:szCs w:val="24"/>
        </w:rPr>
        <w:t>what dosage exactly could or c</w:t>
      </w:r>
      <w:r w:rsidRPr="00302CF9">
        <w:rPr>
          <w:rFonts w:ascii="Times New Roman" w:hAnsi="Times New Roman" w:cs="Times New Roman"/>
          <w:sz w:val="24"/>
          <w:szCs w:val="24"/>
        </w:rPr>
        <w:t>ould not have caused the death but rather the negligence.</w:t>
      </w:r>
    </w:p>
    <w:p w:rsidR="006E5B47" w:rsidRPr="00302CF9" w:rsidRDefault="0017224D" w:rsidP="00A338FA">
      <w:pPr>
        <w:pStyle w:val="ListParagraph"/>
        <w:numPr>
          <w:ilvl w:val="0"/>
          <w:numId w:val="1"/>
        </w:numPr>
        <w:spacing w:line="360" w:lineRule="auto"/>
        <w:jc w:val="both"/>
        <w:rPr>
          <w:rFonts w:ascii="Times New Roman" w:hAnsi="Times New Roman" w:cs="Times New Roman"/>
          <w:sz w:val="24"/>
          <w:szCs w:val="24"/>
        </w:rPr>
      </w:pPr>
      <w:r w:rsidRPr="00302CF9">
        <w:rPr>
          <w:rFonts w:ascii="Times New Roman" w:hAnsi="Times New Roman" w:cs="Times New Roman"/>
          <w:sz w:val="24"/>
          <w:szCs w:val="24"/>
        </w:rPr>
        <w:t>Suffices</w:t>
      </w:r>
      <w:r w:rsidR="00E07876" w:rsidRPr="00302CF9">
        <w:rPr>
          <w:rFonts w:ascii="Times New Roman" w:hAnsi="Times New Roman" w:cs="Times New Roman"/>
          <w:sz w:val="24"/>
          <w:szCs w:val="24"/>
        </w:rPr>
        <w:t xml:space="preserve"> to say that the 2</w:t>
      </w:r>
      <w:r w:rsidR="00E07876" w:rsidRPr="00302CF9">
        <w:rPr>
          <w:rFonts w:ascii="Times New Roman" w:hAnsi="Times New Roman" w:cs="Times New Roman"/>
          <w:sz w:val="24"/>
          <w:szCs w:val="24"/>
          <w:vertAlign w:val="superscript"/>
        </w:rPr>
        <w:t>nd</w:t>
      </w:r>
      <w:r w:rsidR="006E5B47" w:rsidRPr="00302CF9">
        <w:rPr>
          <w:rFonts w:ascii="Times New Roman" w:hAnsi="Times New Roman" w:cs="Times New Roman"/>
          <w:sz w:val="24"/>
          <w:szCs w:val="24"/>
        </w:rPr>
        <w:t xml:space="preserve"> accused ultimately agreed under cross-examination that in the f</w:t>
      </w:r>
      <w:r w:rsidR="00B22A0A" w:rsidRPr="00302CF9">
        <w:rPr>
          <w:rFonts w:ascii="Times New Roman" w:hAnsi="Times New Roman" w:cs="Times New Roman"/>
          <w:sz w:val="24"/>
          <w:szCs w:val="24"/>
        </w:rPr>
        <w:t>inal analy</w:t>
      </w:r>
      <w:r w:rsidR="006E5B47" w:rsidRPr="00302CF9">
        <w:rPr>
          <w:rFonts w:ascii="Times New Roman" w:hAnsi="Times New Roman" w:cs="Times New Roman"/>
          <w:sz w:val="24"/>
          <w:szCs w:val="24"/>
        </w:rPr>
        <w:t>sis, on the 7</w:t>
      </w:r>
      <w:r w:rsidR="006E5B47" w:rsidRPr="00302CF9">
        <w:rPr>
          <w:rFonts w:ascii="Times New Roman" w:hAnsi="Times New Roman" w:cs="Times New Roman"/>
          <w:sz w:val="24"/>
          <w:szCs w:val="24"/>
          <w:vertAlign w:val="superscript"/>
        </w:rPr>
        <w:t>th</w:t>
      </w:r>
      <w:r w:rsidR="006E5B47" w:rsidRPr="00302CF9">
        <w:rPr>
          <w:rFonts w:ascii="Times New Roman" w:hAnsi="Times New Roman" w:cs="Times New Roman"/>
          <w:sz w:val="24"/>
          <w:szCs w:val="24"/>
        </w:rPr>
        <w:t xml:space="preserve"> of March 2019, the deceased child must have taken at the shrine about 90</w:t>
      </w:r>
      <w:r w:rsidRPr="00302CF9">
        <w:rPr>
          <w:rFonts w:ascii="Times New Roman" w:hAnsi="Times New Roman" w:cs="Times New Roman"/>
          <w:sz w:val="24"/>
          <w:szCs w:val="24"/>
        </w:rPr>
        <w:t>0 ml of the concoction alone</w:t>
      </w:r>
      <w:r w:rsidR="00B22A0A" w:rsidRPr="00302CF9">
        <w:rPr>
          <w:rFonts w:ascii="Times New Roman" w:hAnsi="Times New Roman" w:cs="Times New Roman"/>
          <w:sz w:val="24"/>
          <w:szCs w:val="24"/>
        </w:rPr>
        <w:t xml:space="preserve">, plus wash down water, and </w:t>
      </w:r>
      <w:r w:rsidR="006E5B47" w:rsidRPr="00302CF9">
        <w:rPr>
          <w:rFonts w:ascii="Times New Roman" w:hAnsi="Times New Roman" w:cs="Times New Roman"/>
          <w:sz w:val="24"/>
          <w:szCs w:val="24"/>
        </w:rPr>
        <w:t>the porridge that she had eaten just before going to the shrine.</w:t>
      </w:r>
    </w:p>
    <w:p w:rsidR="0010795A" w:rsidRDefault="006E5B47" w:rsidP="00A338FA">
      <w:pPr>
        <w:spacing w:line="360" w:lineRule="auto"/>
        <w:ind w:firstLine="720"/>
        <w:jc w:val="both"/>
        <w:rPr>
          <w:rFonts w:ascii="Times New Roman" w:hAnsi="Times New Roman" w:cs="Times New Roman"/>
          <w:sz w:val="24"/>
          <w:szCs w:val="24"/>
        </w:rPr>
      </w:pPr>
      <w:r w:rsidRPr="006E5B47">
        <w:rPr>
          <w:rFonts w:ascii="Times New Roman" w:hAnsi="Times New Roman" w:cs="Times New Roman"/>
          <w:sz w:val="24"/>
          <w:szCs w:val="24"/>
        </w:rPr>
        <w:t>In addition to the not so helpful evidence of Elinah Ncube, the state also relie</w:t>
      </w:r>
      <w:r w:rsidR="0017224D">
        <w:rPr>
          <w:rFonts w:ascii="Times New Roman" w:hAnsi="Times New Roman" w:cs="Times New Roman"/>
          <w:sz w:val="24"/>
          <w:szCs w:val="24"/>
        </w:rPr>
        <w:t>d</w:t>
      </w:r>
      <w:r w:rsidRPr="006E5B47">
        <w:rPr>
          <w:rFonts w:ascii="Times New Roman" w:hAnsi="Times New Roman" w:cs="Times New Roman"/>
          <w:sz w:val="24"/>
          <w:szCs w:val="24"/>
        </w:rPr>
        <w:t xml:space="preserve"> on evidence of Doctor I Jekenya.  He is a medical Doctor at Mpilo Hospi</w:t>
      </w:r>
      <w:r w:rsidR="00787849">
        <w:rPr>
          <w:rFonts w:ascii="Times New Roman" w:hAnsi="Times New Roman" w:cs="Times New Roman"/>
          <w:sz w:val="24"/>
          <w:szCs w:val="24"/>
        </w:rPr>
        <w:t>tal.  He testified that from the</w:t>
      </w:r>
      <w:r w:rsidRPr="006E5B47">
        <w:rPr>
          <w:rFonts w:ascii="Times New Roman" w:hAnsi="Times New Roman" w:cs="Times New Roman"/>
          <w:sz w:val="24"/>
          <w:szCs w:val="24"/>
        </w:rPr>
        <w:t xml:space="preserve"> facts before him and from his analysis and findings, the </w:t>
      </w:r>
      <w:r w:rsidR="00787849">
        <w:rPr>
          <w:rFonts w:ascii="Times New Roman" w:hAnsi="Times New Roman" w:cs="Times New Roman"/>
          <w:sz w:val="24"/>
          <w:szCs w:val="24"/>
        </w:rPr>
        <w:t xml:space="preserve">child was given what had </w:t>
      </w:r>
      <w:r w:rsidR="00B22A0A">
        <w:rPr>
          <w:rFonts w:ascii="Times New Roman" w:hAnsi="Times New Roman" w:cs="Times New Roman"/>
          <w:sz w:val="24"/>
          <w:szCs w:val="24"/>
        </w:rPr>
        <w:t xml:space="preserve">been </w:t>
      </w:r>
      <w:r w:rsidR="00B22A0A">
        <w:rPr>
          <w:rFonts w:ascii="Times New Roman" w:hAnsi="Times New Roman" w:cs="Times New Roman"/>
          <w:sz w:val="24"/>
          <w:szCs w:val="24"/>
        </w:rPr>
        <w:lastRenderedPageBreak/>
        <w:t>termed a “</w:t>
      </w:r>
      <w:r w:rsidR="00787849">
        <w:rPr>
          <w:rFonts w:ascii="Times New Roman" w:hAnsi="Times New Roman" w:cs="Times New Roman"/>
          <w:sz w:val="24"/>
          <w:szCs w:val="24"/>
        </w:rPr>
        <w:t xml:space="preserve">Mpofana </w:t>
      </w:r>
      <w:r w:rsidR="00FD5FDC">
        <w:rPr>
          <w:rFonts w:ascii="Times New Roman" w:hAnsi="Times New Roman" w:cs="Times New Roman"/>
          <w:sz w:val="24"/>
          <w:szCs w:val="24"/>
        </w:rPr>
        <w:t>concoction.</w:t>
      </w:r>
      <w:r w:rsidR="00B22A0A">
        <w:rPr>
          <w:rFonts w:ascii="Times New Roman" w:hAnsi="Times New Roman" w:cs="Times New Roman"/>
          <w:sz w:val="24"/>
          <w:szCs w:val="24"/>
        </w:rPr>
        <w:t>”</w:t>
      </w:r>
      <w:r w:rsidR="00787849">
        <w:rPr>
          <w:rFonts w:ascii="Times New Roman" w:hAnsi="Times New Roman" w:cs="Times New Roman"/>
          <w:sz w:val="24"/>
          <w:szCs w:val="24"/>
        </w:rPr>
        <w:t xml:space="preserve">  Although he was no so much concerned about the quantity, even 2 ½ cups of the concoction as stated by the accu</w:t>
      </w:r>
      <w:r w:rsidR="00F47018">
        <w:rPr>
          <w:rFonts w:ascii="Times New Roman" w:hAnsi="Times New Roman" w:cs="Times New Roman"/>
          <w:sz w:val="24"/>
          <w:szCs w:val="24"/>
        </w:rPr>
        <w:t>sed</w:t>
      </w:r>
      <w:r w:rsidR="0009033B">
        <w:rPr>
          <w:rFonts w:ascii="Times New Roman" w:hAnsi="Times New Roman" w:cs="Times New Roman"/>
          <w:sz w:val="24"/>
          <w:szCs w:val="24"/>
        </w:rPr>
        <w:t>,</w:t>
      </w:r>
      <w:r w:rsidR="00F47018">
        <w:rPr>
          <w:rFonts w:ascii="Times New Roman" w:hAnsi="Times New Roman" w:cs="Times New Roman"/>
          <w:sz w:val="24"/>
          <w:szCs w:val="24"/>
        </w:rPr>
        <w:t xml:space="preserve"> also</w:t>
      </w:r>
      <w:r w:rsidR="00787849">
        <w:rPr>
          <w:rFonts w:ascii="Times New Roman" w:hAnsi="Times New Roman" w:cs="Times New Roman"/>
          <w:sz w:val="24"/>
          <w:szCs w:val="24"/>
        </w:rPr>
        <w:t xml:space="preserve"> would have bee</w:t>
      </w:r>
      <w:r w:rsidR="00AF66A1">
        <w:rPr>
          <w:rFonts w:ascii="Times New Roman" w:hAnsi="Times New Roman" w:cs="Times New Roman"/>
          <w:sz w:val="24"/>
          <w:szCs w:val="24"/>
        </w:rPr>
        <w:t>n too much for the small stomach</w:t>
      </w:r>
      <w:r w:rsidR="00787849">
        <w:rPr>
          <w:rFonts w:ascii="Times New Roman" w:hAnsi="Times New Roman" w:cs="Times New Roman"/>
          <w:sz w:val="24"/>
          <w:szCs w:val="24"/>
        </w:rPr>
        <w:t>.  Exhibits 3 and 6 show the contents found in the child’</w:t>
      </w:r>
      <w:r w:rsidR="00AF66A1">
        <w:rPr>
          <w:rFonts w:ascii="Times New Roman" w:hAnsi="Times New Roman" w:cs="Times New Roman"/>
          <w:sz w:val="24"/>
          <w:szCs w:val="24"/>
        </w:rPr>
        <w:t>s stomach</w:t>
      </w:r>
      <w:r w:rsidR="00787849">
        <w:rPr>
          <w:rFonts w:ascii="Times New Roman" w:hAnsi="Times New Roman" w:cs="Times New Roman"/>
          <w:sz w:val="24"/>
          <w:szCs w:val="24"/>
        </w:rPr>
        <w:t xml:space="preserve"> and how the analysis was done.  Exhibit 3 is the Post Mortem Report No. 66/46/2019 by Doctor</w:t>
      </w:r>
      <w:r w:rsidR="0009033B">
        <w:rPr>
          <w:rFonts w:ascii="Times New Roman" w:hAnsi="Times New Roman" w:cs="Times New Roman"/>
          <w:sz w:val="24"/>
          <w:szCs w:val="24"/>
        </w:rPr>
        <w:t xml:space="preserve"> I Jekenya.  Exhibit 66 is the Concoction Analysis R</w:t>
      </w:r>
      <w:r w:rsidR="00787849">
        <w:rPr>
          <w:rFonts w:ascii="Times New Roman" w:hAnsi="Times New Roman" w:cs="Times New Roman"/>
          <w:sz w:val="24"/>
          <w:szCs w:val="24"/>
        </w:rPr>
        <w:t xml:space="preserve">eport by the Government analyst D Zulu.  </w:t>
      </w:r>
      <w:r w:rsidR="00E07876" w:rsidRPr="006E5B47">
        <w:rPr>
          <w:rFonts w:ascii="Times New Roman" w:hAnsi="Times New Roman" w:cs="Times New Roman"/>
          <w:sz w:val="24"/>
          <w:szCs w:val="24"/>
        </w:rPr>
        <w:t xml:space="preserve"> </w:t>
      </w:r>
      <w:r w:rsidR="0010795A" w:rsidRPr="006E5B47">
        <w:rPr>
          <w:rFonts w:ascii="Times New Roman" w:hAnsi="Times New Roman" w:cs="Times New Roman"/>
          <w:sz w:val="24"/>
          <w:szCs w:val="24"/>
        </w:rPr>
        <w:t xml:space="preserve">  </w:t>
      </w:r>
    </w:p>
    <w:p w:rsidR="00787849" w:rsidRDefault="00787849" w:rsidP="00A338F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short Doctor Jekenya’s evidence was that the accused were grossly negligent in the mann</w:t>
      </w:r>
      <w:r w:rsidR="00F47018">
        <w:rPr>
          <w:rFonts w:ascii="Times New Roman" w:hAnsi="Times New Roman" w:cs="Times New Roman"/>
          <w:sz w:val="24"/>
          <w:szCs w:val="24"/>
        </w:rPr>
        <w:t>er they administed the Mpofana c</w:t>
      </w:r>
      <w:r>
        <w:rPr>
          <w:rFonts w:ascii="Times New Roman" w:hAnsi="Times New Roman" w:cs="Times New Roman"/>
          <w:sz w:val="24"/>
          <w:szCs w:val="24"/>
        </w:rPr>
        <w:t>oncoction.  “Manner” in the sense that taking into account all the circumstances.  He says that this caused t</w:t>
      </w:r>
      <w:r w:rsidR="00F47018">
        <w:rPr>
          <w:rFonts w:ascii="Times New Roman" w:hAnsi="Times New Roman" w:cs="Times New Roman"/>
          <w:sz w:val="24"/>
          <w:szCs w:val="24"/>
        </w:rPr>
        <w:t>he contents to go up the stomach</w:t>
      </w:r>
      <w:r>
        <w:rPr>
          <w:rFonts w:ascii="Times New Roman" w:hAnsi="Times New Roman" w:cs="Times New Roman"/>
          <w:sz w:val="24"/>
          <w:szCs w:val="24"/>
        </w:rPr>
        <w:t xml:space="preserve"> and the</w:t>
      </w:r>
      <w:r w:rsidR="0009033B">
        <w:rPr>
          <w:rFonts w:ascii="Times New Roman" w:hAnsi="Times New Roman" w:cs="Times New Roman"/>
          <w:sz w:val="24"/>
          <w:szCs w:val="24"/>
        </w:rPr>
        <w:t>n backwards into the wind pipe</w:t>
      </w:r>
      <w:r>
        <w:rPr>
          <w:rFonts w:ascii="Times New Roman" w:hAnsi="Times New Roman" w:cs="Times New Roman"/>
          <w:sz w:val="24"/>
          <w:szCs w:val="24"/>
        </w:rPr>
        <w:t xml:space="preserve"> (airways) leading to what he termed </w:t>
      </w:r>
      <w:r w:rsidR="0009033B">
        <w:rPr>
          <w:rFonts w:ascii="Times New Roman" w:hAnsi="Times New Roman" w:cs="Times New Roman"/>
          <w:sz w:val="24"/>
          <w:szCs w:val="24"/>
        </w:rPr>
        <w:t>“</w:t>
      </w:r>
      <w:r>
        <w:rPr>
          <w:rFonts w:ascii="Times New Roman" w:hAnsi="Times New Roman" w:cs="Times New Roman"/>
          <w:sz w:val="24"/>
          <w:szCs w:val="24"/>
        </w:rPr>
        <w:t xml:space="preserve">stomach </w:t>
      </w:r>
      <w:r w:rsidR="00AF66A1">
        <w:rPr>
          <w:rFonts w:ascii="Times New Roman" w:hAnsi="Times New Roman" w:cs="Times New Roman"/>
          <w:sz w:val="24"/>
          <w:szCs w:val="24"/>
        </w:rPr>
        <w:t>contents aspiration.</w:t>
      </w:r>
      <w:r w:rsidR="0009033B">
        <w:rPr>
          <w:rFonts w:ascii="Times New Roman" w:hAnsi="Times New Roman" w:cs="Times New Roman"/>
          <w:sz w:val="24"/>
          <w:szCs w:val="24"/>
        </w:rPr>
        <w:t>”</w:t>
      </w:r>
      <w:r w:rsidR="00AF66A1">
        <w:rPr>
          <w:rFonts w:ascii="Times New Roman" w:hAnsi="Times New Roman" w:cs="Times New Roman"/>
          <w:sz w:val="24"/>
          <w:szCs w:val="24"/>
        </w:rPr>
        <w:t xml:space="preserve">  The Doctor also told the court that salt on its own is very dangerous.  A concoction of course salt, raw eggs and water would be more dangerous.  The Doctor thus stated that i</w:t>
      </w:r>
      <w:r w:rsidR="00F47018">
        <w:rPr>
          <w:rFonts w:ascii="Times New Roman" w:hAnsi="Times New Roman" w:cs="Times New Roman"/>
          <w:sz w:val="24"/>
          <w:szCs w:val="24"/>
        </w:rPr>
        <w:t>t matters not that the Mpofana c</w:t>
      </w:r>
      <w:r w:rsidR="00AF66A1">
        <w:rPr>
          <w:rFonts w:ascii="Times New Roman" w:hAnsi="Times New Roman" w:cs="Times New Roman"/>
          <w:sz w:val="24"/>
          <w:szCs w:val="24"/>
        </w:rPr>
        <w:t>oncoction was not found to be toxic or poisonous, but from that kind of ingestion, the child would have died anyway in her sleep.</w:t>
      </w:r>
    </w:p>
    <w:p w:rsidR="0009033B" w:rsidRDefault="00AF66A1" w:rsidP="00A338F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Doctor also admitted that there seems to have been no intention to kill but negligence occasioned by people’s engagement in what they were not qualified to do or at least not well versed with.  He stressed the point that whether one is a Conventional Medical Doctor or a Registered Traditional healer, it is important for anyone treating a child, to prescribe specif</w:t>
      </w:r>
      <w:r w:rsidR="00A756F6">
        <w:rPr>
          <w:rFonts w:ascii="Times New Roman" w:hAnsi="Times New Roman" w:cs="Times New Roman"/>
          <w:sz w:val="24"/>
          <w:szCs w:val="24"/>
        </w:rPr>
        <w:t>ic</w:t>
      </w:r>
      <w:r>
        <w:rPr>
          <w:rFonts w:ascii="Times New Roman" w:hAnsi="Times New Roman" w:cs="Times New Roman"/>
          <w:sz w:val="24"/>
          <w:szCs w:val="24"/>
        </w:rPr>
        <w:t xml:space="preserve"> requirements of dosages plus times and other factors.  Where one foregoes such specifications, that would qualify as negligence which to him</w:t>
      </w:r>
      <w:r w:rsidR="0009033B">
        <w:rPr>
          <w:rFonts w:ascii="Times New Roman" w:hAnsi="Times New Roman" w:cs="Times New Roman"/>
          <w:sz w:val="24"/>
          <w:szCs w:val="24"/>
        </w:rPr>
        <w:t xml:space="preserve">, </w:t>
      </w:r>
      <w:r w:rsidR="00A756F6">
        <w:rPr>
          <w:rFonts w:ascii="Times New Roman" w:hAnsi="Times New Roman" w:cs="Times New Roman"/>
          <w:sz w:val="24"/>
          <w:szCs w:val="24"/>
        </w:rPr>
        <w:t xml:space="preserve">would be gross negligence.  </w:t>
      </w:r>
      <w:r w:rsidR="00A756F6" w:rsidRPr="001F7DB7">
        <w:rPr>
          <w:rFonts w:ascii="Times New Roman" w:hAnsi="Times New Roman" w:cs="Times New Roman"/>
          <w:i/>
          <w:sz w:val="24"/>
          <w:szCs w:val="24"/>
        </w:rPr>
        <w:t>In casu</w:t>
      </w:r>
      <w:r w:rsidR="00A756F6">
        <w:rPr>
          <w:rFonts w:ascii="Times New Roman" w:hAnsi="Times New Roman" w:cs="Times New Roman"/>
          <w:sz w:val="24"/>
          <w:szCs w:val="24"/>
        </w:rPr>
        <w:t xml:space="preserve">, the child was dumb and therefore unable to easily and satisfactorily communicate.  </w:t>
      </w:r>
    </w:p>
    <w:p w:rsidR="00AF66A1" w:rsidRPr="00302CF9" w:rsidRDefault="00A756F6" w:rsidP="00A338F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should have taken extra precaution.  The two accused persons unfortunately did not make good witnesses.  They </w:t>
      </w:r>
      <w:r w:rsidR="0009033B">
        <w:rPr>
          <w:rFonts w:ascii="Times New Roman" w:hAnsi="Times New Roman" w:cs="Times New Roman"/>
          <w:sz w:val="24"/>
          <w:szCs w:val="24"/>
        </w:rPr>
        <w:t xml:space="preserve">maintained that they were innocent and spent most </w:t>
      </w:r>
      <w:r>
        <w:rPr>
          <w:rFonts w:ascii="Times New Roman" w:hAnsi="Times New Roman" w:cs="Times New Roman"/>
          <w:sz w:val="24"/>
          <w:szCs w:val="24"/>
        </w:rPr>
        <w:t>of the time trying to mislead the court that they did not give the chi</w:t>
      </w:r>
      <w:r w:rsidR="0009033B">
        <w:rPr>
          <w:rFonts w:ascii="Times New Roman" w:hAnsi="Times New Roman" w:cs="Times New Roman"/>
          <w:sz w:val="24"/>
          <w:szCs w:val="24"/>
        </w:rPr>
        <w:t>ld that much of the concoction</w:t>
      </w:r>
      <w:r>
        <w:rPr>
          <w:rFonts w:ascii="Times New Roman" w:hAnsi="Times New Roman" w:cs="Times New Roman"/>
          <w:sz w:val="24"/>
          <w:szCs w:val="24"/>
        </w:rPr>
        <w:t>.  However as already stated above, the 2</w:t>
      </w:r>
      <w:r w:rsidRPr="00A756F6">
        <w:rPr>
          <w:rFonts w:ascii="Times New Roman" w:hAnsi="Times New Roman" w:cs="Times New Roman"/>
          <w:sz w:val="24"/>
          <w:szCs w:val="24"/>
          <w:vertAlign w:val="superscript"/>
        </w:rPr>
        <w:t>nd</w:t>
      </w:r>
      <w:r>
        <w:rPr>
          <w:rFonts w:ascii="Times New Roman" w:hAnsi="Times New Roman" w:cs="Times New Roman"/>
          <w:sz w:val="24"/>
          <w:szCs w:val="24"/>
        </w:rPr>
        <w:t xml:space="preserve"> accused perhaps due t</w:t>
      </w:r>
      <w:r w:rsidR="002A1551">
        <w:rPr>
          <w:rFonts w:ascii="Times New Roman" w:hAnsi="Times New Roman" w:cs="Times New Roman"/>
          <w:sz w:val="24"/>
          <w:szCs w:val="24"/>
        </w:rPr>
        <w:t>o the conscience and motherly instinct</w:t>
      </w:r>
      <w:r>
        <w:rPr>
          <w:rFonts w:ascii="Times New Roman" w:hAnsi="Times New Roman" w:cs="Times New Roman"/>
          <w:sz w:val="24"/>
          <w:szCs w:val="24"/>
        </w:rPr>
        <w:t xml:space="preserve">, </w:t>
      </w:r>
      <w:r w:rsidR="00A94602">
        <w:rPr>
          <w:rFonts w:ascii="Times New Roman" w:hAnsi="Times New Roman" w:cs="Times New Roman"/>
          <w:sz w:val="24"/>
          <w:szCs w:val="24"/>
        </w:rPr>
        <w:t>eventually admitted that the child on the 7</w:t>
      </w:r>
      <w:r w:rsidR="00A94602" w:rsidRPr="00A94602">
        <w:rPr>
          <w:rFonts w:ascii="Times New Roman" w:hAnsi="Times New Roman" w:cs="Times New Roman"/>
          <w:sz w:val="24"/>
          <w:szCs w:val="24"/>
          <w:vertAlign w:val="superscript"/>
        </w:rPr>
        <w:t>th</w:t>
      </w:r>
      <w:r w:rsidR="00A94602">
        <w:rPr>
          <w:rFonts w:ascii="Times New Roman" w:hAnsi="Times New Roman" w:cs="Times New Roman"/>
          <w:sz w:val="24"/>
          <w:szCs w:val="24"/>
        </w:rPr>
        <w:t xml:space="preserve"> must have taken very close to a litre of the concoction only.  Ultimately her evidence, coupled with the last part of her confirmed warned and cautioned statement corroborated </w:t>
      </w:r>
      <w:r w:rsidR="001F7DB7">
        <w:rPr>
          <w:rFonts w:ascii="Times New Roman" w:hAnsi="Times New Roman" w:cs="Times New Roman"/>
          <w:sz w:val="24"/>
          <w:szCs w:val="24"/>
        </w:rPr>
        <w:t>the brief history and the findings in exhibit 3 and 6.  They both however ultimately admitted</w:t>
      </w:r>
      <w:r w:rsidR="0009033B">
        <w:rPr>
          <w:rFonts w:ascii="Times New Roman" w:hAnsi="Times New Roman" w:cs="Times New Roman"/>
          <w:sz w:val="24"/>
          <w:szCs w:val="24"/>
        </w:rPr>
        <w:t xml:space="preserve"> negligence</w:t>
      </w:r>
      <w:r w:rsidR="001F7DB7">
        <w:rPr>
          <w:rFonts w:ascii="Times New Roman" w:hAnsi="Times New Roman" w:cs="Times New Roman"/>
          <w:sz w:val="24"/>
          <w:szCs w:val="24"/>
        </w:rPr>
        <w:t>.  The court has been urged to reject the evid</w:t>
      </w:r>
      <w:r w:rsidR="0009033B">
        <w:rPr>
          <w:rFonts w:ascii="Times New Roman" w:hAnsi="Times New Roman" w:cs="Times New Roman"/>
          <w:sz w:val="24"/>
          <w:szCs w:val="24"/>
        </w:rPr>
        <w:t xml:space="preserve">ence </w:t>
      </w:r>
      <w:r w:rsidR="0009033B" w:rsidRPr="00302CF9">
        <w:rPr>
          <w:rFonts w:ascii="Times New Roman" w:hAnsi="Times New Roman" w:cs="Times New Roman"/>
          <w:sz w:val="24"/>
          <w:szCs w:val="24"/>
        </w:rPr>
        <w:t>of a Conventional “Wester</w:t>
      </w:r>
      <w:r w:rsidR="001F7DB7" w:rsidRPr="00302CF9">
        <w:rPr>
          <w:rFonts w:ascii="Times New Roman" w:hAnsi="Times New Roman" w:cs="Times New Roman"/>
          <w:sz w:val="24"/>
          <w:szCs w:val="24"/>
        </w:rPr>
        <w:t>n” medical Doctor to explain and prescribe negligence on faith or traditional healers.</w:t>
      </w:r>
    </w:p>
    <w:p w:rsidR="001F7DB7" w:rsidRPr="00302CF9" w:rsidRDefault="001F7DB7" w:rsidP="00A338FA">
      <w:pPr>
        <w:spacing w:line="360" w:lineRule="auto"/>
        <w:ind w:left="1440" w:hanging="720"/>
        <w:jc w:val="both"/>
        <w:rPr>
          <w:rFonts w:ascii="Times New Roman" w:hAnsi="Times New Roman" w:cs="Times New Roman"/>
          <w:sz w:val="24"/>
          <w:szCs w:val="24"/>
        </w:rPr>
      </w:pPr>
      <w:r w:rsidRPr="00302CF9">
        <w:rPr>
          <w:rFonts w:ascii="Times New Roman" w:hAnsi="Times New Roman" w:cs="Times New Roman"/>
          <w:sz w:val="24"/>
          <w:szCs w:val="24"/>
        </w:rPr>
        <w:lastRenderedPageBreak/>
        <w:t>(1)</w:t>
      </w:r>
      <w:r w:rsidRPr="00302CF9">
        <w:rPr>
          <w:rFonts w:ascii="Times New Roman" w:hAnsi="Times New Roman" w:cs="Times New Roman"/>
          <w:sz w:val="24"/>
          <w:szCs w:val="24"/>
        </w:rPr>
        <w:tab/>
        <w:t xml:space="preserve">This court knows not of any legally recognisable traditional healer’s findings or reports that have been used in the courts.  In any event, </w:t>
      </w:r>
      <w:r w:rsidR="00375BDF" w:rsidRPr="00302CF9">
        <w:rPr>
          <w:rFonts w:ascii="Times New Roman" w:hAnsi="Times New Roman" w:cs="Times New Roman"/>
          <w:sz w:val="24"/>
          <w:szCs w:val="24"/>
        </w:rPr>
        <w:t>none have been produced on behalf of the accused.</w:t>
      </w:r>
    </w:p>
    <w:p w:rsidR="00375BDF" w:rsidRPr="00302CF9" w:rsidRDefault="00375BDF" w:rsidP="00A338FA">
      <w:pPr>
        <w:spacing w:line="360" w:lineRule="auto"/>
        <w:ind w:left="1440" w:hanging="720"/>
        <w:jc w:val="both"/>
        <w:rPr>
          <w:rFonts w:ascii="Times New Roman" w:hAnsi="Times New Roman" w:cs="Times New Roman"/>
          <w:sz w:val="24"/>
          <w:szCs w:val="24"/>
        </w:rPr>
      </w:pPr>
      <w:r w:rsidRPr="00302CF9">
        <w:rPr>
          <w:rFonts w:ascii="Times New Roman" w:hAnsi="Times New Roman" w:cs="Times New Roman"/>
          <w:sz w:val="24"/>
          <w:szCs w:val="24"/>
        </w:rPr>
        <w:t>(2)</w:t>
      </w:r>
      <w:r w:rsidRPr="00302CF9">
        <w:rPr>
          <w:rFonts w:ascii="Times New Roman" w:hAnsi="Times New Roman" w:cs="Times New Roman"/>
          <w:sz w:val="24"/>
          <w:szCs w:val="24"/>
        </w:rPr>
        <w:tab/>
        <w:t>2</w:t>
      </w:r>
      <w:r w:rsidRPr="00302CF9">
        <w:rPr>
          <w:rFonts w:ascii="Times New Roman" w:hAnsi="Times New Roman" w:cs="Times New Roman"/>
          <w:sz w:val="24"/>
          <w:szCs w:val="24"/>
          <w:vertAlign w:val="superscript"/>
        </w:rPr>
        <w:t>nd</w:t>
      </w:r>
      <w:r w:rsidRPr="00302CF9">
        <w:rPr>
          <w:rFonts w:ascii="Times New Roman" w:hAnsi="Times New Roman" w:cs="Times New Roman"/>
          <w:sz w:val="24"/>
          <w:szCs w:val="24"/>
        </w:rPr>
        <w:t xml:space="preserve"> accused herself admitted that in their field of traditional medicine, they do not as yet have a system that can be used in the courts to prove cases of deaths such as in the case in Pathology.</w:t>
      </w:r>
    </w:p>
    <w:p w:rsidR="00375BDF" w:rsidRPr="00302CF9" w:rsidRDefault="00375BDF" w:rsidP="00A338FA">
      <w:pPr>
        <w:spacing w:line="360" w:lineRule="auto"/>
        <w:ind w:firstLine="720"/>
        <w:jc w:val="both"/>
        <w:rPr>
          <w:rFonts w:ascii="Times New Roman" w:hAnsi="Times New Roman" w:cs="Times New Roman"/>
          <w:sz w:val="24"/>
          <w:szCs w:val="24"/>
        </w:rPr>
      </w:pPr>
      <w:r w:rsidRPr="00302CF9">
        <w:rPr>
          <w:rFonts w:ascii="Times New Roman" w:hAnsi="Times New Roman" w:cs="Times New Roman"/>
          <w:sz w:val="24"/>
          <w:szCs w:val="24"/>
        </w:rPr>
        <w:t xml:space="preserve">In the case of </w:t>
      </w:r>
      <w:r w:rsidRPr="00302CF9">
        <w:rPr>
          <w:rFonts w:ascii="Times New Roman" w:hAnsi="Times New Roman" w:cs="Times New Roman"/>
          <w:i/>
          <w:sz w:val="24"/>
          <w:szCs w:val="24"/>
        </w:rPr>
        <w:t>Ruzane v Paradza and Another</w:t>
      </w:r>
      <w:r w:rsidRPr="00302CF9">
        <w:rPr>
          <w:rFonts w:ascii="Times New Roman" w:hAnsi="Times New Roman" w:cs="Times New Roman"/>
          <w:sz w:val="24"/>
          <w:szCs w:val="24"/>
        </w:rPr>
        <w:t xml:space="preserve"> </w:t>
      </w:r>
      <w:r w:rsidR="00B25067" w:rsidRPr="00302CF9">
        <w:rPr>
          <w:rFonts w:ascii="Times New Roman" w:hAnsi="Times New Roman" w:cs="Times New Roman"/>
          <w:sz w:val="24"/>
          <w:szCs w:val="24"/>
        </w:rPr>
        <w:t>which dealt with a disputed chieftainship, it was held that,</w:t>
      </w:r>
    </w:p>
    <w:p w:rsidR="00B25067" w:rsidRPr="00302CF9" w:rsidRDefault="00B25067" w:rsidP="00A338FA">
      <w:pPr>
        <w:spacing w:line="240" w:lineRule="auto"/>
        <w:ind w:left="720"/>
        <w:jc w:val="both"/>
        <w:rPr>
          <w:rFonts w:ascii="Times New Roman" w:hAnsi="Times New Roman" w:cs="Times New Roman"/>
          <w:sz w:val="24"/>
          <w:szCs w:val="24"/>
        </w:rPr>
      </w:pPr>
      <w:r w:rsidRPr="00302CF9">
        <w:rPr>
          <w:rFonts w:ascii="Times New Roman" w:hAnsi="Times New Roman" w:cs="Times New Roman"/>
          <w:sz w:val="24"/>
          <w:szCs w:val="24"/>
        </w:rPr>
        <w:t>“In essence, the function of an expert is to assist the court to reach a conclusion on matters on which the court itself does not have the necessary knowledge to decide.  It is not the mere opinion of the witness which is decisive but his ability to satisfy the court that because of his special skill, training or experience, the reasons for the opinion which he expresses are acceptable.”</w:t>
      </w:r>
    </w:p>
    <w:p w:rsidR="00375BDF" w:rsidRPr="00302CF9" w:rsidRDefault="0075103D" w:rsidP="00302CF9">
      <w:pPr>
        <w:pStyle w:val="NoSpacing"/>
        <w:ind w:firstLine="720"/>
        <w:rPr>
          <w:rFonts w:ascii="Times New Roman" w:hAnsi="Times New Roman" w:cs="Times New Roman"/>
          <w:szCs w:val="24"/>
        </w:rPr>
      </w:pPr>
      <w:r w:rsidRPr="00302CF9">
        <w:rPr>
          <w:rFonts w:ascii="Times New Roman" w:hAnsi="Times New Roman" w:cs="Times New Roman"/>
          <w:szCs w:val="24"/>
        </w:rPr>
        <w:t>a</w:t>
      </w:r>
      <w:r w:rsidR="00375BDF" w:rsidRPr="00302CF9">
        <w:rPr>
          <w:rFonts w:ascii="Times New Roman" w:hAnsi="Times New Roman" w:cs="Times New Roman"/>
          <w:szCs w:val="24"/>
        </w:rPr>
        <w:t xml:space="preserve">nd also in </w:t>
      </w:r>
      <w:r w:rsidR="00375BDF" w:rsidRPr="00302CF9">
        <w:rPr>
          <w:rFonts w:ascii="Times New Roman" w:hAnsi="Times New Roman" w:cs="Times New Roman"/>
          <w:i/>
          <w:szCs w:val="24"/>
        </w:rPr>
        <w:t>Tavengwa Timire v The State</w:t>
      </w:r>
      <w:r w:rsidR="00375BDF" w:rsidRPr="00302CF9">
        <w:rPr>
          <w:rFonts w:ascii="Times New Roman" w:hAnsi="Times New Roman" w:cs="Times New Roman"/>
          <w:szCs w:val="24"/>
        </w:rPr>
        <w:t xml:space="preserve"> HB 197/19</w:t>
      </w:r>
      <w:r w:rsidR="0009033B" w:rsidRPr="00302CF9">
        <w:rPr>
          <w:rFonts w:ascii="Times New Roman" w:hAnsi="Times New Roman" w:cs="Times New Roman"/>
          <w:szCs w:val="24"/>
        </w:rPr>
        <w:t xml:space="preserve"> where this court pointed out thus:</w:t>
      </w:r>
    </w:p>
    <w:p w:rsidR="00302CF9" w:rsidRPr="00302CF9" w:rsidRDefault="00302CF9" w:rsidP="00302CF9">
      <w:pPr>
        <w:pStyle w:val="NoSpacing"/>
        <w:ind w:firstLine="720"/>
        <w:rPr>
          <w:rFonts w:ascii="Times New Roman" w:hAnsi="Times New Roman" w:cs="Times New Roman"/>
          <w:szCs w:val="24"/>
        </w:rPr>
      </w:pPr>
    </w:p>
    <w:p w:rsidR="00A901F5" w:rsidRPr="00302CF9" w:rsidRDefault="0009033B" w:rsidP="00302CF9">
      <w:pPr>
        <w:pStyle w:val="NoSpacing"/>
        <w:ind w:firstLine="720"/>
        <w:rPr>
          <w:rFonts w:ascii="Times New Roman" w:hAnsi="Times New Roman" w:cs="Times New Roman"/>
          <w:szCs w:val="24"/>
        </w:rPr>
      </w:pPr>
      <w:r w:rsidRPr="00302CF9">
        <w:rPr>
          <w:rFonts w:ascii="Times New Roman" w:hAnsi="Times New Roman" w:cs="Times New Roman"/>
          <w:szCs w:val="24"/>
        </w:rPr>
        <w:t xml:space="preserve">“From the above, it would make a mockery therefore of our legal system on expert </w:t>
      </w:r>
    </w:p>
    <w:p w:rsidR="00A901F5" w:rsidRPr="00302CF9" w:rsidRDefault="00DA39B5" w:rsidP="00A901F5">
      <w:pPr>
        <w:pStyle w:val="NoSpacing"/>
        <w:ind w:firstLine="720"/>
        <w:rPr>
          <w:rFonts w:ascii="Times New Roman" w:hAnsi="Times New Roman" w:cs="Times New Roman"/>
          <w:szCs w:val="24"/>
        </w:rPr>
      </w:pPr>
      <w:r>
        <w:rPr>
          <w:rFonts w:ascii="Times New Roman" w:hAnsi="Times New Roman" w:cs="Times New Roman"/>
          <w:szCs w:val="24"/>
        </w:rPr>
        <w:t xml:space="preserve">evidence </w:t>
      </w:r>
      <w:r w:rsidR="0009033B" w:rsidRPr="00302CF9">
        <w:rPr>
          <w:rFonts w:ascii="Times New Roman" w:hAnsi="Times New Roman" w:cs="Times New Roman"/>
          <w:szCs w:val="24"/>
        </w:rPr>
        <w:t>if a court</w:t>
      </w:r>
      <w:r w:rsidR="00A901F5" w:rsidRPr="00302CF9">
        <w:rPr>
          <w:rFonts w:ascii="Times New Roman" w:hAnsi="Times New Roman" w:cs="Times New Roman"/>
          <w:szCs w:val="24"/>
        </w:rPr>
        <w:t xml:space="preserve"> were to call an expert witness, accept his expertise and hear his </w:t>
      </w:r>
    </w:p>
    <w:p w:rsidR="0009033B" w:rsidRPr="00302CF9" w:rsidRDefault="00A901F5" w:rsidP="00A901F5">
      <w:pPr>
        <w:pStyle w:val="NoSpacing"/>
        <w:ind w:left="720"/>
        <w:rPr>
          <w:rFonts w:ascii="Times New Roman" w:hAnsi="Times New Roman" w:cs="Times New Roman"/>
          <w:szCs w:val="24"/>
        </w:rPr>
      </w:pPr>
      <w:r w:rsidRPr="00302CF9">
        <w:rPr>
          <w:rFonts w:ascii="Times New Roman" w:hAnsi="Times New Roman" w:cs="Times New Roman"/>
          <w:szCs w:val="24"/>
        </w:rPr>
        <w:t>evidence and thereafter be persuaded by mere cross-examination of the expert witness by a lawyer who is himself not an expert in the same field, to agree that the witness was mistaken or not telling the truth in the absence of contrary evidence.</w:t>
      </w:r>
    </w:p>
    <w:p w:rsidR="00A901F5" w:rsidRPr="00302CF9" w:rsidRDefault="00A901F5" w:rsidP="00A901F5">
      <w:pPr>
        <w:pStyle w:val="NoSpacing"/>
        <w:ind w:left="720"/>
        <w:rPr>
          <w:rFonts w:ascii="Times New Roman" w:hAnsi="Times New Roman" w:cs="Times New Roman"/>
          <w:szCs w:val="24"/>
        </w:rPr>
      </w:pPr>
    </w:p>
    <w:p w:rsidR="00A901F5" w:rsidRPr="00302CF9" w:rsidRDefault="00A901F5" w:rsidP="00A901F5">
      <w:pPr>
        <w:pStyle w:val="NoSpacing"/>
        <w:ind w:left="720"/>
        <w:rPr>
          <w:rFonts w:ascii="Times New Roman" w:hAnsi="Times New Roman" w:cs="Times New Roman"/>
          <w:szCs w:val="24"/>
        </w:rPr>
      </w:pPr>
      <w:r w:rsidRPr="00302CF9">
        <w:rPr>
          <w:rFonts w:ascii="Times New Roman" w:hAnsi="Times New Roman" w:cs="Times New Roman"/>
          <w:szCs w:val="24"/>
        </w:rPr>
        <w:t xml:space="preserve">In short, once an assayer for example has been called to testify, and testifies that the “stuff” produced in court as exhibit is “gold” the court cannot and should not be persuaded, in the absence of a contrary assayer or assay report to hold that the stuff is in fact not gold because in so doing, the court officials would be proclaiming themselves to be experts in minerals, the same expertise they did not have, and which necessitated </w:t>
      </w:r>
      <w:r w:rsidR="00302CF9" w:rsidRPr="00302CF9">
        <w:rPr>
          <w:rFonts w:ascii="Times New Roman" w:hAnsi="Times New Roman" w:cs="Times New Roman"/>
          <w:szCs w:val="24"/>
        </w:rPr>
        <w:t>the calling of an assayer.”</w:t>
      </w:r>
    </w:p>
    <w:p w:rsidR="0075103D" w:rsidRPr="00302CF9" w:rsidRDefault="0075103D" w:rsidP="00A338FA">
      <w:pPr>
        <w:spacing w:line="360" w:lineRule="auto"/>
        <w:ind w:firstLine="720"/>
        <w:jc w:val="both"/>
        <w:rPr>
          <w:rFonts w:ascii="Times New Roman" w:hAnsi="Times New Roman" w:cs="Times New Roman"/>
          <w:sz w:val="24"/>
          <w:szCs w:val="24"/>
        </w:rPr>
      </w:pPr>
      <w:r w:rsidRPr="00302CF9">
        <w:rPr>
          <w:rFonts w:ascii="Times New Roman" w:hAnsi="Times New Roman" w:cs="Times New Roman"/>
          <w:sz w:val="24"/>
          <w:szCs w:val="24"/>
        </w:rPr>
        <w:t>From the foregoing, the court is satisfied that the two accused persons negligently caused the death of the deceased.</w:t>
      </w:r>
    </w:p>
    <w:p w:rsidR="0075103D" w:rsidRDefault="0075103D" w:rsidP="00A338F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accused are found not guilty and acquitted of murder.</w:t>
      </w:r>
    </w:p>
    <w:p w:rsidR="0075103D" w:rsidRDefault="0075103D" w:rsidP="00A338F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They are found guilty of Culpable Homicide.</w:t>
      </w:r>
    </w:p>
    <w:p w:rsidR="0075103D" w:rsidRPr="000F119C" w:rsidRDefault="0075103D" w:rsidP="00A338FA">
      <w:pPr>
        <w:spacing w:line="360" w:lineRule="auto"/>
        <w:jc w:val="both"/>
        <w:rPr>
          <w:rFonts w:ascii="Times New Roman" w:hAnsi="Times New Roman" w:cs="Times New Roman"/>
          <w:b/>
          <w:sz w:val="24"/>
          <w:szCs w:val="24"/>
        </w:rPr>
      </w:pPr>
      <w:r w:rsidRPr="000F119C">
        <w:rPr>
          <w:rFonts w:ascii="Times New Roman" w:hAnsi="Times New Roman" w:cs="Times New Roman"/>
          <w:b/>
          <w:sz w:val="24"/>
          <w:szCs w:val="24"/>
        </w:rPr>
        <w:t>Sentence</w:t>
      </w:r>
    </w:p>
    <w:p w:rsidR="0075103D" w:rsidRDefault="0075103D" w:rsidP="00A338F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assessing sentence, the court will consider that the accused persons are female first offenders.  Our courts have always acknowledged that imprisonment imparts more heavily on </w:t>
      </w:r>
      <w:r>
        <w:rPr>
          <w:rFonts w:ascii="Times New Roman" w:hAnsi="Times New Roman" w:cs="Times New Roman"/>
          <w:sz w:val="24"/>
          <w:szCs w:val="24"/>
        </w:rPr>
        <w:lastRenderedPageBreak/>
        <w:t xml:space="preserve">females </w:t>
      </w:r>
      <w:r w:rsidR="002A1551">
        <w:rPr>
          <w:rFonts w:ascii="Times New Roman" w:hAnsi="Times New Roman" w:cs="Times New Roman"/>
          <w:sz w:val="24"/>
          <w:szCs w:val="24"/>
        </w:rPr>
        <w:t>than</w:t>
      </w:r>
      <w:r w:rsidR="001A22DC">
        <w:rPr>
          <w:rFonts w:ascii="Times New Roman" w:hAnsi="Times New Roman" w:cs="Times New Roman"/>
          <w:sz w:val="24"/>
          <w:szCs w:val="24"/>
        </w:rPr>
        <w:t xml:space="preserve"> on their male counterparts.  The courts have therefore tended to lean on the side of leniency where female first offenders are involved especially in cases where the offence committed is </w:t>
      </w:r>
      <w:r w:rsidR="00302CF9">
        <w:rPr>
          <w:rFonts w:ascii="Times New Roman" w:hAnsi="Times New Roman" w:cs="Times New Roman"/>
          <w:sz w:val="24"/>
          <w:szCs w:val="24"/>
        </w:rPr>
        <w:t xml:space="preserve">a </w:t>
      </w:r>
      <w:r w:rsidR="001A22DC">
        <w:rPr>
          <w:rFonts w:ascii="Times New Roman" w:hAnsi="Times New Roman" w:cs="Times New Roman"/>
          <w:sz w:val="24"/>
          <w:szCs w:val="24"/>
        </w:rPr>
        <w:t>rare type and where recidivism is unlikely.</w:t>
      </w:r>
    </w:p>
    <w:p w:rsidR="00302CF9" w:rsidRDefault="001A22DC" w:rsidP="00A338F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two accused are family women.  Second accused is a 61 year old widow who is clearly of ill health</w:t>
      </w:r>
      <w:r w:rsidR="00302CF9">
        <w:rPr>
          <w:rFonts w:ascii="Times New Roman" w:hAnsi="Times New Roman" w:cs="Times New Roman"/>
          <w:sz w:val="24"/>
          <w:szCs w:val="24"/>
        </w:rPr>
        <w:t>.  She</w:t>
      </w:r>
      <w:r>
        <w:rPr>
          <w:rFonts w:ascii="Times New Roman" w:hAnsi="Times New Roman" w:cs="Times New Roman"/>
          <w:sz w:val="24"/>
          <w:szCs w:val="24"/>
        </w:rPr>
        <w:t xml:space="preserve"> had quite some difficulties walking her way around the courtroom.  Both were very close to the deceased who they treated as a special child.  Accused 1 was the deceased’s biological mother.  Thou</w:t>
      </w:r>
      <w:r w:rsidR="002A1551">
        <w:rPr>
          <w:rFonts w:ascii="Times New Roman" w:hAnsi="Times New Roman" w:cs="Times New Roman"/>
          <w:sz w:val="24"/>
          <w:szCs w:val="24"/>
        </w:rPr>
        <w:t xml:space="preserve">gh not a blood </w:t>
      </w:r>
      <w:r>
        <w:rPr>
          <w:rFonts w:ascii="Times New Roman" w:hAnsi="Times New Roman" w:cs="Times New Roman"/>
          <w:sz w:val="24"/>
          <w:szCs w:val="24"/>
        </w:rPr>
        <w:t xml:space="preserve">relative, accused 2 was almost a grandmother to her.  She is a properly registered traditional healer.  </w:t>
      </w:r>
      <w:r w:rsidR="002A1551">
        <w:rPr>
          <w:rFonts w:ascii="Times New Roman" w:hAnsi="Times New Roman" w:cs="Times New Roman"/>
          <w:sz w:val="24"/>
          <w:szCs w:val="24"/>
        </w:rPr>
        <w:tab/>
      </w:r>
    </w:p>
    <w:p w:rsidR="00BA7727" w:rsidRDefault="002A1551" w:rsidP="00302CF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in </w:t>
      </w:r>
      <w:r w:rsidR="00D41D9B">
        <w:rPr>
          <w:rFonts w:ascii="Times New Roman" w:hAnsi="Times New Roman" w:cs="Times New Roman"/>
          <w:sz w:val="24"/>
          <w:szCs w:val="24"/>
        </w:rPr>
        <w:t>court they initially denied being negligent they both admitted, though belatedly that they were inde</w:t>
      </w:r>
      <w:r w:rsidR="00302CF9">
        <w:rPr>
          <w:rFonts w:ascii="Times New Roman" w:hAnsi="Times New Roman" w:cs="Times New Roman"/>
          <w:sz w:val="24"/>
          <w:szCs w:val="24"/>
        </w:rPr>
        <w:t>ed negligent.</w:t>
      </w:r>
      <w:r w:rsidR="00D41D9B">
        <w:rPr>
          <w:rFonts w:ascii="Times New Roman" w:hAnsi="Times New Roman" w:cs="Times New Roman"/>
          <w:sz w:val="24"/>
          <w:szCs w:val="24"/>
        </w:rPr>
        <w:t xml:space="preserve"> What weighs heavily also in their favour is their intentions were for all intents and purposes good intentions.  It is acknowledged by all, including the state and the child’s father, who was staying with them at the time, that the desire had always been to help the child discov</w:t>
      </w:r>
      <w:r w:rsidR="00302CF9">
        <w:rPr>
          <w:rFonts w:ascii="Times New Roman" w:hAnsi="Times New Roman" w:cs="Times New Roman"/>
          <w:sz w:val="24"/>
          <w:szCs w:val="24"/>
        </w:rPr>
        <w:t xml:space="preserve">er her speech.  </w:t>
      </w:r>
      <w:r w:rsidR="00D41D9B">
        <w:rPr>
          <w:rFonts w:ascii="Times New Roman" w:hAnsi="Times New Roman" w:cs="Times New Roman"/>
          <w:sz w:val="24"/>
          <w:szCs w:val="24"/>
        </w:rPr>
        <w:t xml:space="preserve">The court considers that the rejection and stigmatisation by society of the accused following the child’s death was punishment on its own.  The two doctors in this case found </w:t>
      </w:r>
      <w:r w:rsidR="00BA7727">
        <w:rPr>
          <w:rFonts w:ascii="Times New Roman" w:hAnsi="Times New Roman" w:cs="Times New Roman"/>
          <w:sz w:val="24"/>
          <w:szCs w:val="24"/>
        </w:rPr>
        <w:t xml:space="preserve">in </w:t>
      </w:r>
      <w:r w:rsidR="00D41D9B">
        <w:rPr>
          <w:rFonts w:ascii="Times New Roman" w:hAnsi="Times New Roman" w:cs="Times New Roman"/>
          <w:sz w:val="24"/>
          <w:szCs w:val="24"/>
        </w:rPr>
        <w:t>their</w:t>
      </w:r>
      <w:r w:rsidR="00BA7727">
        <w:rPr>
          <w:rFonts w:ascii="Times New Roman" w:hAnsi="Times New Roman" w:cs="Times New Roman"/>
          <w:sz w:val="24"/>
          <w:szCs w:val="24"/>
        </w:rPr>
        <w:t xml:space="preserve"> analysis that the concoction was not toxic or poisonous.</w:t>
      </w:r>
    </w:p>
    <w:p w:rsidR="00BA7727" w:rsidRDefault="002B60EB" w:rsidP="00A338FA">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court however,</w:t>
      </w:r>
      <w:r w:rsidR="00BA7727">
        <w:rPr>
          <w:rFonts w:ascii="Times New Roman" w:hAnsi="Times New Roman" w:cs="Times New Roman"/>
          <w:sz w:val="24"/>
          <w:szCs w:val="24"/>
        </w:rPr>
        <w:t xml:space="preserve"> and as usual</w:t>
      </w:r>
      <w:r w:rsidR="00302CF9">
        <w:rPr>
          <w:rFonts w:ascii="Times New Roman" w:hAnsi="Times New Roman" w:cs="Times New Roman"/>
          <w:sz w:val="24"/>
          <w:szCs w:val="24"/>
        </w:rPr>
        <w:t>,</w:t>
      </w:r>
      <w:r w:rsidR="00BA7727">
        <w:rPr>
          <w:rFonts w:ascii="Times New Roman" w:hAnsi="Times New Roman" w:cs="Times New Roman"/>
          <w:sz w:val="24"/>
          <w:szCs w:val="24"/>
        </w:rPr>
        <w:t xml:space="preserve"> will not condone the loss of life that was so special.  Traditional healers, faith healers and prophets alike will better be warned that the courts will not look aside as they at times experiment with people’s lives.  Negligence that leads to the death of a human being, let alone a child will not be tolerated.  </w:t>
      </w:r>
      <w:r w:rsidR="00BA7727" w:rsidRPr="002B60EB">
        <w:rPr>
          <w:rFonts w:ascii="Times New Roman" w:hAnsi="Times New Roman" w:cs="Times New Roman"/>
          <w:i/>
          <w:sz w:val="24"/>
          <w:szCs w:val="24"/>
        </w:rPr>
        <w:t>In casu</w:t>
      </w:r>
      <w:r w:rsidR="00BA7727">
        <w:rPr>
          <w:rFonts w:ascii="Times New Roman" w:hAnsi="Times New Roman" w:cs="Times New Roman"/>
          <w:sz w:val="24"/>
          <w:szCs w:val="24"/>
        </w:rPr>
        <w:t>, the child could not communicate effectively as she was dumb and the accused should have taken extra precaution.</w:t>
      </w:r>
    </w:p>
    <w:p w:rsidR="00D41D9B" w:rsidRDefault="00BA7727" w:rsidP="00A338F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They are each sentenced to four (4) years imprisonment which is wholly suspended for 5 years on condition she is not, within that period, convicted of an offence involving the negligent killing of another person, for which upon conviction, she is sentenced to a term of imprisonment without the option of a fine. </w:t>
      </w:r>
      <w:r w:rsidR="00D41D9B">
        <w:rPr>
          <w:rFonts w:ascii="Times New Roman" w:hAnsi="Times New Roman" w:cs="Times New Roman"/>
          <w:sz w:val="24"/>
          <w:szCs w:val="24"/>
        </w:rPr>
        <w:t xml:space="preserve">  </w:t>
      </w:r>
    </w:p>
    <w:p w:rsidR="00835F3F" w:rsidRDefault="00835F3F" w:rsidP="00A338FA">
      <w:pPr>
        <w:spacing w:line="360" w:lineRule="auto"/>
        <w:ind w:left="720"/>
        <w:jc w:val="both"/>
        <w:rPr>
          <w:rFonts w:ascii="Times New Roman" w:hAnsi="Times New Roman" w:cs="Times New Roman"/>
          <w:sz w:val="24"/>
          <w:szCs w:val="24"/>
        </w:rPr>
      </w:pPr>
    </w:p>
    <w:p w:rsidR="002B60EB" w:rsidRDefault="002B60EB" w:rsidP="00A338FA">
      <w:pPr>
        <w:pStyle w:val="NoSpacing"/>
        <w:jc w:val="both"/>
        <w:rPr>
          <w:rFonts w:ascii="Times New Roman" w:hAnsi="Times New Roman" w:cs="Times New Roman"/>
          <w:i/>
        </w:rPr>
      </w:pPr>
    </w:p>
    <w:p w:rsidR="00835F3F" w:rsidRPr="00835F3F" w:rsidRDefault="00835F3F" w:rsidP="00A338FA">
      <w:pPr>
        <w:pStyle w:val="NoSpacing"/>
        <w:jc w:val="both"/>
        <w:rPr>
          <w:rFonts w:ascii="Times New Roman" w:hAnsi="Times New Roman" w:cs="Times New Roman"/>
        </w:rPr>
      </w:pPr>
      <w:r w:rsidRPr="00835F3F">
        <w:rPr>
          <w:rFonts w:ascii="Times New Roman" w:hAnsi="Times New Roman" w:cs="Times New Roman"/>
          <w:i/>
        </w:rPr>
        <w:t>National Prosecuting Authority</w:t>
      </w:r>
      <w:r w:rsidRPr="00835F3F">
        <w:rPr>
          <w:rFonts w:ascii="Times New Roman" w:hAnsi="Times New Roman" w:cs="Times New Roman"/>
        </w:rPr>
        <w:t>, state’s legal practitioners</w:t>
      </w:r>
    </w:p>
    <w:p w:rsidR="00835F3F" w:rsidRPr="00835F3F" w:rsidRDefault="00835F3F" w:rsidP="00A338FA">
      <w:pPr>
        <w:pStyle w:val="NoSpacing"/>
        <w:jc w:val="both"/>
        <w:rPr>
          <w:rFonts w:ascii="Times New Roman" w:hAnsi="Times New Roman" w:cs="Times New Roman"/>
        </w:rPr>
      </w:pPr>
      <w:r w:rsidRPr="00835F3F">
        <w:rPr>
          <w:rFonts w:ascii="Times New Roman" w:hAnsi="Times New Roman" w:cs="Times New Roman"/>
          <w:i/>
        </w:rPr>
        <w:t>Messrs Shenje and Company</w:t>
      </w:r>
      <w:r w:rsidRPr="00835F3F">
        <w:rPr>
          <w:rFonts w:ascii="Times New Roman" w:hAnsi="Times New Roman" w:cs="Times New Roman"/>
        </w:rPr>
        <w:t>, accused’s legal practitioners</w:t>
      </w:r>
    </w:p>
    <w:sectPr w:rsidR="00835F3F" w:rsidRPr="00835F3F" w:rsidSect="0009033B">
      <w:headerReference w:type="default" r:id="rId7"/>
      <w:pgSz w:w="11906" w:h="16838"/>
      <w:pgMar w:top="1440" w:right="1196"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007" w:rsidRDefault="00D67007" w:rsidP="00A338FA">
      <w:pPr>
        <w:spacing w:after="0" w:line="240" w:lineRule="auto"/>
      </w:pPr>
      <w:r>
        <w:separator/>
      </w:r>
    </w:p>
  </w:endnote>
  <w:endnote w:type="continuationSeparator" w:id="1">
    <w:p w:rsidR="00D67007" w:rsidRDefault="00D67007" w:rsidP="00A33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007" w:rsidRDefault="00D67007" w:rsidP="00A338FA">
      <w:pPr>
        <w:spacing w:after="0" w:line="240" w:lineRule="auto"/>
      </w:pPr>
      <w:r>
        <w:separator/>
      </w:r>
    </w:p>
  </w:footnote>
  <w:footnote w:type="continuationSeparator" w:id="1">
    <w:p w:rsidR="00D67007" w:rsidRDefault="00D67007" w:rsidP="00A338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2525383"/>
      <w:docPartObj>
        <w:docPartGallery w:val="Page Numbers (Top of Page)"/>
        <w:docPartUnique/>
      </w:docPartObj>
    </w:sdtPr>
    <w:sdtContent>
      <w:p w:rsidR="00A901F5" w:rsidRPr="00A338FA" w:rsidRDefault="00A901F5">
        <w:pPr>
          <w:pStyle w:val="Header"/>
          <w:jc w:val="right"/>
          <w:rPr>
            <w:rFonts w:ascii="Times New Roman" w:hAnsi="Times New Roman" w:cs="Times New Roman"/>
            <w:sz w:val="24"/>
            <w:szCs w:val="24"/>
          </w:rPr>
        </w:pPr>
        <w:r w:rsidRPr="00A338FA">
          <w:rPr>
            <w:rFonts w:ascii="Times New Roman" w:hAnsi="Times New Roman" w:cs="Times New Roman"/>
            <w:sz w:val="24"/>
            <w:szCs w:val="24"/>
          </w:rPr>
          <w:fldChar w:fldCharType="begin"/>
        </w:r>
        <w:r w:rsidRPr="00A338FA">
          <w:rPr>
            <w:rFonts w:ascii="Times New Roman" w:hAnsi="Times New Roman" w:cs="Times New Roman"/>
            <w:sz w:val="24"/>
            <w:szCs w:val="24"/>
          </w:rPr>
          <w:instrText xml:space="preserve"> PAGE   \* MERGEFORMAT </w:instrText>
        </w:r>
        <w:r w:rsidRPr="00A338FA">
          <w:rPr>
            <w:rFonts w:ascii="Times New Roman" w:hAnsi="Times New Roman" w:cs="Times New Roman"/>
            <w:sz w:val="24"/>
            <w:szCs w:val="24"/>
          </w:rPr>
          <w:fldChar w:fldCharType="separate"/>
        </w:r>
        <w:r w:rsidR="00DA39B5">
          <w:rPr>
            <w:rFonts w:ascii="Times New Roman" w:hAnsi="Times New Roman" w:cs="Times New Roman"/>
            <w:noProof/>
            <w:sz w:val="24"/>
            <w:szCs w:val="24"/>
          </w:rPr>
          <w:t>4</w:t>
        </w:r>
        <w:r w:rsidRPr="00A338FA">
          <w:rPr>
            <w:rFonts w:ascii="Times New Roman" w:hAnsi="Times New Roman" w:cs="Times New Roman"/>
            <w:sz w:val="24"/>
            <w:szCs w:val="24"/>
          </w:rPr>
          <w:fldChar w:fldCharType="end"/>
        </w:r>
      </w:p>
      <w:p w:rsidR="00A901F5" w:rsidRPr="00A338FA" w:rsidRDefault="00A901F5">
        <w:pPr>
          <w:pStyle w:val="Header"/>
          <w:jc w:val="right"/>
          <w:rPr>
            <w:rFonts w:ascii="Times New Roman" w:hAnsi="Times New Roman" w:cs="Times New Roman"/>
            <w:sz w:val="24"/>
            <w:szCs w:val="24"/>
          </w:rPr>
        </w:pPr>
        <w:r w:rsidRPr="00A338FA">
          <w:rPr>
            <w:rFonts w:ascii="Times New Roman" w:hAnsi="Times New Roman" w:cs="Times New Roman"/>
            <w:sz w:val="24"/>
            <w:szCs w:val="24"/>
          </w:rPr>
          <w:t>HB 46.20</w:t>
        </w:r>
      </w:p>
      <w:p w:rsidR="00A901F5" w:rsidRPr="00A338FA" w:rsidRDefault="00A901F5">
        <w:pPr>
          <w:pStyle w:val="Header"/>
          <w:jc w:val="right"/>
          <w:rPr>
            <w:rFonts w:ascii="Times New Roman" w:hAnsi="Times New Roman" w:cs="Times New Roman"/>
            <w:sz w:val="24"/>
            <w:szCs w:val="24"/>
          </w:rPr>
        </w:pPr>
        <w:r w:rsidRPr="00A338FA">
          <w:rPr>
            <w:rFonts w:ascii="Times New Roman" w:hAnsi="Times New Roman" w:cs="Times New Roman"/>
            <w:sz w:val="24"/>
            <w:szCs w:val="24"/>
          </w:rPr>
          <w:t>HC (CRB) 21/20</w:t>
        </w:r>
      </w:p>
      <w:p w:rsidR="00A901F5" w:rsidRPr="00A338FA" w:rsidRDefault="00A901F5">
        <w:pPr>
          <w:pStyle w:val="Header"/>
          <w:jc w:val="right"/>
          <w:rPr>
            <w:rFonts w:ascii="Times New Roman" w:hAnsi="Times New Roman" w:cs="Times New Roman"/>
            <w:sz w:val="24"/>
            <w:szCs w:val="24"/>
          </w:rPr>
        </w:pPr>
        <w:r w:rsidRPr="00A338FA">
          <w:rPr>
            <w:rFonts w:ascii="Times New Roman" w:hAnsi="Times New Roman" w:cs="Times New Roman"/>
            <w:sz w:val="24"/>
            <w:szCs w:val="24"/>
          </w:rPr>
          <w:t>CR NO. 49/03/18</w:t>
        </w:r>
      </w:p>
    </w:sdtContent>
  </w:sdt>
  <w:p w:rsidR="00A901F5" w:rsidRDefault="00A901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C7A86"/>
    <w:multiLevelType w:val="hybridMultilevel"/>
    <w:tmpl w:val="5E229162"/>
    <w:lvl w:ilvl="0" w:tplc="330840E8">
      <w:start w:val="1"/>
      <w:numFmt w:val="lowerLetter"/>
      <w:lvlText w:val="(%1)"/>
      <w:lvlJc w:val="left"/>
      <w:pPr>
        <w:ind w:left="1080" w:hanging="360"/>
      </w:pPr>
      <w:rPr>
        <w:rFonts w:ascii="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26A40"/>
    <w:rsid w:val="0008296A"/>
    <w:rsid w:val="0009033B"/>
    <w:rsid w:val="000F119C"/>
    <w:rsid w:val="000F3B94"/>
    <w:rsid w:val="001065F7"/>
    <w:rsid w:val="0010795A"/>
    <w:rsid w:val="0013375B"/>
    <w:rsid w:val="0017224D"/>
    <w:rsid w:val="001A22DC"/>
    <w:rsid w:val="001D08C3"/>
    <w:rsid w:val="001E7B5E"/>
    <w:rsid w:val="001F7DB7"/>
    <w:rsid w:val="002130A9"/>
    <w:rsid w:val="00245715"/>
    <w:rsid w:val="00273A11"/>
    <w:rsid w:val="002A1551"/>
    <w:rsid w:val="002B369D"/>
    <w:rsid w:val="002B60EB"/>
    <w:rsid w:val="00302CF9"/>
    <w:rsid w:val="00371690"/>
    <w:rsid w:val="00374A2D"/>
    <w:rsid w:val="00375BDF"/>
    <w:rsid w:val="003829EE"/>
    <w:rsid w:val="003F0037"/>
    <w:rsid w:val="00401A1B"/>
    <w:rsid w:val="004151E4"/>
    <w:rsid w:val="004D59CB"/>
    <w:rsid w:val="005427F1"/>
    <w:rsid w:val="005B263D"/>
    <w:rsid w:val="00642462"/>
    <w:rsid w:val="006E5B47"/>
    <w:rsid w:val="007310DD"/>
    <w:rsid w:val="0075103D"/>
    <w:rsid w:val="00787849"/>
    <w:rsid w:val="007C5505"/>
    <w:rsid w:val="00835F3F"/>
    <w:rsid w:val="00894610"/>
    <w:rsid w:val="008E388E"/>
    <w:rsid w:val="00932B12"/>
    <w:rsid w:val="00A00FCC"/>
    <w:rsid w:val="00A338FA"/>
    <w:rsid w:val="00A756F6"/>
    <w:rsid w:val="00A901F5"/>
    <w:rsid w:val="00A94602"/>
    <w:rsid w:val="00A97786"/>
    <w:rsid w:val="00AC540E"/>
    <w:rsid w:val="00AF66A1"/>
    <w:rsid w:val="00B015F2"/>
    <w:rsid w:val="00B22A0A"/>
    <w:rsid w:val="00B25067"/>
    <w:rsid w:val="00BA7727"/>
    <w:rsid w:val="00D07B1C"/>
    <w:rsid w:val="00D20C47"/>
    <w:rsid w:val="00D41D9B"/>
    <w:rsid w:val="00D42DFB"/>
    <w:rsid w:val="00D62D1E"/>
    <w:rsid w:val="00D67007"/>
    <w:rsid w:val="00DA39B5"/>
    <w:rsid w:val="00DB5D77"/>
    <w:rsid w:val="00E07876"/>
    <w:rsid w:val="00E26A40"/>
    <w:rsid w:val="00EF3410"/>
    <w:rsid w:val="00F47018"/>
    <w:rsid w:val="00FA59E8"/>
    <w:rsid w:val="00FD5FDC"/>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A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6A40"/>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10795A"/>
    <w:pPr>
      <w:ind w:left="720"/>
      <w:contextualSpacing/>
    </w:pPr>
  </w:style>
  <w:style w:type="paragraph" w:styleId="Header">
    <w:name w:val="header"/>
    <w:basedOn w:val="Normal"/>
    <w:link w:val="HeaderChar"/>
    <w:uiPriority w:val="99"/>
    <w:unhideWhenUsed/>
    <w:rsid w:val="00A3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8FA"/>
  </w:style>
  <w:style w:type="paragraph" w:styleId="Footer">
    <w:name w:val="footer"/>
    <w:basedOn w:val="Normal"/>
    <w:link w:val="FooterChar"/>
    <w:uiPriority w:val="99"/>
    <w:semiHidden/>
    <w:unhideWhenUsed/>
    <w:rsid w:val="00A338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38FA"/>
  </w:style>
</w:styles>
</file>

<file path=word/webSettings.xml><?xml version="1.0" encoding="utf-8"?>
<w:webSettings xmlns:r="http://schemas.openxmlformats.org/officeDocument/2006/relationships" xmlns:w="http://schemas.openxmlformats.org/wordprocessingml/2006/main">
  <w:divs>
    <w:div w:id="115429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5</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11</cp:revision>
  <dcterms:created xsi:type="dcterms:W3CDTF">2020-03-09T12:13:00Z</dcterms:created>
  <dcterms:modified xsi:type="dcterms:W3CDTF">2020-03-17T08:33:00Z</dcterms:modified>
</cp:coreProperties>
</file>