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13F" w:rsidRDefault="0007413F" w:rsidP="00EC136A">
      <w:pPr>
        <w:pStyle w:val="NoSpacing"/>
        <w:jc w:val="both"/>
        <w:rPr>
          <w:b/>
          <w:szCs w:val="24"/>
        </w:rPr>
      </w:pPr>
      <w:r>
        <w:rPr>
          <w:b/>
          <w:szCs w:val="24"/>
        </w:rPr>
        <w:t>THE STATE</w:t>
      </w:r>
    </w:p>
    <w:p w:rsidR="0007413F" w:rsidRDefault="0007413F" w:rsidP="00EC136A">
      <w:pPr>
        <w:pStyle w:val="NoSpacing"/>
        <w:jc w:val="both"/>
        <w:rPr>
          <w:b/>
          <w:szCs w:val="24"/>
        </w:rPr>
      </w:pPr>
    </w:p>
    <w:p w:rsidR="0007413F" w:rsidRDefault="0007413F" w:rsidP="00EC136A">
      <w:pPr>
        <w:pStyle w:val="NoSpacing"/>
        <w:jc w:val="both"/>
        <w:rPr>
          <w:b/>
          <w:szCs w:val="24"/>
        </w:rPr>
      </w:pPr>
    </w:p>
    <w:p w:rsidR="0007413F" w:rsidRDefault="0007413F" w:rsidP="00EC136A">
      <w:pPr>
        <w:pStyle w:val="NoSpacing"/>
        <w:jc w:val="both"/>
        <w:rPr>
          <w:b/>
          <w:szCs w:val="24"/>
        </w:rPr>
      </w:pPr>
      <w:r>
        <w:rPr>
          <w:b/>
          <w:szCs w:val="24"/>
        </w:rPr>
        <w:t>Versus</w:t>
      </w:r>
    </w:p>
    <w:p w:rsidR="0007413F" w:rsidRDefault="0007413F" w:rsidP="00EC136A">
      <w:pPr>
        <w:pStyle w:val="NoSpacing"/>
        <w:jc w:val="both"/>
        <w:rPr>
          <w:b/>
          <w:szCs w:val="24"/>
        </w:rPr>
      </w:pPr>
    </w:p>
    <w:p w:rsidR="0007413F" w:rsidRDefault="0007413F" w:rsidP="00EC136A">
      <w:pPr>
        <w:pStyle w:val="NoSpacing"/>
        <w:jc w:val="both"/>
        <w:rPr>
          <w:b/>
          <w:szCs w:val="24"/>
        </w:rPr>
      </w:pPr>
    </w:p>
    <w:p w:rsidR="0007413F" w:rsidRDefault="0007413F" w:rsidP="00EC136A">
      <w:pPr>
        <w:pStyle w:val="NoSpacing"/>
        <w:jc w:val="both"/>
        <w:rPr>
          <w:b/>
          <w:szCs w:val="24"/>
        </w:rPr>
      </w:pPr>
      <w:r>
        <w:rPr>
          <w:b/>
          <w:szCs w:val="24"/>
        </w:rPr>
        <w:t>ROBSON DZIWAPASI</w:t>
      </w:r>
    </w:p>
    <w:p w:rsidR="0007413F" w:rsidRDefault="0007413F" w:rsidP="00EC136A">
      <w:pPr>
        <w:pStyle w:val="NoSpacing"/>
        <w:jc w:val="both"/>
        <w:rPr>
          <w:szCs w:val="24"/>
        </w:rPr>
      </w:pPr>
    </w:p>
    <w:p w:rsidR="0007413F" w:rsidRDefault="0007413F" w:rsidP="00EC136A">
      <w:pPr>
        <w:pStyle w:val="NoSpacing"/>
        <w:jc w:val="both"/>
        <w:rPr>
          <w:szCs w:val="24"/>
        </w:rPr>
      </w:pPr>
    </w:p>
    <w:p w:rsidR="0007413F" w:rsidRDefault="0007413F" w:rsidP="00EC136A">
      <w:pPr>
        <w:pStyle w:val="NoSpacing"/>
        <w:jc w:val="both"/>
        <w:rPr>
          <w:szCs w:val="24"/>
        </w:rPr>
      </w:pPr>
      <w:r>
        <w:rPr>
          <w:szCs w:val="24"/>
        </w:rPr>
        <w:t>IN THE HIGH COURT OF ZIMBABWE</w:t>
      </w:r>
    </w:p>
    <w:p w:rsidR="0007413F" w:rsidRDefault="0007413F" w:rsidP="00EC136A">
      <w:pPr>
        <w:pStyle w:val="NoSpacing"/>
        <w:jc w:val="both"/>
        <w:rPr>
          <w:szCs w:val="24"/>
        </w:rPr>
      </w:pPr>
    </w:p>
    <w:p w:rsidR="0007413F" w:rsidRDefault="0007413F" w:rsidP="00EC136A">
      <w:pPr>
        <w:pStyle w:val="NoSpacing"/>
        <w:jc w:val="both"/>
        <w:rPr>
          <w:szCs w:val="24"/>
        </w:rPr>
      </w:pPr>
      <w:r>
        <w:rPr>
          <w:szCs w:val="24"/>
        </w:rPr>
        <w:t>MAKONESE J</w:t>
      </w:r>
    </w:p>
    <w:p w:rsidR="0007413F" w:rsidRDefault="0007413F" w:rsidP="00EC136A">
      <w:pPr>
        <w:pStyle w:val="NoSpacing"/>
        <w:jc w:val="both"/>
        <w:rPr>
          <w:szCs w:val="24"/>
        </w:rPr>
      </w:pPr>
    </w:p>
    <w:p w:rsidR="0007413F" w:rsidRDefault="00F04E3D" w:rsidP="00EC136A">
      <w:pPr>
        <w:pStyle w:val="NoSpacing"/>
        <w:jc w:val="both"/>
        <w:rPr>
          <w:szCs w:val="24"/>
        </w:rPr>
      </w:pPr>
      <w:r>
        <w:rPr>
          <w:szCs w:val="24"/>
        </w:rPr>
        <w:t>BULAWAYO 15</w:t>
      </w:r>
      <w:r w:rsidR="0007413F">
        <w:rPr>
          <w:szCs w:val="24"/>
        </w:rPr>
        <w:t xml:space="preserve"> SEPTEMBER 2022</w:t>
      </w:r>
      <w:r>
        <w:rPr>
          <w:szCs w:val="24"/>
        </w:rPr>
        <w:t xml:space="preserve"> </w:t>
      </w:r>
    </w:p>
    <w:p w:rsidR="0007413F" w:rsidRDefault="0007413F" w:rsidP="00EC136A">
      <w:pPr>
        <w:pStyle w:val="NoSpacing"/>
        <w:jc w:val="both"/>
        <w:rPr>
          <w:szCs w:val="24"/>
        </w:rPr>
      </w:pPr>
    </w:p>
    <w:p w:rsidR="0007413F" w:rsidRDefault="0007413F" w:rsidP="00EC136A">
      <w:pPr>
        <w:pStyle w:val="NoSpacing"/>
        <w:jc w:val="both"/>
        <w:rPr>
          <w:b/>
          <w:szCs w:val="24"/>
        </w:rPr>
      </w:pPr>
    </w:p>
    <w:p w:rsidR="0007413F" w:rsidRDefault="0007413F" w:rsidP="00EC136A">
      <w:pPr>
        <w:pStyle w:val="NoSpacing"/>
        <w:jc w:val="both"/>
        <w:rPr>
          <w:b/>
          <w:szCs w:val="24"/>
        </w:rPr>
      </w:pPr>
    </w:p>
    <w:p w:rsidR="0007413F" w:rsidRDefault="0007413F" w:rsidP="00EC136A">
      <w:pPr>
        <w:pStyle w:val="NoSpacing"/>
        <w:jc w:val="both"/>
        <w:rPr>
          <w:b/>
          <w:szCs w:val="24"/>
        </w:rPr>
      </w:pPr>
      <w:r>
        <w:rPr>
          <w:b/>
          <w:szCs w:val="24"/>
        </w:rPr>
        <w:t xml:space="preserve">Criminal Review </w:t>
      </w:r>
    </w:p>
    <w:p w:rsidR="0007413F" w:rsidRDefault="0007413F" w:rsidP="00EC136A">
      <w:pPr>
        <w:pStyle w:val="NoSpacing"/>
        <w:jc w:val="both"/>
        <w:rPr>
          <w:szCs w:val="24"/>
        </w:rPr>
      </w:pPr>
    </w:p>
    <w:p w:rsidR="0007413F" w:rsidRDefault="0007413F" w:rsidP="00EC136A">
      <w:pPr>
        <w:pStyle w:val="NoSpacing"/>
        <w:jc w:val="both"/>
        <w:rPr>
          <w:i/>
          <w:szCs w:val="24"/>
        </w:rPr>
      </w:pPr>
    </w:p>
    <w:p w:rsidR="0007413F" w:rsidRDefault="0007413F" w:rsidP="00EC136A">
      <w:pPr>
        <w:spacing w:line="480" w:lineRule="auto"/>
        <w:ind w:firstLine="720"/>
        <w:jc w:val="both"/>
        <w:rPr>
          <w:rFonts w:ascii="Times New Roman" w:hAnsi="Times New Roman" w:cs="Times New Roman"/>
          <w:sz w:val="24"/>
          <w:szCs w:val="24"/>
        </w:rPr>
      </w:pPr>
      <w:r>
        <w:rPr>
          <w:rFonts w:ascii="Times New Roman" w:hAnsi="Times New Roman" w:cs="Times New Roman"/>
          <w:b/>
          <w:sz w:val="24"/>
          <w:szCs w:val="24"/>
        </w:rPr>
        <w:t>MAKONESE J</w:t>
      </w:r>
      <w:r>
        <w:rPr>
          <w:rFonts w:ascii="Times New Roman" w:hAnsi="Times New Roman" w:cs="Times New Roman"/>
          <w:sz w:val="24"/>
          <w:szCs w:val="24"/>
        </w:rPr>
        <w:t xml:space="preserve">: </w:t>
      </w:r>
      <w:r>
        <w:rPr>
          <w:rFonts w:ascii="Times New Roman" w:hAnsi="Times New Roman" w:cs="Times New Roman"/>
          <w:sz w:val="24"/>
          <w:szCs w:val="24"/>
        </w:rPr>
        <w:tab/>
        <w:t>The accused appeared before a Magistrate at Gokwe on 19</w:t>
      </w:r>
      <w:r w:rsidRPr="0007413F">
        <w:rPr>
          <w:rFonts w:ascii="Times New Roman" w:hAnsi="Times New Roman" w:cs="Times New Roman"/>
          <w:sz w:val="24"/>
          <w:szCs w:val="24"/>
          <w:vertAlign w:val="superscript"/>
        </w:rPr>
        <w:t>th</w:t>
      </w:r>
      <w:r>
        <w:rPr>
          <w:rFonts w:ascii="Times New Roman" w:hAnsi="Times New Roman" w:cs="Times New Roman"/>
          <w:sz w:val="24"/>
          <w:szCs w:val="24"/>
        </w:rPr>
        <w:t xml:space="preserve"> July 2022 facing a charge of contravening section 131 of the Criminal Law Codification and Reform Act (Chapter 9:23).  The applicant pleaded guilty and was convicted as charged.  He was sentenced to 9 months imprisonment of which 3 months was suspended for 5 years on condition of good behavior.</w:t>
      </w:r>
    </w:p>
    <w:p w:rsidR="0007413F" w:rsidRDefault="0007413F" w:rsidP="00EC136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Scrutinising Regional Magistrate has queried the propriety of the charge.  The charge against the accused was framed as follows:-</w:t>
      </w:r>
    </w:p>
    <w:p w:rsidR="0007413F" w:rsidRDefault="0007413F" w:rsidP="00EC136A">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“In that on the 27</w:t>
      </w:r>
      <w:r w:rsidRPr="0007413F">
        <w:rPr>
          <w:rFonts w:ascii="Times New Roman" w:hAnsi="Times New Roman" w:cs="Times New Roman"/>
          <w:sz w:val="24"/>
          <w:szCs w:val="24"/>
          <w:vertAlign w:val="superscript"/>
        </w:rPr>
        <w:t>th</w:t>
      </w:r>
      <w:r>
        <w:rPr>
          <w:rFonts w:ascii="Times New Roman" w:hAnsi="Times New Roman" w:cs="Times New Roman"/>
          <w:sz w:val="24"/>
          <w:szCs w:val="24"/>
        </w:rPr>
        <w:t xml:space="preserve"> day of June 2022 an</w:t>
      </w:r>
      <w:r w:rsidR="00F97977">
        <w:rPr>
          <w:rFonts w:ascii="Times New Roman" w:hAnsi="Times New Roman" w:cs="Times New Roman"/>
          <w:sz w:val="24"/>
          <w:szCs w:val="24"/>
        </w:rPr>
        <w:t>d at 3559 Sasame</w:t>
      </w:r>
      <w:r w:rsidR="005249A0">
        <w:rPr>
          <w:rFonts w:ascii="Times New Roman" w:hAnsi="Times New Roman" w:cs="Times New Roman"/>
          <w:sz w:val="24"/>
          <w:szCs w:val="24"/>
        </w:rPr>
        <w:t>,</w:t>
      </w:r>
      <w:r w:rsidR="00F97977">
        <w:rPr>
          <w:rFonts w:ascii="Times New Roman" w:hAnsi="Times New Roman" w:cs="Times New Roman"/>
          <w:sz w:val="24"/>
          <w:szCs w:val="24"/>
        </w:rPr>
        <w:t xml:space="preserve"> Gokwe, Robson Dziw</w:t>
      </w:r>
      <w:r>
        <w:rPr>
          <w:rFonts w:ascii="Times New Roman" w:hAnsi="Times New Roman" w:cs="Times New Roman"/>
          <w:sz w:val="24"/>
          <w:szCs w:val="24"/>
        </w:rPr>
        <w:t>apasi unlawfully, intentionally and without permission or authority from Judah Mlangeni, the lawful occ</w:t>
      </w:r>
      <w:r w:rsidR="005249A0">
        <w:rPr>
          <w:rFonts w:ascii="Times New Roman" w:hAnsi="Times New Roman" w:cs="Times New Roman"/>
          <w:sz w:val="24"/>
          <w:szCs w:val="24"/>
        </w:rPr>
        <w:t>upier of the premises concerned</w:t>
      </w:r>
      <w:r>
        <w:rPr>
          <w:rFonts w:ascii="Times New Roman" w:hAnsi="Times New Roman" w:cs="Times New Roman"/>
          <w:sz w:val="24"/>
          <w:szCs w:val="24"/>
        </w:rPr>
        <w:t xml:space="preserve"> or without the lawful</w:t>
      </w:r>
      <w:r w:rsidR="003E3A94">
        <w:rPr>
          <w:rFonts w:ascii="Times New Roman" w:hAnsi="Times New Roman" w:cs="Times New Roman"/>
          <w:sz w:val="24"/>
          <w:szCs w:val="24"/>
        </w:rPr>
        <w:t xml:space="preserve"> authority entered Judah Mlangeni’s premises at 3559 Sasame</w:t>
      </w:r>
      <w:r w:rsidR="005249A0">
        <w:rPr>
          <w:rFonts w:ascii="Times New Roman" w:hAnsi="Times New Roman" w:cs="Times New Roman"/>
          <w:sz w:val="24"/>
          <w:szCs w:val="24"/>
        </w:rPr>
        <w:t>,</w:t>
      </w:r>
      <w:r w:rsidR="003E3A94">
        <w:rPr>
          <w:rFonts w:ascii="Times New Roman" w:hAnsi="Times New Roman" w:cs="Times New Roman"/>
          <w:sz w:val="24"/>
          <w:szCs w:val="24"/>
        </w:rPr>
        <w:t xml:space="preserve"> Gokwe by jumping the fence into the yard.”</w:t>
      </w:r>
      <w:r>
        <w:rPr>
          <w:rFonts w:ascii="Times New Roman" w:hAnsi="Times New Roman" w:cs="Times New Roman"/>
          <w:sz w:val="24"/>
          <w:szCs w:val="24"/>
        </w:rPr>
        <w:t xml:space="preserve"> </w:t>
      </w:r>
    </w:p>
    <w:p w:rsidR="003E3A94" w:rsidRDefault="003E3A94" w:rsidP="00EC136A">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The facts as gleaned from the outline of the state case are these:-</w:t>
      </w:r>
    </w:p>
    <w:p w:rsidR="003E3A94" w:rsidRDefault="003E3A94" w:rsidP="00EC136A">
      <w:pPr>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t>On the 27</w:t>
      </w:r>
      <w:r w:rsidRPr="003E3A94">
        <w:rPr>
          <w:rFonts w:ascii="Times New Roman" w:hAnsi="Times New Roman" w:cs="Times New Roman"/>
          <w:sz w:val="24"/>
          <w:szCs w:val="24"/>
          <w:vertAlign w:val="superscript"/>
        </w:rPr>
        <w:t>th</w:t>
      </w:r>
      <w:r>
        <w:rPr>
          <w:rFonts w:ascii="Times New Roman" w:hAnsi="Times New Roman" w:cs="Times New Roman"/>
          <w:sz w:val="24"/>
          <w:szCs w:val="24"/>
        </w:rPr>
        <w:t xml:space="preserve"> of June 2022 at around 0300 hours complainant was asleep at his homestead when he heard an unusual sound outside his house.</w:t>
      </w:r>
    </w:p>
    <w:p w:rsidR="003E3A94" w:rsidRDefault="003E3A94" w:rsidP="00EC136A">
      <w:pPr>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Complainant opened his curtain and discovered that the accused person was unscrewing </w:t>
      </w:r>
      <w:r w:rsidR="00F97977">
        <w:rPr>
          <w:rFonts w:ascii="Times New Roman" w:hAnsi="Times New Roman" w:cs="Times New Roman"/>
          <w:sz w:val="24"/>
          <w:szCs w:val="24"/>
        </w:rPr>
        <w:t>nuts on</w:t>
      </w:r>
      <w:r>
        <w:rPr>
          <w:rFonts w:ascii="Times New Roman" w:hAnsi="Times New Roman" w:cs="Times New Roman"/>
          <w:sz w:val="24"/>
          <w:szCs w:val="24"/>
        </w:rPr>
        <w:t xml:space="preserve"> the wheel of his Toyota motor vehicle.</w:t>
      </w:r>
    </w:p>
    <w:p w:rsidR="003E3A94" w:rsidRDefault="003E3A94" w:rsidP="00EC136A">
      <w:pPr>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Complainant and his two sons gave chase and caught up with the accused.</w:t>
      </w:r>
    </w:p>
    <w:p w:rsidR="00A422FA" w:rsidRDefault="00A422FA" w:rsidP="00EC136A">
      <w:pPr>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Accused was taken to the police</w:t>
      </w:r>
      <w:r w:rsidR="005249A0">
        <w:rPr>
          <w:rFonts w:ascii="Times New Roman" w:hAnsi="Times New Roman" w:cs="Times New Roman"/>
          <w:sz w:val="24"/>
          <w:szCs w:val="24"/>
        </w:rPr>
        <w:t xml:space="preserve"> station</w:t>
      </w:r>
      <w:r>
        <w:rPr>
          <w:rFonts w:ascii="Times New Roman" w:hAnsi="Times New Roman" w:cs="Times New Roman"/>
          <w:sz w:val="24"/>
          <w:szCs w:val="24"/>
        </w:rPr>
        <w:t xml:space="preserve"> where he was arrested and detained.</w:t>
      </w:r>
    </w:p>
    <w:p w:rsidR="00A422FA" w:rsidRDefault="00A422FA" w:rsidP="00EC136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Accused was taken to court and the charge was read to him as framed above and he admitted the allegations.  He was convicted and sentenced on his own plea of guilty.  The facts of the case are silent on how the offence was committed.  When canvassing the essential elements of the offence the following questions were put to the accused:-</w:t>
      </w:r>
    </w:p>
    <w:p w:rsidR="00A422FA" w:rsidRDefault="00A422FA" w:rsidP="00EC136A">
      <w:pPr>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“Q -</w:t>
      </w:r>
      <w:r>
        <w:rPr>
          <w:rFonts w:ascii="Times New Roman" w:hAnsi="Times New Roman" w:cs="Times New Roman"/>
          <w:sz w:val="24"/>
          <w:szCs w:val="24"/>
        </w:rPr>
        <w:tab/>
        <w:t>It is alleged that on the 27</w:t>
      </w:r>
      <w:r w:rsidRPr="00A422FA">
        <w:rPr>
          <w:rFonts w:ascii="Times New Roman" w:hAnsi="Times New Roman" w:cs="Times New Roman"/>
          <w:sz w:val="24"/>
          <w:szCs w:val="24"/>
          <w:vertAlign w:val="superscript"/>
        </w:rPr>
        <w:t>th</w:t>
      </w:r>
      <w:r>
        <w:rPr>
          <w:rFonts w:ascii="Times New Roman" w:hAnsi="Times New Roman" w:cs="Times New Roman"/>
          <w:sz w:val="24"/>
          <w:szCs w:val="24"/>
        </w:rPr>
        <w:t xml:space="preserve"> of June 2022 you enter</w:t>
      </w:r>
      <w:r w:rsidR="00F97977">
        <w:rPr>
          <w:rFonts w:ascii="Times New Roman" w:hAnsi="Times New Roman" w:cs="Times New Roman"/>
          <w:sz w:val="24"/>
          <w:szCs w:val="24"/>
        </w:rPr>
        <w:t>e</w:t>
      </w:r>
      <w:r>
        <w:rPr>
          <w:rFonts w:ascii="Times New Roman" w:hAnsi="Times New Roman" w:cs="Times New Roman"/>
          <w:sz w:val="24"/>
          <w:szCs w:val="24"/>
        </w:rPr>
        <w:t>d into the complainant’s premises at 3559 Sasame</w:t>
      </w:r>
      <w:r w:rsidR="005249A0">
        <w:rPr>
          <w:rFonts w:ascii="Times New Roman" w:hAnsi="Times New Roman" w:cs="Times New Roman"/>
          <w:sz w:val="24"/>
          <w:szCs w:val="24"/>
        </w:rPr>
        <w:t>,</w:t>
      </w:r>
      <w:r>
        <w:rPr>
          <w:rFonts w:ascii="Times New Roman" w:hAnsi="Times New Roman" w:cs="Times New Roman"/>
          <w:sz w:val="24"/>
          <w:szCs w:val="24"/>
        </w:rPr>
        <w:t xml:space="preserve"> Gokwe without permission?</w:t>
      </w:r>
    </w:p>
    <w:p w:rsidR="00A422FA" w:rsidRDefault="00A422FA" w:rsidP="00EC136A">
      <w:pPr>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Do you understand the charge?</w:t>
      </w:r>
    </w:p>
    <w:p w:rsidR="00A422FA" w:rsidRDefault="00A422FA" w:rsidP="00EC136A">
      <w:pPr>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sz w:val="24"/>
          <w:szCs w:val="24"/>
        </w:rPr>
        <w:tab/>
        <w:t>Yes</w:t>
      </w:r>
    </w:p>
    <w:p w:rsidR="00A422FA" w:rsidRDefault="00A422FA" w:rsidP="00EC136A">
      <w:pPr>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Plea – Guilty 271 (2) (b) of the Act.”</w:t>
      </w:r>
    </w:p>
    <w:p w:rsidR="00A422FA" w:rsidRDefault="00A422FA" w:rsidP="00EC136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777F17">
        <w:rPr>
          <w:rFonts w:ascii="Times New Roman" w:hAnsi="Times New Roman" w:cs="Times New Roman"/>
          <w:sz w:val="24"/>
          <w:szCs w:val="24"/>
        </w:rPr>
        <w:t xml:space="preserve"> learned Magistrate</w:t>
      </w:r>
      <w:r>
        <w:rPr>
          <w:rFonts w:ascii="Times New Roman" w:hAnsi="Times New Roman" w:cs="Times New Roman"/>
          <w:sz w:val="24"/>
          <w:szCs w:val="24"/>
        </w:rPr>
        <w:t xml:space="preserve"> seemed to have failed to realise that on the facts as read to the accused and as framed in the charge sheet the accused did not enter the premises at complainant’s residence.  Section 131 (1) of the Criminal L</w:t>
      </w:r>
      <w:r w:rsidR="00C87955">
        <w:rPr>
          <w:rFonts w:ascii="Times New Roman" w:hAnsi="Times New Roman" w:cs="Times New Roman"/>
          <w:sz w:val="24"/>
          <w:szCs w:val="24"/>
        </w:rPr>
        <w:t>aw (Codification and Reform, Act</w:t>
      </w:r>
      <w:r>
        <w:rPr>
          <w:rFonts w:ascii="Times New Roman" w:hAnsi="Times New Roman" w:cs="Times New Roman"/>
          <w:sz w:val="24"/>
          <w:szCs w:val="24"/>
        </w:rPr>
        <w:t xml:space="preserve"> (Chapter 9:23) provides that:-</w:t>
      </w:r>
    </w:p>
    <w:p w:rsidR="00A422FA" w:rsidRDefault="00A422FA" w:rsidP="00EC136A">
      <w:pPr>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r>
      <w:proofErr w:type="gramStart"/>
      <w:r>
        <w:rPr>
          <w:rFonts w:ascii="Times New Roman" w:hAnsi="Times New Roman" w:cs="Times New Roman"/>
          <w:sz w:val="24"/>
          <w:szCs w:val="24"/>
        </w:rPr>
        <w:t>Any</w:t>
      </w:r>
      <w:proofErr w:type="gramEnd"/>
      <w:r>
        <w:rPr>
          <w:rFonts w:ascii="Times New Roman" w:hAnsi="Times New Roman" w:cs="Times New Roman"/>
          <w:sz w:val="24"/>
          <w:szCs w:val="24"/>
        </w:rPr>
        <w:t xml:space="preserve"> person who intentionally and without permission or authority from the lawful occupier </w:t>
      </w:r>
      <w:r w:rsidR="007F63E9">
        <w:rPr>
          <w:rFonts w:ascii="Times New Roman" w:hAnsi="Times New Roman" w:cs="Times New Roman"/>
          <w:sz w:val="24"/>
          <w:szCs w:val="24"/>
        </w:rPr>
        <w:t>of the premises concerned, or without other lawful authority, enters the premises shall be guilty of unlawful entry into premises…”</w:t>
      </w:r>
    </w:p>
    <w:p w:rsidR="007F63E9" w:rsidRDefault="007F63E9" w:rsidP="00EC136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section </w:t>
      </w:r>
      <w:r w:rsidR="002E18DE">
        <w:rPr>
          <w:rFonts w:ascii="Times New Roman" w:hAnsi="Times New Roman" w:cs="Times New Roman"/>
          <w:sz w:val="24"/>
          <w:szCs w:val="24"/>
        </w:rPr>
        <w:t>criminalises</w:t>
      </w:r>
      <w:r>
        <w:rPr>
          <w:rFonts w:ascii="Times New Roman" w:hAnsi="Times New Roman" w:cs="Times New Roman"/>
          <w:sz w:val="24"/>
          <w:szCs w:val="24"/>
        </w:rPr>
        <w:t xml:space="preserve"> entry into premises as defined in section 130 of the Criminal Law (Codification and Reform) Act as follows:-</w:t>
      </w:r>
    </w:p>
    <w:p w:rsidR="007F63E9" w:rsidRDefault="007F63E9" w:rsidP="00EC136A">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“Premises” – means any movable or immovable building or structure which is used for human habitation or for storage, and includes an out building, a shed, a caravan, a boat or a tent.</w:t>
      </w:r>
    </w:p>
    <w:p w:rsidR="007F63E9" w:rsidRDefault="007F63E9" w:rsidP="00EC136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definition of what constitutes “premises”</w:t>
      </w:r>
      <w:r w:rsidR="00574278">
        <w:rPr>
          <w:rFonts w:ascii="Times New Roman" w:hAnsi="Times New Roman" w:cs="Times New Roman"/>
          <w:sz w:val="24"/>
          <w:szCs w:val="24"/>
        </w:rPr>
        <w:t xml:space="preserve"> is</w:t>
      </w:r>
      <w:r>
        <w:rPr>
          <w:rFonts w:ascii="Times New Roman" w:hAnsi="Times New Roman" w:cs="Times New Roman"/>
          <w:sz w:val="24"/>
          <w:szCs w:val="24"/>
        </w:rPr>
        <w:t xml:space="preserve"> clearly set out in the Act, and its meaning is unambiguous.</w:t>
      </w:r>
    </w:p>
    <w:p w:rsidR="007F63E9" w:rsidRDefault="007F63E9" w:rsidP="00EC136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C87955">
        <w:rPr>
          <w:rFonts w:ascii="Times New Roman" w:hAnsi="Times New Roman" w:cs="Times New Roman"/>
          <w:i/>
          <w:sz w:val="24"/>
          <w:szCs w:val="24"/>
        </w:rPr>
        <w:t>S</w:t>
      </w:r>
      <w:r>
        <w:rPr>
          <w:rFonts w:ascii="Times New Roman" w:hAnsi="Times New Roman" w:cs="Times New Roman"/>
          <w:sz w:val="24"/>
          <w:szCs w:val="24"/>
        </w:rPr>
        <w:t xml:space="preserve"> v </w:t>
      </w:r>
      <w:r w:rsidRPr="00C87955">
        <w:rPr>
          <w:rFonts w:ascii="Times New Roman" w:hAnsi="Times New Roman" w:cs="Times New Roman"/>
          <w:i/>
          <w:sz w:val="24"/>
          <w:szCs w:val="24"/>
        </w:rPr>
        <w:t>Garanewako</w:t>
      </w:r>
      <w:r>
        <w:rPr>
          <w:rFonts w:ascii="Times New Roman" w:hAnsi="Times New Roman" w:cs="Times New Roman"/>
          <w:sz w:val="24"/>
          <w:szCs w:val="24"/>
        </w:rPr>
        <w:t xml:space="preserve"> 2010 (1) ZLR 395 (H), M</w:t>
      </w:r>
      <w:r w:rsidRPr="00C87955">
        <w:rPr>
          <w:rFonts w:ascii="Times New Roman" w:hAnsi="Times New Roman" w:cs="Times New Roman"/>
          <w:sz w:val="20"/>
          <w:szCs w:val="20"/>
        </w:rPr>
        <w:t>UTEMA J</w:t>
      </w:r>
      <w:r>
        <w:rPr>
          <w:rFonts w:ascii="Times New Roman" w:hAnsi="Times New Roman" w:cs="Times New Roman"/>
          <w:sz w:val="24"/>
          <w:szCs w:val="24"/>
        </w:rPr>
        <w:t xml:space="preserve"> had this to say in interpreting the sec</w:t>
      </w:r>
      <w:r w:rsidR="00B252D4">
        <w:rPr>
          <w:rFonts w:ascii="Times New Roman" w:hAnsi="Times New Roman" w:cs="Times New Roman"/>
          <w:sz w:val="24"/>
          <w:szCs w:val="24"/>
        </w:rPr>
        <w:t>tion, in similar circumstances:</w:t>
      </w:r>
    </w:p>
    <w:p w:rsidR="007F63E9" w:rsidRPr="006746A7" w:rsidRDefault="007F63E9" w:rsidP="00EC136A">
      <w:pPr>
        <w:spacing w:line="480" w:lineRule="auto"/>
        <w:ind w:left="720"/>
        <w:jc w:val="both"/>
        <w:rPr>
          <w:rFonts w:ascii="Times New Roman" w:hAnsi="Times New Roman" w:cs="Times New Roman"/>
          <w:i/>
          <w:sz w:val="24"/>
          <w:szCs w:val="24"/>
        </w:rPr>
      </w:pPr>
      <w:r w:rsidRPr="006746A7">
        <w:rPr>
          <w:rFonts w:ascii="Times New Roman" w:hAnsi="Times New Roman" w:cs="Times New Roman"/>
          <w:i/>
          <w:sz w:val="24"/>
          <w:szCs w:val="24"/>
        </w:rPr>
        <w:t>“Now, the definition of “premises” in section 130 above is so clear and unambiguous that it admits of no other rule of interpretation except the ordinary grammatical</w:t>
      </w:r>
      <w:r w:rsidR="006E1549">
        <w:rPr>
          <w:rFonts w:ascii="Times New Roman" w:hAnsi="Times New Roman" w:cs="Times New Roman"/>
          <w:i/>
          <w:sz w:val="24"/>
          <w:szCs w:val="24"/>
        </w:rPr>
        <w:t xml:space="preserve"> meaning of the words employed. </w:t>
      </w:r>
      <w:r w:rsidRPr="006746A7">
        <w:rPr>
          <w:rFonts w:ascii="Times New Roman" w:hAnsi="Times New Roman" w:cs="Times New Roman"/>
          <w:i/>
          <w:sz w:val="24"/>
          <w:szCs w:val="24"/>
        </w:rPr>
        <w:t xml:space="preserve"> Premises</w:t>
      </w:r>
      <w:r w:rsidR="006E1549">
        <w:rPr>
          <w:rFonts w:ascii="Times New Roman" w:hAnsi="Times New Roman" w:cs="Times New Roman"/>
          <w:i/>
          <w:sz w:val="24"/>
          <w:szCs w:val="24"/>
        </w:rPr>
        <w:t xml:space="preserve"> </w:t>
      </w:r>
      <w:r w:rsidRPr="006746A7">
        <w:rPr>
          <w:rFonts w:ascii="Times New Roman" w:hAnsi="Times New Roman" w:cs="Times New Roman"/>
          <w:i/>
          <w:sz w:val="24"/>
          <w:szCs w:val="24"/>
        </w:rPr>
        <w:t>for purposes of unlawful entry means any movable or immovable building or structure used for human habitation or storage.  Apart from those</w:t>
      </w:r>
      <w:r w:rsidR="00B252D4" w:rsidRPr="006746A7">
        <w:rPr>
          <w:rFonts w:ascii="Times New Roman" w:hAnsi="Times New Roman" w:cs="Times New Roman"/>
          <w:i/>
          <w:sz w:val="24"/>
          <w:szCs w:val="24"/>
        </w:rPr>
        <w:t xml:space="preserve"> structures mentioned in the section the term also includes such structures as a house or store-room-buildings or structures ordinarily used for human habitation and storage of property…” </w:t>
      </w:r>
    </w:p>
    <w:p w:rsidR="00B252D4" w:rsidRDefault="00B252D4" w:rsidP="00EC136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learned Judge in the </w:t>
      </w:r>
      <w:r w:rsidRPr="00C87955">
        <w:rPr>
          <w:rFonts w:ascii="Times New Roman" w:hAnsi="Times New Roman" w:cs="Times New Roman"/>
          <w:i/>
          <w:sz w:val="24"/>
          <w:szCs w:val="24"/>
        </w:rPr>
        <w:t xml:space="preserve">Garanewako </w:t>
      </w:r>
      <w:r>
        <w:rPr>
          <w:rFonts w:ascii="Times New Roman" w:hAnsi="Times New Roman" w:cs="Times New Roman"/>
          <w:sz w:val="24"/>
          <w:szCs w:val="24"/>
        </w:rPr>
        <w:t xml:space="preserve">case examined a number of authorities including </w:t>
      </w:r>
      <w:r w:rsidRPr="00C87955">
        <w:rPr>
          <w:rFonts w:ascii="Times New Roman" w:hAnsi="Times New Roman" w:cs="Times New Roman"/>
          <w:i/>
          <w:sz w:val="24"/>
          <w:szCs w:val="24"/>
        </w:rPr>
        <w:t>R.V. Piet Mitech</w:t>
      </w:r>
      <w:r>
        <w:rPr>
          <w:rFonts w:ascii="Times New Roman" w:hAnsi="Times New Roman" w:cs="Times New Roman"/>
          <w:sz w:val="24"/>
          <w:szCs w:val="24"/>
        </w:rPr>
        <w:t xml:space="preserve"> 1912 TPD 1132, where a tent wagon used as a residence for a person or his family was held to be a structure and therefore a dwelling house within the </w:t>
      </w:r>
      <w:r>
        <w:rPr>
          <w:rFonts w:ascii="Times New Roman" w:hAnsi="Times New Roman" w:cs="Times New Roman"/>
          <w:sz w:val="24"/>
          <w:szCs w:val="24"/>
        </w:rPr>
        <w:lastRenderedPageBreak/>
        <w:t xml:space="preserve">meaning of the relevant statute for </w:t>
      </w:r>
      <w:r w:rsidR="007C4631">
        <w:rPr>
          <w:rFonts w:ascii="Times New Roman" w:hAnsi="Times New Roman" w:cs="Times New Roman"/>
          <w:sz w:val="24"/>
          <w:szCs w:val="24"/>
        </w:rPr>
        <w:t xml:space="preserve">the purpose of an offence of housebreaking.  In </w:t>
      </w:r>
      <w:r w:rsidR="007C4631" w:rsidRPr="00C87955">
        <w:rPr>
          <w:rFonts w:ascii="Times New Roman" w:hAnsi="Times New Roman" w:cs="Times New Roman"/>
          <w:i/>
          <w:sz w:val="24"/>
          <w:szCs w:val="24"/>
        </w:rPr>
        <w:t>Rex</w:t>
      </w:r>
      <w:r w:rsidR="007C4631">
        <w:rPr>
          <w:rFonts w:ascii="Times New Roman" w:hAnsi="Times New Roman" w:cs="Times New Roman"/>
          <w:sz w:val="24"/>
          <w:szCs w:val="24"/>
        </w:rPr>
        <w:t xml:space="preserve"> </w:t>
      </w:r>
      <w:proofErr w:type="gramStart"/>
      <w:r w:rsidR="007C4631">
        <w:rPr>
          <w:rFonts w:ascii="Times New Roman" w:hAnsi="Times New Roman" w:cs="Times New Roman"/>
          <w:sz w:val="24"/>
          <w:szCs w:val="24"/>
        </w:rPr>
        <w:t>v</w:t>
      </w:r>
      <w:proofErr w:type="gramEnd"/>
      <w:r w:rsidR="007C4631">
        <w:rPr>
          <w:rFonts w:ascii="Times New Roman" w:hAnsi="Times New Roman" w:cs="Times New Roman"/>
          <w:sz w:val="24"/>
          <w:szCs w:val="24"/>
        </w:rPr>
        <w:t xml:space="preserve"> </w:t>
      </w:r>
      <w:r w:rsidR="007C4631" w:rsidRPr="00C87955">
        <w:rPr>
          <w:rFonts w:ascii="Times New Roman" w:hAnsi="Times New Roman" w:cs="Times New Roman"/>
          <w:i/>
          <w:sz w:val="24"/>
          <w:szCs w:val="24"/>
        </w:rPr>
        <w:t>Makoelman</w:t>
      </w:r>
      <w:r w:rsidR="007C4631">
        <w:rPr>
          <w:rFonts w:ascii="Times New Roman" w:hAnsi="Times New Roman" w:cs="Times New Roman"/>
          <w:sz w:val="24"/>
          <w:szCs w:val="24"/>
        </w:rPr>
        <w:t xml:space="preserve"> 1932 EDC 194, the accused was convicted of house breaking with intent to steal and theft (our present day unlawful entry into premises).  The evidence showed that the accused broke open a yard </w:t>
      </w:r>
      <w:r w:rsidR="00E01596">
        <w:rPr>
          <w:rFonts w:ascii="Times New Roman" w:hAnsi="Times New Roman" w:cs="Times New Roman"/>
          <w:sz w:val="24"/>
          <w:szCs w:val="24"/>
        </w:rPr>
        <w:t xml:space="preserve">door (equivalent of a </w:t>
      </w:r>
      <w:proofErr w:type="spellStart"/>
      <w:r w:rsidR="00E01596">
        <w:rPr>
          <w:rFonts w:ascii="Times New Roman" w:hAnsi="Times New Roman" w:cs="Times New Roman"/>
          <w:sz w:val="24"/>
          <w:szCs w:val="24"/>
        </w:rPr>
        <w:t>durawall</w:t>
      </w:r>
      <w:proofErr w:type="spellEnd"/>
      <w:r w:rsidR="00E01596">
        <w:rPr>
          <w:rFonts w:ascii="Times New Roman" w:hAnsi="Times New Roman" w:cs="Times New Roman"/>
          <w:sz w:val="24"/>
          <w:szCs w:val="24"/>
        </w:rPr>
        <w:t xml:space="preserve"> </w:t>
      </w:r>
      <w:r w:rsidR="007C4631">
        <w:rPr>
          <w:rFonts w:ascii="Times New Roman" w:hAnsi="Times New Roman" w:cs="Times New Roman"/>
          <w:sz w:val="24"/>
          <w:szCs w:val="24"/>
        </w:rPr>
        <w:t xml:space="preserve">gate) and stole a ladder kept in </w:t>
      </w:r>
      <w:proofErr w:type="gramStart"/>
      <w:r w:rsidR="007C4631">
        <w:rPr>
          <w:rFonts w:ascii="Times New Roman" w:hAnsi="Times New Roman" w:cs="Times New Roman"/>
          <w:sz w:val="24"/>
          <w:szCs w:val="24"/>
        </w:rPr>
        <w:t xml:space="preserve">a  </w:t>
      </w:r>
      <w:r w:rsidR="00C87955">
        <w:rPr>
          <w:rFonts w:ascii="Times New Roman" w:hAnsi="Times New Roman" w:cs="Times New Roman"/>
          <w:sz w:val="24"/>
          <w:szCs w:val="24"/>
        </w:rPr>
        <w:t>cellar</w:t>
      </w:r>
      <w:proofErr w:type="gramEnd"/>
      <w:r w:rsidR="00C87955">
        <w:rPr>
          <w:rFonts w:ascii="Times New Roman" w:hAnsi="Times New Roman" w:cs="Times New Roman"/>
          <w:sz w:val="24"/>
          <w:szCs w:val="24"/>
        </w:rPr>
        <w:t xml:space="preserve"> </w:t>
      </w:r>
      <w:r w:rsidR="007C4631">
        <w:rPr>
          <w:rFonts w:ascii="Times New Roman" w:hAnsi="Times New Roman" w:cs="Times New Roman"/>
          <w:sz w:val="24"/>
          <w:szCs w:val="24"/>
        </w:rPr>
        <w:t>(an underground room ordinarily used for storage especially for wine).  It was not shown that the cellar door was locked or closed or even that it had a door.  It was held that the evidence was consistent with the cellar having been entered through an open door, window or other aperture, or the ladder having projected from the cellar and having been removed with entry of the cellar, and as the breaking into the yard was not house breaking, the conviction was altered to “not guilty of housebreaking; and guilty of “theft.”</w:t>
      </w:r>
    </w:p>
    <w:p w:rsidR="00E36FD5" w:rsidRDefault="007C4631" w:rsidP="00EC136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that in this matter the learned Magistrate, who has conceded the error on his part, did not apply his mind to the facts.  As shown in the above</w:t>
      </w:r>
      <w:r w:rsidR="004E12D0">
        <w:rPr>
          <w:rFonts w:ascii="Times New Roman" w:hAnsi="Times New Roman" w:cs="Times New Roman"/>
          <w:sz w:val="24"/>
          <w:szCs w:val="24"/>
        </w:rPr>
        <w:t xml:space="preserve"> cited</w:t>
      </w:r>
      <w:r>
        <w:rPr>
          <w:rFonts w:ascii="Times New Roman" w:hAnsi="Times New Roman" w:cs="Times New Roman"/>
          <w:sz w:val="24"/>
          <w:szCs w:val="24"/>
        </w:rPr>
        <w:t xml:space="preserve"> authorities entry into the yard did not constitute the offence of unlawful entry as contemplated under section 131 of the Code.  The accused in this case entered the yard by</w:t>
      </w:r>
      <w:r w:rsidR="00E36FD5">
        <w:rPr>
          <w:rFonts w:ascii="Times New Roman" w:hAnsi="Times New Roman" w:cs="Times New Roman"/>
          <w:sz w:val="24"/>
          <w:szCs w:val="24"/>
        </w:rPr>
        <w:t xml:space="preserve"> jumping a fence.  There is no other evidence that he went beyond the yard into any building or other structure.  In such circumstances the offence committed is criminal trespass as defined in section 132 of the Code.</w:t>
      </w:r>
    </w:p>
    <w:p w:rsidR="007C4631" w:rsidRDefault="00E36FD5" w:rsidP="00EC136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Section 132 provides that:</w:t>
      </w:r>
    </w:p>
    <w:p w:rsidR="00E36FD5" w:rsidRDefault="00E36FD5" w:rsidP="00EC136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“132. Criminal trespass </w:t>
      </w:r>
    </w:p>
    <w:p w:rsidR="00E36FD5" w:rsidRPr="00E36FD5" w:rsidRDefault="00E36FD5" w:rsidP="00EC136A">
      <w:pPr>
        <w:pStyle w:val="ListParagraph"/>
        <w:numPr>
          <w:ilvl w:val="0"/>
          <w:numId w:val="1"/>
        </w:numPr>
        <w:spacing w:line="480" w:lineRule="auto"/>
        <w:jc w:val="both"/>
        <w:rPr>
          <w:rFonts w:ascii="Times New Roman" w:hAnsi="Times New Roman" w:cs="Times New Roman"/>
          <w:sz w:val="24"/>
          <w:szCs w:val="24"/>
        </w:rPr>
      </w:pPr>
      <w:r w:rsidRPr="00E36FD5">
        <w:rPr>
          <w:rFonts w:ascii="Times New Roman" w:hAnsi="Times New Roman" w:cs="Times New Roman"/>
          <w:sz w:val="24"/>
          <w:szCs w:val="24"/>
        </w:rPr>
        <w:t>Any person who:</w:t>
      </w:r>
    </w:p>
    <w:p w:rsidR="00E36FD5" w:rsidRDefault="00E36FD5" w:rsidP="00EC136A">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enters any land knowing or realizing that there is a real risk or possibility that such entry is forbidden</w:t>
      </w:r>
    </w:p>
    <w:p w:rsidR="00E36FD5" w:rsidRDefault="00E36FD5" w:rsidP="00EC136A">
      <w:pPr>
        <w:pStyle w:val="ListParagraph"/>
        <w:spacing w:line="480" w:lineRule="auto"/>
        <w:ind w:left="2160"/>
        <w:jc w:val="both"/>
        <w:rPr>
          <w:rFonts w:ascii="Times New Roman" w:hAnsi="Times New Roman" w:cs="Times New Roman"/>
          <w:sz w:val="24"/>
          <w:szCs w:val="24"/>
        </w:rPr>
      </w:pPr>
      <w:proofErr w:type="gramStart"/>
      <w:r>
        <w:rPr>
          <w:rFonts w:ascii="Times New Roman" w:hAnsi="Times New Roman" w:cs="Times New Roman"/>
          <w:sz w:val="24"/>
          <w:szCs w:val="24"/>
        </w:rPr>
        <w:t>or</w:t>
      </w:r>
      <w:proofErr w:type="gramEnd"/>
    </w:p>
    <w:p w:rsidR="00E36FD5" w:rsidRDefault="00E36FD5" w:rsidP="00EC136A">
      <w:pPr>
        <w:spacing w:line="480" w:lineRule="auto"/>
        <w:ind w:left="2160" w:hanging="720"/>
        <w:jc w:val="both"/>
        <w:rPr>
          <w:rFonts w:ascii="Times New Roman" w:hAnsi="Times New Roman" w:cs="Times New Roman"/>
          <w:sz w:val="24"/>
          <w:szCs w:val="24"/>
        </w:rPr>
      </w:pPr>
      <w:r>
        <w:rPr>
          <w:rFonts w:ascii="Times New Roman" w:hAnsi="Times New Roman" w:cs="Times New Roman"/>
          <w:sz w:val="24"/>
          <w:szCs w:val="24"/>
        </w:rPr>
        <w:lastRenderedPageBreak/>
        <w:t>(b)</w:t>
      </w:r>
      <w:r>
        <w:rPr>
          <w:rFonts w:ascii="Times New Roman" w:hAnsi="Times New Roman" w:cs="Times New Roman"/>
          <w:sz w:val="24"/>
          <w:szCs w:val="24"/>
        </w:rPr>
        <w:tab/>
        <w:t>having entered any land, fails or refuses without lawful excuse to leave the land when called upon to do so by the lawful occupier or any other person with apparent au</w:t>
      </w:r>
      <w:r w:rsidR="00EF34BC">
        <w:rPr>
          <w:rFonts w:ascii="Times New Roman" w:hAnsi="Times New Roman" w:cs="Times New Roman"/>
          <w:sz w:val="24"/>
          <w:szCs w:val="24"/>
        </w:rPr>
        <w:t>thority to require him or her to leave;</w:t>
      </w:r>
    </w:p>
    <w:p w:rsidR="00EF34BC" w:rsidRDefault="00EF34BC" w:rsidP="00EC136A">
      <w:pPr>
        <w:spacing w:line="480" w:lineRule="auto"/>
        <w:ind w:left="2160" w:hanging="720"/>
        <w:jc w:val="both"/>
        <w:rPr>
          <w:rFonts w:ascii="Times New Roman" w:hAnsi="Times New Roman" w:cs="Times New Roman"/>
          <w:sz w:val="24"/>
          <w:szCs w:val="24"/>
        </w:rPr>
      </w:pPr>
      <w:r>
        <w:rPr>
          <w:rFonts w:ascii="Times New Roman" w:hAnsi="Times New Roman" w:cs="Times New Roman"/>
          <w:sz w:val="24"/>
          <w:szCs w:val="24"/>
        </w:rPr>
        <w:tab/>
      </w:r>
      <w:proofErr w:type="gramStart"/>
      <w:r w:rsidR="00C87955">
        <w:rPr>
          <w:rFonts w:ascii="Times New Roman" w:hAnsi="Times New Roman" w:cs="Times New Roman"/>
          <w:sz w:val="24"/>
          <w:szCs w:val="24"/>
        </w:rPr>
        <w:t>s</w:t>
      </w:r>
      <w:r>
        <w:rPr>
          <w:rFonts w:ascii="Times New Roman" w:hAnsi="Times New Roman" w:cs="Times New Roman"/>
          <w:sz w:val="24"/>
          <w:szCs w:val="24"/>
        </w:rPr>
        <w:t>hall</w:t>
      </w:r>
      <w:proofErr w:type="gramEnd"/>
      <w:r>
        <w:rPr>
          <w:rFonts w:ascii="Times New Roman" w:hAnsi="Times New Roman" w:cs="Times New Roman"/>
          <w:sz w:val="24"/>
          <w:szCs w:val="24"/>
        </w:rPr>
        <w:t xml:space="preserve"> be guilty of an offence and liable to a fine not exceeding level five or imprisonment for a period not exceeding 6 months or both.”</w:t>
      </w:r>
    </w:p>
    <w:p w:rsidR="00EF34BC" w:rsidRDefault="00EF34BC" w:rsidP="00EC136A">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 do not consider it necessary to proceed to charge the accused on the alternative charge.  For the purpose of this </w:t>
      </w:r>
      <w:r w:rsidR="00DA51F1">
        <w:rPr>
          <w:rFonts w:ascii="Times New Roman" w:hAnsi="Times New Roman" w:cs="Times New Roman"/>
          <w:sz w:val="24"/>
          <w:szCs w:val="24"/>
        </w:rPr>
        <w:t>review judgment I shall simply quash the proceedings and set aside the sentence.  It is hoped that this judgment is brought to the attention of the Chief Magistrate for circulation to Magistrates.</w:t>
      </w:r>
    </w:p>
    <w:p w:rsidR="00DA51F1" w:rsidRDefault="00DA51F1" w:rsidP="00EC136A">
      <w:pPr>
        <w:spacing w:line="480" w:lineRule="auto"/>
        <w:jc w:val="both"/>
        <w:rPr>
          <w:rFonts w:ascii="Times New Roman" w:hAnsi="Times New Roman" w:cs="Times New Roman"/>
          <w:sz w:val="24"/>
          <w:szCs w:val="24"/>
        </w:rPr>
      </w:pPr>
      <w:r>
        <w:rPr>
          <w:rFonts w:ascii="Times New Roman" w:hAnsi="Times New Roman" w:cs="Times New Roman"/>
          <w:sz w:val="24"/>
          <w:szCs w:val="24"/>
        </w:rPr>
        <w:tab/>
        <w:t>In the circumstances I make the following order:</w:t>
      </w:r>
    </w:p>
    <w:p w:rsidR="00DA51F1" w:rsidRDefault="00DA51F1" w:rsidP="00EC136A">
      <w:pPr>
        <w:spacing w:line="48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The proceedings are quashed.</w:t>
      </w:r>
    </w:p>
    <w:p w:rsidR="00DA51F1" w:rsidRDefault="00DA51F1" w:rsidP="00EC136A">
      <w:pPr>
        <w:spacing w:line="480" w:lineRule="auto"/>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The conviction and sentence is set aside.</w:t>
      </w:r>
    </w:p>
    <w:p w:rsidR="00DA51F1" w:rsidRDefault="00DA51F1" w:rsidP="00EC136A">
      <w:pPr>
        <w:spacing w:line="480" w:lineRule="auto"/>
        <w:jc w:val="both"/>
        <w:rPr>
          <w:rFonts w:ascii="Times New Roman" w:hAnsi="Times New Roman" w:cs="Times New Roman"/>
          <w:sz w:val="24"/>
          <w:szCs w:val="24"/>
        </w:rPr>
      </w:pPr>
    </w:p>
    <w:p w:rsidR="00DA51F1" w:rsidRDefault="00DA51F1" w:rsidP="00C87955">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Makonese</w:t>
      </w:r>
      <w:proofErr w:type="spellEnd"/>
      <w:r>
        <w:rPr>
          <w:rFonts w:ascii="Times New Roman" w:hAnsi="Times New Roman" w:cs="Times New Roman"/>
          <w:sz w:val="24"/>
          <w:szCs w:val="24"/>
        </w:rPr>
        <w:t xml:space="preserve"> J………………………………</w:t>
      </w:r>
    </w:p>
    <w:p w:rsidR="00DA51F1" w:rsidRDefault="00DA51F1" w:rsidP="00EC136A">
      <w:pPr>
        <w:spacing w:line="480" w:lineRule="auto"/>
        <w:jc w:val="both"/>
        <w:rPr>
          <w:rFonts w:ascii="Times New Roman" w:hAnsi="Times New Roman" w:cs="Times New Roman"/>
          <w:sz w:val="24"/>
          <w:szCs w:val="24"/>
        </w:rPr>
      </w:pPr>
    </w:p>
    <w:p w:rsidR="00DA51F1" w:rsidRPr="00E36FD5" w:rsidRDefault="00C87955" w:rsidP="00C8795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DA51F1">
        <w:rPr>
          <w:rFonts w:ascii="Times New Roman" w:hAnsi="Times New Roman" w:cs="Times New Roman"/>
          <w:sz w:val="24"/>
          <w:szCs w:val="24"/>
        </w:rPr>
        <w:t>Moyo</w:t>
      </w:r>
      <w:proofErr w:type="spellEnd"/>
      <w:r w:rsidR="00DA51F1">
        <w:rPr>
          <w:rFonts w:ascii="Times New Roman" w:hAnsi="Times New Roman" w:cs="Times New Roman"/>
          <w:sz w:val="24"/>
          <w:szCs w:val="24"/>
        </w:rPr>
        <w:t xml:space="preserve"> J………………………………… Agre</w:t>
      </w:r>
      <w:bookmarkStart w:id="0" w:name="_GoBack"/>
      <w:bookmarkEnd w:id="0"/>
      <w:r w:rsidR="00DA51F1">
        <w:rPr>
          <w:rFonts w:ascii="Times New Roman" w:hAnsi="Times New Roman" w:cs="Times New Roman"/>
          <w:sz w:val="24"/>
          <w:szCs w:val="24"/>
        </w:rPr>
        <w:t>es</w:t>
      </w:r>
    </w:p>
    <w:p w:rsidR="00223694" w:rsidRDefault="00223694" w:rsidP="00DA51F1">
      <w:pPr>
        <w:jc w:val="center"/>
      </w:pPr>
    </w:p>
    <w:sectPr w:rsidR="00223694" w:rsidSect="00485B7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611" w:rsidRDefault="00CF1611" w:rsidP="00EC136A">
      <w:pPr>
        <w:spacing w:after="0" w:line="240" w:lineRule="auto"/>
      </w:pPr>
      <w:r>
        <w:separator/>
      </w:r>
    </w:p>
  </w:endnote>
  <w:endnote w:type="continuationSeparator" w:id="0">
    <w:p w:rsidR="00CF1611" w:rsidRDefault="00CF1611" w:rsidP="00EC1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611" w:rsidRDefault="00CF1611" w:rsidP="00EC136A">
      <w:pPr>
        <w:spacing w:after="0" w:line="240" w:lineRule="auto"/>
      </w:pPr>
      <w:r>
        <w:separator/>
      </w:r>
    </w:p>
  </w:footnote>
  <w:footnote w:type="continuationSeparator" w:id="0">
    <w:p w:rsidR="00CF1611" w:rsidRDefault="00CF1611" w:rsidP="00EC13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0268413"/>
      <w:docPartObj>
        <w:docPartGallery w:val="Page Numbers (Top of Page)"/>
        <w:docPartUnique/>
      </w:docPartObj>
    </w:sdtPr>
    <w:sdtEndPr>
      <w:rPr>
        <w:rFonts w:ascii="Times New Roman" w:hAnsi="Times New Roman" w:cs="Times New Roman"/>
        <w:noProof/>
      </w:rPr>
    </w:sdtEndPr>
    <w:sdtContent>
      <w:p w:rsidR="00EC136A" w:rsidRPr="00EC136A" w:rsidRDefault="00485B79">
        <w:pPr>
          <w:pStyle w:val="Header"/>
          <w:jc w:val="right"/>
          <w:rPr>
            <w:rFonts w:ascii="Times New Roman" w:hAnsi="Times New Roman" w:cs="Times New Roman"/>
            <w:noProof/>
          </w:rPr>
        </w:pPr>
        <w:r w:rsidRPr="00EC136A">
          <w:rPr>
            <w:rFonts w:ascii="Times New Roman" w:hAnsi="Times New Roman" w:cs="Times New Roman"/>
          </w:rPr>
          <w:fldChar w:fldCharType="begin"/>
        </w:r>
        <w:r w:rsidR="00EC136A" w:rsidRPr="00EC136A">
          <w:rPr>
            <w:rFonts w:ascii="Times New Roman" w:hAnsi="Times New Roman" w:cs="Times New Roman"/>
          </w:rPr>
          <w:instrText xml:space="preserve"> PAGE   \* MERGEFORMAT </w:instrText>
        </w:r>
        <w:r w:rsidRPr="00EC136A">
          <w:rPr>
            <w:rFonts w:ascii="Times New Roman" w:hAnsi="Times New Roman" w:cs="Times New Roman"/>
          </w:rPr>
          <w:fldChar w:fldCharType="separate"/>
        </w:r>
        <w:r w:rsidR="009162ED">
          <w:rPr>
            <w:rFonts w:ascii="Times New Roman" w:hAnsi="Times New Roman" w:cs="Times New Roman"/>
            <w:noProof/>
          </w:rPr>
          <w:t>4</w:t>
        </w:r>
        <w:r w:rsidRPr="00EC136A">
          <w:rPr>
            <w:rFonts w:ascii="Times New Roman" w:hAnsi="Times New Roman" w:cs="Times New Roman"/>
            <w:noProof/>
          </w:rPr>
          <w:fldChar w:fldCharType="end"/>
        </w:r>
      </w:p>
      <w:p w:rsidR="00EC136A" w:rsidRPr="00EC136A" w:rsidRDefault="00EC136A">
        <w:pPr>
          <w:pStyle w:val="Header"/>
          <w:jc w:val="right"/>
          <w:rPr>
            <w:rFonts w:ascii="Times New Roman" w:hAnsi="Times New Roman" w:cs="Times New Roman"/>
            <w:noProof/>
          </w:rPr>
        </w:pPr>
        <w:r w:rsidRPr="00EC136A">
          <w:rPr>
            <w:rFonts w:ascii="Times New Roman" w:hAnsi="Times New Roman" w:cs="Times New Roman"/>
            <w:noProof/>
          </w:rPr>
          <w:t>HB</w:t>
        </w:r>
        <w:r w:rsidR="00F8661F">
          <w:rPr>
            <w:rFonts w:ascii="Times New Roman" w:hAnsi="Times New Roman" w:cs="Times New Roman"/>
            <w:noProof/>
          </w:rPr>
          <w:t xml:space="preserve"> 238/22</w:t>
        </w:r>
      </w:p>
      <w:p w:rsidR="00EC136A" w:rsidRPr="00EC136A" w:rsidRDefault="00EC136A">
        <w:pPr>
          <w:pStyle w:val="Header"/>
          <w:jc w:val="right"/>
          <w:rPr>
            <w:rFonts w:ascii="Times New Roman" w:hAnsi="Times New Roman" w:cs="Times New Roman"/>
            <w:noProof/>
          </w:rPr>
        </w:pPr>
        <w:r w:rsidRPr="00EC136A">
          <w:rPr>
            <w:rFonts w:ascii="Times New Roman" w:hAnsi="Times New Roman" w:cs="Times New Roman"/>
            <w:noProof/>
          </w:rPr>
          <w:t>HCAR 2244/22</w:t>
        </w:r>
      </w:p>
      <w:p w:rsidR="00EC136A" w:rsidRPr="00EC136A" w:rsidRDefault="00EC136A">
        <w:pPr>
          <w:pStyle w:val="Header"/>
          <w:jc w:val="right"/>
          <w:rPr>
            <w:rFonts w:ascii="Times New Roman" w:hAnsi="Times New Roman" w:cs="Times New Roman"/>
          </w:rPr>
        </w:pPr>
        <w:r w:rsidRPr="00EC136A">
          <w:rPr>
            <w:rFonts w:ascii="Times New Roman" w:hAnsi="Times New Roman" w:cs="Times New Roman"/>
            <w:noProof/>
          </w:rPr>
          <w:t>XREF CRB GKP 613/22</w:t>
        </w:r>
      </w:p>
    </w:sdtContent>
  </w:sdt>
  <w:p w:rsidR="00EC136A" w:rsidRPr="00EC136A" w:rsidRDefault="00EC136A">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D6ABA"/>
    <w:multiLevelType w:val="hybridMultilevel"/>
    <w:tmpl w:val="82DA4464"/>
    <w:lvl w:ilvl="0" w:tplc="FB06C0DE">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623268DF"/>
    <w:multiLevelType w:val="hybridMultilevel"/>
    <w:tmpl w:val="1CA2E06A"/>
    <w:lvl w:ilvl="0" w:tplc="75EAF3A2">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
  <w:rsids>
    <w:rsidRoot w:val="0007413F"/>
    <w:rsid w:val="0007413F"/>
    <w:rsid w:val="00223694"/>
    <w:rsid w:val="002E18DE"/>
    <w:rsid w:val="003470F6"/>
    <w:rsid w:val="003E3A94"/>
    <w:rsid w:val="00455026"/>
    <w:rsid w:val="00485B79"/>
    <w:rsid w:val="004E12D0"/>
    <w:rsid w:val="005249A0"/>
    <w:rsid w:val="00574278"/>
    <w:rsid w:val="006437C4"/>
    <w:rsid w:val="006746A7"/>
    <w:rsid w:val="006E1549"/>
    <w:rsid w:val="00752099"/>
    <w:rsid w:val="00777F17"/>
    <w:rsid w:val="007C4631"/>
    <w:rsid w:val="007F63E9"/>
    <w:rsid w:val="00837CDC"/>
    <w:rsid w:val="00904A79"/>
    <w:rsid w:val="009162ED"/>
    <w:rsid w:val="009A497F"/>
    <w:rsid w:val="00A422FA"/>
    <w:rsid w:val="00B252D4"/>
    <w:rsid w:val="00B55215"/>
    <w:rsid w:val="00BC26F3"/>
    <w:rsid w:val="00C87955"/>
    <w:rsid w:val="00CF1611"/>
    <w:rsid w:val="00DA51F1"/>
    <w:rsid w:val="00DC2BF8"/>
    <w:rsid w:val="00E01596"/>
    <w:rsid w:val="00E36FD5"/>
    <w:rsid w:val="00EC136A"/>
    <w:rsid w:val="00EF34BC"/>
    <w:rsid w:val="00F04E3D"/>
    <w:rsid w:val="00F8661F"/>
    <w:rsid w:val="00F9797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385CD435-03E3-40BE-A78B-33462C5D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13F"/>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413F"/>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3E3A94"/>
    <w:pPr>
      <w:ind w:left="720"/>
      <w:contextualSpacing/>
    </w:pPr>
  </w:style>
  <w:style w:type="paragraph" w:styleId="Header">
    <w:name w:val="header"/>
    <w:basedOn w:val="Normal"/>
    <w:link w:val="HeaderChar"/>
    <w:uiPriority w:val="99"/>
    <w:unhideWhenUsed/>
    <w:rsid w:val="00EC1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36A"/>
    <w:rPr>
      <w:rFonts w:eastAsiaTheme="minorEastAsia"/>
      <w:lang w:val="en-US"/>
    </w:rPr>
  </w:style>
  <w:style w:type="paragraph" w:styleId="Footer">
    <w:name w:val="footer"/>
    <w:basedOn w:val="Normal"/>
    <w:link w:val="FooterChar"/>
    <w:uiPriority w:val="99"/>
    <w:unhideWhenUsed/>
    <w:rsid w:val="00EC1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36A"/>
    <w:rPr>
      <w:rFonts w:eastAsiaTheme="minorEastAsia"/>
      <w:lang w:val="en-US"/>
    </w:rPr>
  </w:style>
  <w:style w:type="paragraph" w:styleId="BalloonText">
    <w:name w:val="Balloon Text"/>
    <w:basedOn w:val="Normal"/>
    <w:link w:val="BalloonTextChar"/>
    <w:uiPriority w:val="99"/>
    <w:semiHidden/>
    <w:unhideWhenUsed/>
    <w:rsid w:val="009162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2ED"/>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46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5</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23</cp:revision>
  <cp:lastPrinted>2022-09-20T12:22:00Z</cp:lastPrinted>
  <dcterms:created xsi:type="dcterms:W3CDTF">2022-09-13T08:23:00Z</dcterms:created>
  <dcterms:modified xsi:type="dcterms:W3CDTF">2022-09-20T12:25:00Z</dcterms:modified>
</cp:coreProperties>
</file>