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35B81" w14:textId="75839395" w:rsidR="006C0F6D" w:rsidRPr="006C0F6D" w:rsidRDefault="006C0F6D" w:rsidP="006C0F6D">
      <w:pPr>
        <w:rPr>
          <w:rFonts w:ascii="Times New Roman" w:hAnsi="Times New Roman" w:cs="Times New Roman"/>
          <w:sz w:val="24"/>
          <w:szCs w:val="24"/>
        </w:rPr>
      </w:pPr>
      <w:r w:rsidRPr="006C0F6D">
        <w:rPr>
          <w:rFonts w:ascii="Times New Roman" w:hAnsi="Times New Roman" w:cs="Times New Roman"/>
          <w:b/>
          <w:bCs/>
          <w:sz w:val="24"/>
          <w:szCs w:val="24"/>
        </w:rPr>
        <w:t xml:space="preserve">THE STATE </w:t>
      </w:r>
    </w:p>
    <w:p w14:paraId="383A0CB3" w14:textId="23B652EB" w:rsidR="006C0F6D" w:rsidRPr="006C0F6D" w:rsidRDefault="006C0F6D" w:rsidP="006C0F6D">
      <w:pPr>
        <w:rPr>
          <w:rFonts w:ascii="Times New Roman" w:hAnsi="Times New Roman" w:cs="Times New Roman"/>
          <w:sz w:val="24"/>
          <w:szCs w:val="24"/>
        </w:rPr>
      </w:pPr>
      <w:r w:rsidRPr="006C0F6D">
        <w:rPr>
          <w:rFonts w:ascii="Times New Roman" w:hAnsi="Times New Roman" w:cs="Times New Roman"/>
          <w:b/>
          <w:bCs/>
          <w:sz w:val="24"/>
          <w:szCs w:val="24"/>
        </w:rPr>
        <w:t>Versus</w:t>
      </w:r>
    </w:p>
    <w:p w14:paraId="1DD75EAF" w14:textId="4E2DF831" w:rsidR="006C0F6D" w:rsidRDefault="006C0F6D" w:rsidP="006C0F6D">
      <w:pPr>
        <w:rPr>
          <w:rFonts w:ascii="Times New Roman" w:hAnsi="Times New Roman" w:cs="Times New Roman"/>
          <w:b/>
          <w:bCs/>
          <w:sz w:val="24"/>
          <w:szCs w:val="24"/>
        </w:rPr>
      </w:pPr>
      <w:r>
        <w:rPr>
          <w:rFonts w:ascii="Times New Roman" w:hAnsi="Times New Roman" w:cs="Times New Roman"/>
          <w:b/>
          <w:bCs/>
          <w:sz w:val="24"/>
          <w:szCs w:val="24"/>
        </w:rPr>
        <w:t xml:space="preserve">NTANDO NYATHI </w:t>
      </w:r>
    </w:p>
    <w:p w14:paraId="4A4FF17E" w14:textId="24A5172C" w:rsidR="001A1CEB" w:rsidRDefault="001A1CEB" w:rsidP="006C0F6D">
      <w:pPr>
        <w:rPr>
          <w:rFonts w:ascii="Times New Roman" w:hAnsi="Times New Roman" w:cs="Times New Roman"/>
          <w:b/>
          <w:bCs/>
          <w:sz w:val="24"/>
          <w:szCs w:val="24"/>
        </w:rPr>
      </w:pPr>
      <w:r>
        <w:rPr>
          <w:rFonts w:ascii="Times New Roman" w:hAnsi="Times New Roman" w:cs="Times New Roman"/>
          <w:b/>
          <w:bCs/>
          <w:sz w:val="24"/>
          <w:szCs w:val="24"/>
        </w:rPr>
        <w:t xml:space="preserve">And </w:t>
      </w:r>
    </w:p>
    <w:p w14:paraId="701BDEDB" w14:textId="0A629D9A" w:rsidR="006C0F6D" w:rsidRDefault="006C0F6D" w:rsidP="006C0F6D">
      <w:pPr>
        <w:rPr>
          <w:rFonts w:ascii="Times New Roman" w:hAnsi="Times New Roman" w:cs="Times New Roman"/>
          <w:b/>
          <w:bCs/>
          <w:sz w:val="24"/>
          <w:szCs w:val="24"/>
        </w:rPr>
      </w:pPr>
      <w:r>
        <w:rPr>
          <w:rFonts w:ascii="Times New Roman" w:hAnsi="Times New Roman" w:cs="Times New Roman"/>
          <w:b/>
          <w:bCs/>
          <w:sz w:val="24"/>
          <w:szCs w:val="24"/>
        </w:rPr>
        <w:t xml:space="preserve">CREGY NCUBE </w:t>
      </w:r>
    </w:p>
    <w:p w14:paraId="1F1EEB91" w14:textId="39A8763B" w:rsidR="001A1CEB" w:rsidRDefault="001A1CEB" w:rsidP="006C0F6D">
      <w:pPr>
        <w:rPr>
          <w:rFonts w:ascii="Times New Roman" w:hAnsi="Times New Roman" w:cs="Times New Roman"/>
          <w:b/>
          <w:bCs/>
          <w:sz w:val="24"/>
          <w:szCs w:val="24"/>
        </w:rPr>
      </w:pPr>
      <w:r>
        <w:rPr>
          <w:rFonts w:ascii="Times New Roman" w:hAnsi="Times New Roman" w:cs="Times New Roman"/>
          <w:b/>
          <w:bCs/>
          <w:sz w:val="24"/>
          <w:szCs w:val="24"/>
        </w:rPr>
        <w:t xml:space="preserve">And </w:t>
      </w:r>
    </w:p>
    <w:p w14:paraId="5F94EA0D" w14:textId="352194F1" w:rsidR="006C0F6D" w:rsidRDefault="006C0F6D" w:rsidP="006C0F6D">
      <w:pPr>
        <w:rPr>
          <w:rFonts w:ascii="Times New Roman" w:hAnsi="Times New Roman" w:cs="Times New Roman"/>
          <w:b/>
          <w:bCs/>
          <w:sz w:val="24"/>
          <w:szCs w:val="24"/>
        </w:rPr>
      </w:pPr>
      <w:r>
        <w:rPr>
          <w:rFonts w:ascii="Times New Roman" w:hAnsi="Times New Roman" w:cs="Times New Roman"/>
          <w:b/>
          <w:bCs/>
          <w:sz w:val="24"/>
          <w:szCs w:val="24"/>
        </w:rPr>
        <w:t xml:space="preserve">THABANI NCUBE </w:t>
      </w:r>
    </w:p>
    <w:p w14:paraId="58E63EFF" w14:textId="1366BE4E" w:rsidR="001A1CEB" w:rsidRDefault="001A1CEB" w:rsidP="006C0F6D">
      <w:pPr>
        <w:rPr>
          <w:rFonts w:ascii="Times New Roman" w:hAnsi="Times New Roman" w:cs="Times New Roman"/>
          <w:b/>
          <w:bCs/>
          <w:sz w:val="24"/>
          <w:szCs w:val="24"/>
        </w:rPr>
      </w:pPr>
      <w:r>
        <w:rPr>
          <w:rFonts w:ascii="Times New Roman" w:hAnsi="Times New Roman" w:cs="Times New Roman"/>
          <w:b/>
          <w:bCs/>
          <w:sz w:val="24"/>
          <w:szCs w:val="24"/>
        </w:rPr>
        <w:t xml:space="preserve">And </w:t>
      </w:r>
    </w:p>
    <w:p w14:paraId="2DFCFF54" w14:textId="6C2F0543" w:rsidR="006C0F6D" w:rsidRDefault="006C0F6D" w:rsidP="006C0F6D">
      <w:pPr>
        <w:rPr>
          <w:rFonts w:ascii="Times New Roman" w:hAnsi="Times New Roman" w:cs="Times New Roman"/>
          <w:b/>
          <w:bCs/>
          <w:sz w:val="24"/>
          <w:szCs w:val="24"/>
        </w:rPr>
      </w:pPr>
      <w:r>
        <w:rPr>
          <w:rFonts w:ascii="Times New Roman" w:hAnsi="Times New Roman" w:cs="Times New Roman"/>
          <w:b/>
          <w:bCs/>
          <w:sz w:val="24"/>
          <w:szCs w:val="24"/>
        </w:rPr>
        <w:t xml:space="preserve">SIPHEPHILE NCUBE </w:t>
      </w:r>
    </w:p>
    <w:p w14:paraId="402AFA28" w14:textId="012029E4" w:rsidR="001A1CEB" w:rsidRDefault="001A1CEB" w:rsidP="006C0F6D">
      <w:pPr>
        <w:rPr>
          <w:rFonts w:ascii="Times New Roman" w:hAnsi="Times New Roman" w:cs="Times New Roman"/>
          <w:b/>
          <w:bCs/>
          <w:sz w:val="24"/>
          <w:szCs w:val="24"/>
        </w:rPr>
      </w:pPr>
      <w:r>
        <w:rPr>
          <w:rFonts w:ascii="Times New Roman" w:hAnsi="Times New Roman" w:cs="Times New Roman"/>
          <w:b/>
          <w:bCs/>
          <w:sz w:val="24"/>
          <w:szCs w:val="24"/>
        </w:rPr>
        <w:t xml:space="preserve">And </w:t>
      </w:r>
    </w:p>
    <w:p w14:paraId="417788E5" w14:textId="6111AADD" w:rsidR="006C0F6D" w:rsidRDefault="006C0F6D" w:rsidP="006C0F6D">
      <w:pPr>
        <w:rPr>
          <w:rFonts w:ascii="Times New Roman" w:hAnsi="Times New Roman" w:cs="Times New Roman"/>
          <w:b/>
          <w:bCs/>
          <w:sz w:val="24"/>
          <w:szCs w:val="24"/>
        </w:rPr>
      </w:pPr>
      <w:r>
        <w:rPr>
          <w:rFonts w:ascii="Times New Roman" w:hAnsi="Times New Roman" w:cs="Times New Roman"/>
          <w:b/>
          <w:bCs/>
          <w:sz w:val="24"/>
          <w:szCs w:val="24"/>
        </w:rPr>
        <w:t>SILUNGILE NCUBE</w:t>
      </w:r>
    </w:p>
    <w:p w14:paraId="660D72B9" w14:textId="77777777" w:rsidR="006C0F6D" w:rsidRPr="006C0F6D" w:rsidRDefault="006C0F6D" w:rsidP="006C0F6D">
      <w:pPr>
        <w:rPr>
          <w:rFonts w:ascii="Times New Roman" w:hAnsi="Times New Roman" w:cs="Times New Roman"/>
          <w:b/>
          <w:bCs/>
          <w:sz w:val="24"/>
          <w:szCs w:val="24"/>
        </w:rPr>
      </w:pPr>
    </w:p>
    <w:p w14:paraId="50865EB5" w14:textId="77777777" w:rsidR="006C0F6D" w:rsidRPr="006C0F6D" w:rsidRDefault="006C0F6D" w:rsidP="001A1CEB">
      <w:pPr>
        <w:spacing w:line="276" w:lineRule="auto"/>
        <w:rPr>
          <w:rFonts w:ascii="Times New Roman" w:hAnsi="Times New Roman" w:cs="Times New Roman"/>
          <w:sz w:val="24"/>
          <w:szCs w:val="24"/>
        </w:rPr>
      </w:pPr>
      <w:r w:rsidRPr="006C0F6D">
        <w:rPr>
          <w:rFonts w:ascii="Times New Roman" w:hAnsi="Times New Roman" w:cs="Times New Roman"/>
          <w:sz w:val="24"/>
          <w:szCs w:val="24"/>
        </w:rPr>
        <w:t xml:space="preserve">IN THE HIGH COURT OF ZIMBABWE </w:t>
      </w:r>
    </w:p>
    <w:p w14:paraId="1CC00866" w14:textId="10B58393" w:rsidR="001A1CEB" w:rsidRDefault="006C0F6D" w:rsidP="001A1CEB">
      <w:pPr>
        <w:spacing w:line="276" w:lineRule="auto"/>
        <w:rPr>
          <w:rFonts w:ascii="Times New Roman" w:hAnsi="Times New Roman" w:cs="Times New Roman"/>
          <w:sz w:val="24"/>
          <w:szCs w:val="24"/>
        </w:rPr>
      </w:pPr>
      <w:r w:rsidRPr="006C0F6D">
        <w:rPr>
          <w:rFonts w:ascii="Times New Roman" w:hAnsi="Times New Roman" w:cs="Times New Roman"/>
          <w:sz w:val="24"/>
          <w:szCs w:val="24"/>
        </w:rPr>
        <w:t xml:space="preserve">DUBE-BANDA J with Assessors Mr </w:t>
      </w:r>
      <w:r w:rsidR="001A1CEB">
        <w:rPr>
          <w:rFonts w:ascii="Times New Roman" w:hAnsi="Times New Roman" w:cs="Times New Roman"/>
          <w:sz w:val="24"/>
          <w:szCs w:val="24"/>
        </w:rPr>
        <w:t>Mabandla and Mr Dewa</w:t>
      </w:r>
      <w:r w:rsidRPr="006C0F6D">
        <w:rPr>
          <w:rFonts w:ascii="Times New Roman" w:hAnsi="Times New Roman" w:cs="Times New Roman"/>
          <w:sz w:val="24"/>
          <w:szCs w:val="24"/>
        </w:rPr>
        <w:t xml:space="preserve"> </w:t>
      </w:r>
    </w:p>
    <w:p w14:paraId="784DE753" w14:textId="1057AF81" w:rsidR="006C0F6D" w:rsidRDefault="001A1CEB" w:rsidP="001A1CEB">
      <w:pPr>
        <w:spacing w:line="276" w:lineRule="auto"/>
        <w:rPr>
          <w:rFonts w:ascii="Times New Roman" w:hAnsi="Times New Roman" w:cs="Times New Roman"/>
          <w:sz w:val="24"/>
          <w:szCs w:val="24"/>
        </w:rPr>
      </w:pPr>
      <w:r>
        <w:rPr>
          <w:rFonts w:ascii="Times New Roman" w:hAnsi="Times New Roman" w:cs="Times New Roman"/>
          <w:sz w:val="24"/>
          <w:szCs w:val="24"/>
        </w:rPr>
        <w:t>Bulawayo 23 &amp; 24 October 2024</w:t>
      </w:r>
    </w:p>
    <w:p w14:paraId="3F8299EB" w14:textId="77777777" w:rsidR="001A1CEB" w:rsidRPr="006C0F6D" w:rsidRDefault="001A1CEB" w:rsidP="001A1CEB">
      <w:pPr>
        <w:spacing w:line="276" w:lineRule="auto"/>
        <w:rPr>
          <w:rFonts w:ascii="Times New Roman" w:hAnsi="Times New Roman" w:cs="Times New Roman"/>
          <w:sz w:val="24"/>
          <w:szCs w:val="24"/>
        </w:rPr>
      </w:pPr>
    </w:p>
    <w:p w14:paraId="5FB057D5" w14:textId="77777777" w:rsidR="006C0F6D" w:rsidRPr="006C0F6D" w:rsidRDefault="006C0F6D" w:rsidP="006C0F6D">
      <w:pPr>
        <w:rPr>
          <w:rFonts w:ascii="Times New Roman" w:hAnsi="Times New Roman" w:cs="Times New Roman"/>
          <w:sz w:val="24"/>
          <w:szCs w:val="24"/>
        </w:rPr>
      </w:pPr>
      <w:r w:rsidRPr="006C0F6D">
        <w:rPr>
          <w:rFonts w:ascii="Times New Roman" w:hAnsi="Times New Roman" w:cs="Times New Roman"/>
          <w:b/>
          <w:bCs/>
          <w:sz w:val="24"/>
          <w:szCs w:val="24"/>
        </w:rPr>
        <w:t xml:space="preserve">Criminal trial </w:t>
      </w:r>
    </w:p>
    <w:p w14:paraId="0B2669D0" w14:textId="77F8FBC3" w:rsidR="006C0F6D" w:rsidRPr="006C0F6D" w:rsidRDefault="001A1CEB" w:rsidP="001A1CEB">
      <w:pPr>
        <w:spacing w:line="276" w:lineRule="auto"/>
        <w:rPr>
          <w:rFonts w:ascii="Times New Roman" w:hAnsi="Times New Roman" w:cs="Times New Roman"/>
          <w:sz w:val="24"/>
          <w:szCs w:val="24"/>
        </w:rPr>
      </w:pPr>
      <w:r>
        <w:rPr>
          <w:rFonts w:ascii="Times New Roman" w:hAnsi="Times New Roman" w:cs="Times New Roman"/>
          <w:i/>
          <w:iCs/>
          <w:sz w:val="24"/>
          <w:szCs w:val="24"/>
        </w:rPr>
        <w:t>K. Jaravaza</w:t>
      </w:r>
      <w:r w:rsidR="006C0F6D" w:rsidRPr="006C0F6D">
        <w:rPr>
          <w:rFonts w:ascii="Times New Roman" w:hAnsi="Times New Roman" w:cs="Times New Roman"/>
          <w:i/>
          <w:iCs/>
          <w:sz w:val="24"/>
          <w:szCs w:val="24"/>
        </w:rPr>
        <w:t xml:space="preserve"> </w:t>
      </w:r>
      <w:r w:rsidR="006C0F6D" w:rsidRPr="006C0F6D">
        <w:rPr>
          <w:rFonts w:ascii="Times New Roman" w:hAnsi="Times New Roman" w:cs="Times New Roman"/>
          <w:sz w:val="24"/>
          <w:szCs w:val="24"/>
        </w:rPr>
        <w:t xml:space="preserve">for the State </w:t>
      </w:r>
    </w:p>
    <w:p w14:paraId="3BC40722" w14:textId="38956288" w:rsidR="006C0F6D" w:rsidRDefault="001A1CEB" w:rsidP="001A1CEB">
      <w:pPr>
        <w:spacing w:line="276" w:lineRule="auto"/>
        <w:rPr>
          <w:rFonts w:ascii="Times New Roman" w:hAnsi="Times New Roman" w:cs="Times New Roman"/>
          <w:sz w:val="24"/>
          <w:szCs w:val="24"/>
        </w:rPr>
      </w:pPr>
      <w:r>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Nyapfumbi</w:t>
      </w:r>
      <w:proofErr w:type="spellEnd"/>
      <w:r w:rsidR="006C0F6D" w:rsidRPr="006C0F6D">
        <w:rPr>
          <w:rFonts w:ascii="Times New Roman" w:hAnsi="Times New Roman" w:cs="Times New Roman"/>
          <w:i/>
          <w:iCs/>
          <w:sz w:val="24"/>
          <w:szCs w:val="24"/>
        </w:rPr>
        <w:t xml:space="preserve"> </w:t>
      </w:r>
      <w:r w:rsidR="006C0F6D" w:rsidRPr="006C0F6D">
        <w:rPr>
          <w:rFonts w:ascii="Times New Roman" w:hAnsi="Times New Roman" w:cs="Times New Roman"/>
          <w:sz w:val="24"/>
          <w:szCs w:val="24"/>
        </w:rPr>
        <w:t xml:space="preserve">for the </w:t>
      </w:r>
      <w:r>
        <w:rPr>
          <w:rFonts w:ascii="Times New Roman" w:hAnsi="Times New Roman" w:cs="Times New Roman"/>
          <w:sz w:val="24"/>
          <w:szCs w:val="24"/>
        </w:rPr>
        <w:t>1</w:t>
      </w:r>
      <w:r w:rsidRPr="001A1CEB">
        <w:rPr>
          <w:rFonts w:ascii="Times New Roman" w:hAnsi="Times New Roman" w:cs="Times New Roman"/>
          <w:sz w:val="24"/>
          <w:szCs w:val="24"/>
          <w:vertAlign w:val="superscript"/>
        </w:rPr>
        <w:t>st</w:t>
      </w:r>
      <w:r>
        <w:rPr>
          <w:rFonts w:ascii="Times New Roman" w:hAnsi="Times New Roman" w:cs="Times New Roman"/>
          <w:sz w:val="24"/>
          <w:szCs w:val="24"/>
        </w:rPr>
        <w:t xml:space="preserve"> accused</w:t>
      </w:r>
    </w:p>
    <w:p w14:paraId="35BA6FA9" w14:textId="79FE633C" w:rsidR="001A1CEB" w:rsidRDefault="001A1CEB" w:rsidP="001A1CEB">
      <w:pPr>
        <w:spacing w:line="276" w:lineRule="auto"/>
        <w:rPr>
          <w:rFonts w:ascii="Times New Roman" w:hAnsi="Times New Roman" w:cs="Times New Roman"/>
          <w:sz w:val="24"/>
          <w:szCs w:val="24"/>
        </w:rPr>
      </w:pPr>
      <w:r>
        <w:rPr>
          <w:rFonts w:ascii="Times New Roman" w:hAnsi="Times New Roman" w:cs="Times New Roman"/>
          <w:sz w:val="24"/>
          <w:szCs w:val="24"/>
        </w:rPr>
        <w:t xml:space="preserve">Ms. </w:t>
      </w:r>
      <w:r w:rsidRPr="001A1CEB">
        <w:rPr>
          <w:rFonts w:ascii="Times New Roman" w:hAnsi="Times New Roman" w:cs="Times New Roman"/>
          <w:i/>
          <w:iCs/>
          <w:sz w:val="24"/>
          <w:szCs w:val="24"/>
        </w:rPr>
        <w:t>S. Sithole</w:t>
      </w:r>
      <w:r>
        <w:rPr>
          <w:rFonts w:ascii="Times New Roman" w:hAnsi="Times New Roman" w:cs="Times New Roman"/>
          <w:sz w:val="24"/>
          <w:szCs w:val="24"/>
        </w:rPr>
        <w:t xml:space="preserve"> for the 2</w:t>
      </w:r>
      <w:r w:rsidRPr="001A1CEB">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t>
      </w:r>
    </w:p>
    <w:p w14:paraId="2979FF5E" w14:textId="7C270515" w:rsidR="001A1CEB" w:rsidRDefault="001A1CEB" w:rsidP="001A1CEB">
      <w:pPr>
        <w:spacing w:line="276" w:lineRule="auto"/>
        <w:rPr>
          <w:rFonts w:ascii="Times New Roman" w:hAnsi="Times New Roman" w:cs="Times New Roman"/>
          <w:sz w:val="24"/>
          <w:szCs w:val="24"/>
        </w:rPr>
      </w:pPr>
      <w:r w:rsidRPr="001A1CEB">
        <w:rPr>
          <w:rFonts w:ascii="Times New Roman" w:hAnsi="Times New Roman" w:cs="Times New Roman"/>
          <w:i/>
          <w:iCs/>
          <w:sz w:val="24"/>
          <w:szCs w:val="24"/>
        </w:rPr>
        <w:t>T</w:t>
      </w:r>
      <w:r>
        <w:rPr>
          <w:rFonts w:ascii="Times New Roman" w:hAnsi="Times New Roman" w:cs="Times New Roman"/>
          <w:sz w:val="24"/>
          <w:szCs w:val="24"/>
        </w:rPr>
        <w:t xml:space="preserve">. </w:t>
      </w:r>
      <w:r w:rsidRPr="001A1CEB">
        <w:rPr>
          <w:rFonts w:ascii="Times New Roman" w:hAnsi="Times New Roman" w:cs="Times New Roman"/>
          <w:i/>
          <w:iCs/>
          <w:sz w:val="24"/>
          <w:szCs w:val="24"/>
        </w:rPr>
        <w:t xml:space="preserve">Solani </w:t>
      </w:r>
      <w:r>
        <w:rPr>
          <w:rFonts w:ascii="Times New Roman" w:hAnsi="Times New Roman" w:cs="Times New Roman"/>
          <w:sz w:val="24"/>
          <w:szCs w:val="24"/>
        </w:rPr>
        <w:t>for the 3</w:t>
      </w:r>
      <w:r w:rsidRPr="001A1CEB">
        <w:rPr>
          <w:rFonts w:ascii="Times New Roman" w:hAnsi="Times New Roman" w:cs="Times New Roman"/>
          <w:sz w:val="24"/>
          <w:szCs w:val="24"/>
          <w:vertAlign w:val="superscript"/>
        </w:rPr>
        <w:t>rd</w:t>
      </w:r>
      <w:r>
        <w:rPr>
          <w:rFonts w:ascii="Times New Roman" w:hAnsi="Times New Roman" w:cs="Times New Roman"/>
          <w:sz w:val="24"/>
          <w:szCs w:val="24"/>
        </w:rPr>
        <w:t xml:space="preserve"> accused </w:t>
      </w:r>
    </w:p>
    <w:p w14:paraId="588EAA20" w14:textId="11A9FEC2" w:rsidR="001A1CEB" w:rsidRDefault="001A1CEB" w:rsidP="001A1CEB">
      <w:pPr>
        <w:spacing w:line="276" w:lineRule="auto"/>
        <w:rPr>
          <w:rFonts w:ascii="Times New Roman" w:hAnsi="Times New Roman" w:cs="Times New Roman"/>
          <w:sz w:val="24"/>
          <w:szCs w:val="24"/>
        </w:rPr>
      </w:pPr>
      <w:r>
        <w:rPr>
          <w:rFonts w:ascii="Times New Roman" w:hAnsi="Times New Roman" w:cs="Times New Roman"/>
          <w:sz w:val="24"/>
          <w:szCs w:val="24"/>
        </w:rPr>
        <w:t xml:space="preserve">Ms. </w:t>
      </w:r>
      <w:r w:rsidRPr="001A1CEB">
        <w:rPr>
          <w:rFonts w:ascii="Times New Roman" w:hAnsi="Times New Roman" w:cs="Times New Roman"/>
          <w:i/>
          <w:iCs/>
          <w:sz w:val="24"/>
          <w:szCs w:val="24"/>
        </w:rPr>
        <w:t>T. Mafa</w:t>
      </w:r>
      <w:r>
        <w:rPr>
          <w:rFonts w:ascii="Times New Roman" w:hAnsi="Times New Roman" w:cs="Times New Roman"/>
          <w:sz w:val="24"/>
          <w:szCs w:val="24"/>
        </w:rPr>
        <w:t xml:space="preserve"> for the 4</w:t>
      </w:r>
      <w:r w:rsidRPr="001A1CEB">
        <w:rPr>
          <w:rFonts w:ascii="Times New Roman" w:hAnsi="Times New Roman" w:cs="Times New Roman"/>
          <w:sz w:val="24"/>
          <w:szCs w:val="24"/>
          <w:vertAlign w:val="superscript"/>
        </w:rPr>
        <w:t>th</w:t>
      </w:r>
      <w:r>
        <w:rPr>
          <w:rFonts w:ascii="Times New Roman" w:hAnsi="Times New Roman" w:cs="Times New Roman"/>
          <w:sz w:val="24"/>
          <w:szCs w:val="24"/>
        </w:rPr>
        <w:t xml:space="preserve"> accused </w:t>
      </w:r>
    </w:p>
    <w:p w14:paraId="0C63EF48" w14:textId="6087525D" w:rsidR="001A1CEB" w:rsidRDefault="001A1CEB" w:rsidP="001A1CEB">
      <w:pPr>
        <w:spacing w:line="276" w:lineRule="auto"/>
        <w:rPr>
          <w:rFonts w:ascii="Times New Roman" w:hAnsi="Times New Roman" w:cs="Times New Roman"/>
          <w:sz w:val="24"/>
          <w:szCs w:val="24"/>
        </w:rPr>
      </w:pPr>
      <w:r w:rsidRPr="001A1CEB">
        <w:rPr>
          <w:rFonts w:ascii="Times New Roman" w:hAnsi="Times New Roman" w:cs="Times New Roman"/>
          <w:i/>
          <w:iCs/>
          <w:sz w:val="24"/>
          <w:szCs w:val="24"/>
        </w:rPr>
        <w:t xml:space="preserve">M.E.P. Moyo </w:t>
      </w:r>
      <w:r>
        <w:rPr>
          <w:rFonts w:ascii="Times New Roman" w:hAnsi="Times New Roman" w:cs="Times New Roman"/>
          <w:sz w:val="24"/>
          <w:szCs w:val="24"/>
        </w:rPr>
        <w:t>for the 5</w:t>
      </w:r>
      <w:r w:rsidRPr="001A1CEB">
        <w:rPr>
          <w:rFonts w:ascii="Times New Roman" w:hAnsi="Times New Roman" w:cs="Times New Roman"/>
          <w:sz w:val="24"/>
          <w:szCs w:val="24"/>
          <w:vertAlign w:val="superscript"/>
        </w:rPr>
        <w:t>th</w:t>
      </w:r>
      <w:r>
        <w:rPr>
          <w:rFonts w:ascii="Times New Roman" w:hAnsi="Times New Roman" w:cs="Times New Roman"/>
          <w:sz w:val="24"/>
          <w:szCs w:val="24"/>
        </w:rPr>
        <w:t xml:space="preserve"> accused </w:t>
      </w:r>
    </w:p>
    <w:p w14:paraId="7AE9E357" w14:textId="77777777" w:rsidR="006C0F6D" w:rsidRDefault="006C0F6D" w:rsidP="0037626C">
      <w:pPr>
        <w:rPr>
          <w:rFonts w:ascii="Times New Roman" w:hAnsi="Times New Roman" w:cs="Times New Roman"/>
          <w:sz w:val="24"/>
          <w:szCs w:val="24"/>
        </w:rPr>
      </w:pPr>
    </w:p>
    <w:p w14:paraId="060121AF" w14:textId="337A2814" w:rsidR="004A3B18" w:rsidRPr="004A3B18" w:rsidRDefault="004A3B18" w:rsidP="0037626C">
      <w:pPr>
        <w:rPr>
          <w:rFonts w:ascii="Times New Roman" w:hAnsi="Times New Roman" w:cs="Times New Roman"/>
          <w:b/>
          <w:bCs/>
          <w:sz w:val="24"/>
          <w:szCs w:val="24"/>
        </w:rPr>
      </w:pPr>
      <w:r w:rsidRPr="004A3B18">
        <w:rPr>
          <w:rFonts w:ascii="Times New Roman" w:hAnsi="Times New Roman" w:cs="Times New Roman"/>
          <w:b/>
          <w:bCs/>
          <w:sz w:val="24"/>
          <w:szCs w:val="24"/>
        </w:rPr>
        <w:t>DUBE-BANDA J:</w:t>
      </w:r>
    </w:p>
    <w:p w14:paraId="10201F48" w14:textId="7A5A2A9D" w:rsidR="00FA639B" w:rsidRDefault="00FA639B" w:rsidP="0037626C">
      <w:pPr>
        <w:rPr>
          <w:rFonts w:ascii="Times New Roman" w:hAnsi="Times New Roman" w:cs="Times New Roman"/>
          <w:sz w:val="24"/>
          <w:szCs w:val="24"/>
        </w:rPr>
      </w:pPr>
      <w:r w:rsidRPr="0037626C">
        <w:rPr>
          <w:rFonts w:ascii="Times New Roman" w:hAnsi="Times New Roman" w:cs="Times New Roman"/>
          <w:sz w:val="24"/>
          <w:szCs w:val="24"/>
        </w:rPr>
        <w:t>[1] This is an application for a discharge in terms of s 1</w:t>
      </w:r>
      <w:r w:rsidR="00264AF2">
        <w:rPr>
          <w:rFonts w:ascii="Times New Roman" w:hAnsi="Times New Roman" w:cs="Times New Roman"/>
          <w:sz w:val="24"/>
          <w:szCs w:val="24"/>
        </w:rPr>
        <w:t>98</w:t>
      </w:r>
      <w:r w:rsidRPr="0037626C">
        <w:rPr>
          <w:rFonts w:ascii="Times New Roman" w:hAnsi="Times New Roman" w:cs="Times New Roman"/>
          <w:sz w:val="24"/>
          <w:szCs w:val="24"/>
        </w:rPr>
        <w:t xml:space="preserve"> (3) of the Criminal Procedure and Evidence Act [Chapter 9:07]</w:t>
      </w:r>
      <w:r w:rsidR="00FF12E1">
        <w:rPr>
          <w:rFonts w:ascii="Times New Roman" w:hAnsi="Times New Roman" w:cs="Times New Roman"/>
          <w:sz w:val="24"/>
          <w:szCs w:val="24"/>
        </w:rPr>
        <w:t xml:space="preserve"> </w:t>
      </w:r>
      <w:r w:rsidR="00FF12E1" w:rsidRPr="00B71996">
        <w:rPr>
          <w:rFonts w:ascii="Times New Roman" w:hAnsi="Times New Roman" w:cs="Times New Roman"/>
          <w:sz w:val="24"/>
          <w:szCs w:val="24"/>
        </w:rPr>
        <w:t>(</w:t>
      </w:r>
      <w:r w:rsidR="00FF12E1">
        <w:rPr>
          <w:rFonts w:ascii="Times New Roman" w:hAnsi="Times New Roman" w:cs="Times New Roman"/>
          <w:sz w:val="24"/>
          <w:szCs w:val="24"/>
        </w:rPr>
        <w:t>“</w:t>
      </w:r>
      <w:r w:rsidR="00FF12E1" w:rsidRPr="00B71996">
        <w:rPr>
          <w:rFonts w:ascii="Times New Roman" w:hAnsi="Times New Roman" w:cs="Times New Roman"/>
          <w:sz w:val="24"/>
          <w:szCs w:val="24"/>
        </w:rPr>
        <w:t>CP &amp; E Act</w:t>
      </w:r>
      <w:r w:rsidR="00FF12E1">
        <w:rPr>
          <w:rFonts w:ascii="Times New Roman" w:hAnsi="Times New Roman" w:cs="Times New Roman"/>
          <w:sz w:val="24"/>
          <w:szCs w:val="24"/>
        </w:rPr>
        <w:t>”</w:t>
      </w:r>
      <w:r w:rsidR="00FF12E1" w:rsidRPr="00B71996">
        <w:rPr>
          <w:rFonts w:ascii="Times New Roman" w:hAnsi="Times New Roman" w:cs="Times New Roman"/>
          <w:sz w:val="24"/>
          <w:szCs w:val="24"/>
        </w:rPr>
        <w:t>)</w:t>
      </w:r>
      <w:r w:rsidR="00FF12E1">
        <w:rPr>
          <w:rFonts w:ascii="Times New Roman" w:hAnsi="Times New Roman" w:cs="Times New Roman"/>
          <w:sz w:val="24"/>
          <w:szCs w:val="24"/>
        </w:rPr>
        <w:t xml:space="preserve">. </w:t>
      </w:r>
      <w:r w:rsidRPr="0037626C">
        <w:rPr>
          <w:rFonts w:ascii="Times New Roman" w:hAnsi="Times New Roman" w:cs="Times New Roman"/>
          <w:sz w:val="24"/>
          <w:szCs w:val="24"/>
        </w:rPr>
        <w:t>The accused are charged with the crime of murder as defined in section 47</w:t>
      </w:r>
      <w:r w:rsidR="00A937D5">
        <w:rPr>
          <w:rFonts w:ascii="Times New Roman" w:hAnsi="Times New Roman" w:cs="Times New Roman"/>
          <w:sz w:val="24"/>
          <w:szCs w:val="24"/>
        </w:rPr>
        <w:t xml:space="preserve"> (1)</w:t>
      </w:r>
      <w:r w:rsidRPr="0037626C">
        <w:rPr>
          <w:rFonts w:ascii="Times New Roman" w:hAnsi="Times New Roman" w:cs="Times New Roman"/>
          <w:sz w:val="24"/>
          <w:szCs w:val="24"/>
        </w:rPr>
        <w:t xml:space="preserve"> of the Criminal Law [Codification and Reform] Act [Chapter 9:23]</w:t>
      </w:r>
      <w:r w:rsidR="00FF12E1">
        <w:rPr>
          <w:rFonts w:ascii="Times New Roman" w:hAnsi="Times New Roman" w:cs="Times New Roman"/>
          <w:sz w:val="24"/>
          <w:szCs w:val="24"/>
        </w:rPr>
        <w:t xml:space="preserve"> (“Criminal Law Code”)</w:t>
      </w:r>
      <w:r w:rsidRPr="0037626C">
        <w:rPr>
          <w:rFonts w:ascii="Times New Roman" w:hAnsi="Times New Roman" w:cs="Times New Roman"/>
          <w:sz w:val="24"/>
          <w:szCs w:val="24"/>
        </w:rPr>
        <w:t>. It being alleged that on</w:t>
      </w:r>
      <w:r w:rsidR="0037626C" w:rsidRPr="0037626C">
        <w:rPr>
          <w:rFonts w:ascii="Times New Roman" w:hAnsi="Times New Roman" w:cs="Times New Roman"/>
          <w:sz w:val="24"/>
          <w:szCs w:val="24"/>
        </w:rPr>
        <w:t xml:space="preserve"> 5 June 2017 the accused persons wrongfully, unlawfully and intentionally kill</w:t>
      </w:r>
      <w:r w:rsidR="00264AF2">
        <w:rPr>
          <w:rFonts w:ascii="Times New Roman" w:hAnsi="Times New Roman" w:cs="Times New Roman"/>
          <w:sz w:val="24"/>
          <w:szCs w:val="24"/>
        </w:rPr>
        <w:t>ed</w:t>
      </w:r>
      <w:r w:rsidR="0037626C" w:rsidRPr="0037626C">
        <w:rPr>
          <w:rFonts w:ascii="Times New Roman" w:hAnsi="Times New Roman" w:cs="Times New Roman"/>
          <w:sz w:val="24"/>
          <w:szCs w:val="24"/>
        </w:rPr>
        <w:t xml:space="preserve"> and murder</w:t>
      </w:r>
      <w:r w:rsidR="00264AF2">
        <w:rPr>
          <w:rFonts w:ascii="Times New Roman" w:hAnsi="Times New Roman" w:cs="Times New Roman"/>
          <w:sz w:val="24"/>
          <w:szCs w:val="24"/>
        </w:rPr>
        <w:t>ed</w:t>
      </w:r>
      <w:r w:rsidR="0037626C" w:rsidRPr="0037626C">
        <w:rPr>
          <w:rFonts w:ascii="Times New Roman" w:hAnsi="Times New Roman" w:cs="Times New Roman"/>
          <w:sz w:val="24"/>
          <w:szCs w:val="24"/>
        </w:rPr>
        <w:t xml:space="preserve"> </w:t>
      </w:r>
      <w:proofErr w:type="spellStart"/>
      <w:r w:rsidR="0037626C" w:rsidRPr="0037626C">
        <w:rPr>
          <w:rFonts w:ascii="Times New Roman" w:hAnsi="Times New Roman" w:cs="Times New Roman"/>
          <w:sz w:val="24"/>
          <w:szCs w:val="24"/>
        </w:rPr>
        <w:t>Thengile</w:t>
      </w:r>
      <w:proofErr w:type="spellEnd"/>
      <w:r w:rsidR="0037626C" w:rsidRPr="0037626C">
        <w:rPr>
          <w:rFonts w:ascii="Times New Roman" w:hAnsi="Times New Roman" w:cs="Times New Roman"/>
          <w:sz w:val="24"/>
          <w:szCs w:val="24"/>
        </w:rPr>
        <w:t xml:space="preserve"> </w:t>
      </w:r>
      <w:proofErr w:type="spellStart"/>
      <w:r w:rsidR="0037626C" w:rsidRPr="0037626C">
        <w:rPr>
          <w:rFonts w:ascii="Times New Roman" w:hAnsi="Times New Roman" w:cs="Times New Roman"/>
          <w:sz w:val="24"/>
          <w:szCs w:val="24"/>
        </w:rPr>
        <w:t>Nyathi</w:t>
      </w:r>
      <w:proofErr w:type="spellEnd"/>
      <w:r w:rsidR="0037626C" w:rsidRPr="0037626C">
        <w:rPr>
          <w:rFonts w:ascii="Times New Roman" w:hAnsi="Times New Roman" w:cs="Times New Roman"/>
          <w:sz w:val="24"/>
          <w:szCs w:val="24"/>
        </w:rPr>
        <w:t xml:space="preserve"> (“deceased”) by assaulting him with open hands and kicking him all over the body </w:t>
      </w:r>
      <w:r w:rsidRPr="0037626C">
        <w:rPr>
          <w:rFonts w:ascii="Times New Roman" w:hAnsi="Times New Roman" w:cs="Times New Roman"/>
          <w:sz w:val="24"/>
          <w:szCs w:val="24"/>
        </w:rPr>
        <w:t xml:space="preserve">intending to kill him or realising that there is a real </w:t>
      </w:r>
      <w:r w:rsidR="00264AF2">
        <w:rPr>
          <w:rFonts w:ascii="Times New Roman" w:hAnsi="Times New Roman" w:cs="Times New Roman"/>
          <w:sz w:val="24"/>
          <w:szCs w:val="24"/>
        </w:rPr>
        <w:t xml:space="preserve">risk or </w:t>
      </w:r>
      <w:r w:rsidRPr="0037626C">
        <w:rPr>
          <w:rFonts w:ascii="Times New Roman" w:hAnsi="Times New Roman" w:cs="Times New Roman"/>
          <w:sz w:val="24"/>
          <w:szCs w:val="24"/>
        </w:rPr>
        <w:t xml:space="preserve">possibility that </w:t>
      </w:r>
      <w:r w:rsidR="00264AF2">
        <w:rPr>
          <w:rFonts w:ascii="Times New Roman" w:hAnsi="Times New Roman" w:cs="Times New Roman"/>
          <w:sz w:val="24"/>
          <w:szCs w:val="24"/>
        </w:rPr>
        <w:t xml:space="preserve">their </w:t>
      </w:r>
      <w:r w:rsidRPr="0037626C">
        <w:rPr>
          <w:rFonts w:ascii="Times New Roman" w:hAnsi="Times New Roman" w:cs="Times New Roman"/>
          <w:sz w:val="24"/>
          <w:szCs w:val="24"/>
        </w:rPr>
        <w:t>conduct may cause the death but continued to engage in that conduct despite the risk or possibility.</w:t>
      </w:r>
    </w:p>
    <w:p w14:paraId="6E36EF72" w14:textId="42305DAC" w:rsidR="00634C22" w:rsidRDefault="0037626C" w:rsidP="0037626C">
      <w:pPr>
        <w:rPr>
          <w:rFonts w:ascii="Times New Roman" w:hAnsi="Times New Roman" w:cs="Times New Roman"/>
          <w:sz w:val="24"/>
          <w:szCs w:val="24"/>
        </w:rPr>
      </w:pPr>
      <w:bookmarkStart w:id="0" w:name="_GoBack"/>
      <w:bookmarkEnd w:id="0"/>
      <w:r>
        <w:rPr>
          <w:rFonts w:ascii="Times New Roman" w:hAnsi="Times New Roman" w:cs="Times New Roman"/>
          <w:sz w:val="24"/>
          <w:szCs w:val="24"/>
        </w:rPr>
        <w:t>[2] The</w:t>
      </w:r>
      <w:r w:rsidRPr="0037626C">
        <w:rPr>
          <w:rFonts w:ascii="Times New Roman" w:hAnsi="Times New Roman" w:cs="Times New Roman"/>
          <w:sz w:val="24"/>
          <w:szCs w:val="24"/>
        </w:rPr>
        <w:t xml:space="preserve"> accused </w:t>
      </w:r>
      <w:r w:rsidR="00264AF2">
        <w:rPr>
          <w:rFonts w:ascii="Times New Roman" w:hAnsi="Times New Roman" w:cs="Times New Roman"/>
          <w:sz w:val="24"/>
          <w:szCs w:val="24"/>
        </w:rPr>
        <w:t xml:space="preserve">persons </w:t>
      </w:r>
      <w:r w:rsidRPr="0037626C">
        <w:rPr>
          <w:rFonts w:ascii="Times New Roman" w:hAnsi="Times New Roman" w:cs="Times New Roman"/>
          <w:sz w:val="24"/>
          <w:szCs w:val="24"/>
        </w:rPr>
        <w:t xml:space="preserve">pleaded not guilty to the charge.  </w:t>
      </w:r>
    </w:p>
    <w:p w14:paraId="6D3F24CD" w14:textId="6283F9FD" w:rsidR="00634C22" w:rsidRPr="0037626C" w:rsidRDefault="00634C22" w:rsidP="00634C22">
      <w:pPr>
        <w:rPr>
          <w:rFonts w:ascii="Times New Roman" w:hAnsi="Times New Roman" w:cs="Times New Roman"/>
          <w:sz w:val="24"/>
          <w:szCs w:val="24"/>
          <w:lang w:val="en-GB"/>
        </w:rPr>
      </w:pPr>
      <w:r>
        <w:rPr>
          <w:rFonts w:ascii="Times New Roman" w:hAnsi="Times New Roman" w:cs="Times New Roman"/>
          <w:sz w:val="24"/>
          <w:szCs w:val="24"/>
        </w:rPr>
        <w:lastRenderedPageBreak/>
        <w:t xml:space="preserve">[3] </w:t>
      </w:r>
      <w:r w:rsidR="0037626C">
        <w:rPr>
          <w:rFonts w:ascii="Times New Roman" w:hAnsi="Times New Roman" w:cs="Times New Roman"/>
          <w:sz w:val="24"/>
          <w:szCs w:val="24"/>
        </w:rPr>
        <w:t>T</w:t>
      </w:r>
      <w:r w:rsidR="0037626C" w:rsidRPr="0037626C">
        <w:rPr>
          <w:rFonts w:ascii="Times New Roman" w:hAnsi="Times New Roman" w:cs="Times New Roman"/>
          <w:sz w:val="24"/>
          <w:szCs w:val="24"/>
          <w:lang w:val="en-GB"/>
        </w:rPr>
        <w:t xml:space="preserve">he </w:t>
      </w:r>
      <w:r w:rsidR="00A937D5">
        <w:rPr>
          <w:rFonts w:ascii="Times New Roman" w:hAnsi="Times New Roman" w:cs="Times New Roman"/>
          <w:sz w:val="24"/>
          <w:szCs w:val="24"/>
          <w:lang w:val="en-GB"/>
        </w:rPr>
        <w:t xml:space="preserve">prosecutor produced </w:t>
      </w:r>
      <w:r w:rsidR="0037626C" w:rsidRPr="0037626C">
        <w:rPr>
          <w:rFonts w:ascii="Times New Roman" w:hAnsi="Times New Roman" w:cs="Times New Roman"/>
          <w:sz w:val="24"/>
          <w:szCs w:val="24"/>
          <w:lang w:val="en-GB"/>
        </w:rPr>
        <w:t xml:space="preserve">a post mortem report compiled by Dr </w:t>
      </w:r>
      <w:r w:rsidR="0037626C">
        <w:rPr>
          <w:rFonts w:ascii="Times New Roman" w:hAnsi="Times New Roman" w:cs="Times New Roman"/>
          <w:sz w:val="24"/>
          <w:szCs w:val="24"/>
          <w:lang w:val="en-GB"/>
        </w:rPr>
        <w:t>S. Pesanai</w:t>
      </w:r>
      <w:r w:rsidR="0037626C" w:rsidRPr="0037626C">
        <w:rPr>
          <w:rFonts w:ascii="Times New Roman" w:hAnsi="Times New Roman" w:cs="Times New Roman"/>
          <w:sz w:val="24"/>
          <w:szCs w:val="24"/>
          <w:lang w:val="en-GB"/>
        </w:rPr>
        <w:t xml:space="preserve"> at United Bulawayo Hospitals </w:t>
      </w:r>
      <w:r w:rsidR="0037626C">
        <w:rPr>
          <w:rFonts w:ascii="Times New Roman" w:hAnsi="Times New Roman" w:cs="Times New Roman"/>
          <w:sz w:val="24"/>
          <w:szCs w:val="24"/>
          <w:lang w:val="en-GB"/>
        </w:rPr>
        <w:t>(“UBH”)</w:t>
      </w:r>
      <w:r w:rsidR="00A937D5">
        <w:rPr>
          <w:rFonts w:ascii="Times New Roman" w:hAnsi="Times New Roman" w:cs="Times New Roman"/>
          <w:sz w:val="24"/>
          <w:szCs w:val="24"/>
          <w:lang w:val="en-GB"/>
        </w:rPr>
        <w:t>.</w:t>
      </w:r>
      <w:r>
        <w:rPr>
          <w:rFonts w:ascii="Times New Roman" w:hAnsi="Times New Roman" w:cs="Times New Roman"/>
          <w:sz w:val="24"/>
          <w:szCs w:val="24"/>
          <w:lang w:val="en-GB"/>
        </w:rPr>
        <w:t xml:space="preserve"> The P</w:t>
      </w:r>
      <w:r w:rsidR="0037626C" w:rsidRPr="0037626C">
        <w:rPr>
          <w:rFonts w:ascii="Times New Roman" w:hAnsi="Times New Roman" w:cs="Times New Roman"/>
          <w:sz w:val="24"/>
          <w:szCs w:val="24"/>
          <w:lang w:val="en-GB"/>
        </w:rPr>
        <w:t>athologist concluded that the cause of death was:</w:t>
      </w:r>
      <w:r>
        <w:rPr>
          <w:rFonts w:ascii="Times New Roman" w:hAnsi="Times New Roman" w:cs="Times New Roman"/>
          <w:sz w:val="24"/>
          <w:szCs w:val="24"/>
          <w:lang w:val="en-GB"/>
        </w:rPr>
        <w:t xml:space="preserve"> intracranial haemorrhage; blunt force trauma head; and assault. </w:t>
      </w:r>
      <w:r w:rsidR="00A937D5">
        <w:rPr>
          <w:rFonts w:ascii="Times New Roman" w:hAnsi="Times New Roman" w:cs="Times New Roman"/>
          <w:sz w:val="24"/>
          <w:szCs w:val="24"/>
          <w:lang w:val="en-GB"/>
        </w:rPr>
        <w:t>In addition, the prosecutor</w:t>
      </w:r>
      <w:r>
        <w:rPr>
          <w:rFonts w:ascii="Times New Roman" w:hAnsi="Times New Roman" w:cs="Times New Roman"/>
          <w:sz w:val="24"/>
          <w:szCs w:val="24"/>
          <w:lang w:val="en-GB"/>
        </w:rPr>
        <w:t xml:space="preserve"> produced confirmed warned and cautioned statements of the accused persons. </w:t>
      </w:r>
      <w:r w:rsidR="00A937D5">
        <w:rPr>
          <w:rFonts w:ascii="Times New Roman" w:hAnsi="Times New Roman" w:cs="Times New Roman"/>
          <w:sz w:val="24"/>
          <w:szCs w:val="24"/>
        </w:rPr>
        <w:t xml:space="preserve">Furthermore, the </w:t>
      </w:r>
      <w:r w:rsidR="00A937D5" w:rsidRPr="00B71996">
        <w:rPr>
          <w:rFonts w:ascii="Times New Roman" w:hAnsi="Times New Roman" w:cs="Times New Roman"/>
          <w:sz w:val="24"/>
          <w:szCs w:val="24"/>
        </w:rPr>
        <w:t>prosecutor</w:t>
      </w:r>
      <w:r w:rsidR="00B71996" w:rsidRPr="00B71996">
        <w:rPr>
          <w:rFonts w:ascii="Times New Roman" w:hAnsi="Times New Roman" w:cs="Times New Roman"/>
          <w:sz w:val="24"/>
          <w:szCs w:val="24"/>
        </w:rPr>
        <w:t xml:space="preserve"> sought and obtained admission</w:t>
      </w:r>
      <w:r w:rsidR="00B71996">
        <w:rPr>
          <w:rFonts w:ascii="Times New Roman" w:hAnsi="Times New Roman" w:cs="Times New Roman"/>
          <w:sz w:val="24"/>
          <w:szCs w:val="24"/>
        </w:rPr>
        <w:t>s</w:t>
      </w:r>
      <w:r w:rsidR="00B71996" w:rsidRPr="00B71996">
        <w:rPr>
          <w:rFonts w:ascii="Times New Roman" w:hAnsi="Times New Roman" w:cs="Times New Roman"/>
          <w:sz w:val="24"/>
          <w:szCs w:val="24"/>
        </w:rPr>
        <w:t xml:space="preserve"> from the accused in terms of section 314 of the</w:t>
      </w:r>
      <w:r w:rsidR="00A937D5">
        <w:rPr>
          <w:rFonts w:ascii="Times New Roman" w:hAnsi="Times New Roman" w:cs="Times New Roman"/>
          <w:sz w:val="24"/>
          <w:szCs w:val="24"/>
        </w:rPr>
        <w:t xml:space="preserve"> </w:t>
      </w:r>
      <w:r w:rsidR="00B71996" w:rsidRPr="00B71996">
        <w:rPr>
          <w:rFonts w:ascii="Times New Roman" w:hAnsi="Times New Roman" w:cs="Times New Roman"/>
          <w:sz w:val="24"/>
          <w:szCs w:val="24"/>
        </w:rPr>
        <w:t>CP &amp; E Act. Th</w:t>
      </w:r>
      <w:r w:rsidR="00B71996">
        <w:rPr>
          <w:rFonts w:ascii="Times New Roman" w:hAnsi="Times New Roman" w:cs="Times New Roman"/>
          <w:sz w:val="24"/>
          <w:szCs w:val="24"/>
        </w:rPr>
        <w:t>e</w:t>
      </w:r>
      <w:r w:rsidR="00B71996" w:rsidRPr="00B71996">
        <w:rPr>
          <w:rFonts w:ascii="Times New Roman" w:hAnsi="Times New Roman" w:cs="Times New Roman"/>
          <w:sz w:val="24"/>
          <w:szCs w:val="24"/>
        </w:rPr>
        <w:t xml:space="preserve"> admission</w:t>
      </w:r>
      <w:r w:rsidR="00B71996">
        <w:rPr>
          <w:rFonts w:ascii="Times New Roman" w:hAnsi="Times New Roman" w:cs="Times New Roman"/>
          <w:sz w:val="24"/>
          <w:szCs w:val="24"/>
        </w:rPr>
        <w:t>s</w:t>
      </w:r>
      <w:r w:rsidR="00B71996" w:rsidRPr="00B71996">
        <w:rPr>
          <w:rFonts w:ascii="Times New Roman" w:hAnsi="Times New Roman" w:cs="Times New Roman"/>
          <w:sz w:val="24"/>
          <w:szCs w:val="24"/>
        </w:rPr>
        <w:t xml:space="preserve"> relate to the evidence o</w:t>
      </w:r>
      <w:r w:rsidR="00B71996">
        <w:rPr>
          <w:rFonts w:ascii="Times New Roman" w:hAnsi="Times New Roman" w:cs="Times New Roman"/>
          <w:sz w:val="24"/>
          <w:szCs w:val="24"/>
        </w:rPr>
        <w:t>f certain witnesses</w:t>
      </w:r>
      <w:r w:rsidR="00B71996" w:rsidRPr="00B71996">
        <w:rPr>
          <w:rFonts w:ascii="Times New Roman" w:hAnsi="Times New Roman" w:cs="Times New Roman"/>
          <w:sz w:val="24"/>
          <w:szCs w:val="24"/>
        </w:rPr>
        <w:t xml:space="preserve"> as it is contained in the summary of the State Case.</w:t>
      </w:r>
      <w:r w:rsidR="00B71996">
        <w:rPr>
          <w:rFonts w:ascii="Times New Roman" w:hAnsi="Times New Roman" w:cs="Times New Roman"/>
          <w:sz w:val="24"/>
          <w:szCs w:val="24"/>
        </w:rPr>
        <w:t xml:space="preserve"> Three witnesses testified </w:t>
      </w:r>
      <w:r w:rsidR="00A937D5">
        <w:rPr>
          <w:rFonts w:ascii="Times New Roman" w:hAnsi="Times New Roman" w:cs="Times New Roman"/>
          <w:sz w:val="24"/>
          <w:szCs w:val="24"/>
        </w:rPr>
        <w:t>for</w:t>
      </w:r>
      <w:r w:rsidR="00B71996">
        <w:rPr>
          <w:rFonts w:ascii="Times New Roman" w:hAnsi="Times New Roman" w:cs="Times New Roman"/>
          <w:sz w:val="24"/>
          <w:szCs w:val="24"/>
        </w:rPr>
        <w:t xml:space="preserve"> the State</w:t>
      </w:r>
      <w:r w:rsidR="00A937D5">
        <w:rPr>
          <w:rFonts w:ascii="Times New Roman" w:hAnsi="Times New Roman" w:cs="Times New Roman"/>
          <w:sz w:val="24"/>
          <w:szCs w:val="24"/>
        </w:rPr>
        <w:t xml:space="preserve"> i.e., Faith Sibanda; </w:t>
      </w:r>
      <w:proofErr w:type="spellStart"/>
      <w:r w:rsidR="00A937D5">
        <w:rPr>
          <w:rFonts w:ascii="Times New Roman" w:hAnsi="Times New Roman" w:cs="Times New Roman"/>
          <w:sz w:val="24"/>
          <w:szCs w:val="24"/>
        </w:rPr>
        <w:t>Sitshengisiwe</w:t>
      </w:r>
      <w:proofErr w:type="spellEnd"/>
      <w:r w:rsidR="00A937D5">
        <w:rPr>
          <w:rFonts w:ascii="Times New Roman" w:hAnsi="Times New Roman" w:cs="Times New Roman"/>
          <w:sz w:val="24"/>
          <w:szCs w:val="24"/>
        </w:rPr>
        <w:t xml:space="preserve"> </w:t>
      </w:r>
      <w:proofErr w:type="spellStart"/>
      <w:r w:rsidR="00A937D5">
        <w:rPr>
          <w:rFonts w:ascii="Times New Roman" w:hAnsi="Times New Roman" w:cs="Times New Roman"/>
          <w:sz w:val="24"/>
          <w:szCs w:val="24"/>
        </w:rPr>
        <w:t>Ncube</w:t>
      </w:r>
      <w:proofErr w:type="spellEnd"/>
      <w:r w:rsidR="00A937D5">
        <w:rPr>
          <w:rFonts w:ascii="Times New Roman" w:hAnsi="Times New Roman" w:cs="Times New Roman"/>
          <w:sz w:val="24"/>
          <w:szCs w:val="24"/>
        </w:rPr>
        <w:t xml:space="preserve"> and </w:t>
      </w:r>
      <w:proofErr w:type="spellStart"/>
      <w:r w:rsidR="00A937D5">
        <w:rPr>
          <w:rFonts w:ascii="Times New Roman" w:hAnsi="Times New Roman" w:cs="Times New Roman"/>
          <w:sz w:val="24"/>
          <w:szCs w:val="24"/>
        </w:rPr>
        <w:t>Thalitha</w:t>
      </w:r>
      <w:proofErr w:type="spellEnd"/>
      <w:r w:rsidR="00A937D5">
        <w:rPr>
          <w:rFonts w:ascii="Times New Roman" w:hAnsi="Times New Roman" w:cs="Times New Roman"/>
          <w:sz w:val="24"/>
          <w:szCs w:val="24"/>
        </w:rPr>
        <w:t xml:space="preserve"> Dube. </w:t>
      </w:r>
      <w:r w:rsidR="00B71996">
        <w:rPr>
          <w:rFonts w:ascii="Times New Roman" w:hAnsi="Times New Roman" w:cs="Times New Roman"/>
          <w:sz w:val="24"/>
          <w:szCs w:val="24"/>
        </w:rPr>
        <w:t xml:space="preserve"> </w:t>
      </w:r>
    </w:p>
    <w:p w14:paraId="6933A58E" w14:textId="1A5EE465" w:rsidR="009F15F6" w:rsidRPr="00FA639B" w:rsidRDefault="00B71996" w:rsidP="00FA639B">
      <w:pPr>
        <w:rPr>
          <w:rFonts w:ascii="Times New Roman" w:hAnsi="Times New Roman" w:cs="Times New Roman"/>
          <w:sz w:val="24"/>
          <w:szCs w:val="24"/>
        </w:rPr>
      </w:pPr>
      <w:r>
        <w:rPr>
          <w:rFonts w:ascii="Times New Roman" w:hAnsi="Times New Roman" w:cs="Times New Roman"/>
          <w:sz w:val="24"/>
          <w:szCs w:val="24"/>
          <w:lang w:val="en-GB"/>
        </w:rPr>
        <w:t xml:space="preserve">[4] </w:t>
      </w:r>
      <w:r w:rsidR="009F15F6" w:rsidRPr="009F15F6">
        <w:rPr>
          <w:rFonts w:ascii="Times New Roman" w:hAnsi="Times New Roman" w:cs="Times New Roman"/>
          <w:sz w:val="24"/>
          <w:szCs w:val="24"/>
        </w:rPr>
        <w:t>Applications for discharge at the end of the State case are</w:t>
      </w:r>
      <w:r w:rsidR="009F15F6" w:rsidRPr="00FA639B">
        <w:rPr>
          <w:rFonts w:ascii="Times New Roman" w:hAnsi="Times New Roman" w:cs="Times New Roman"/>
          <w:sz w:val="24"/>
          <w:szCs w:val="24"/>
        </w:rPr>
        <w:t xml:space="preserve"> governed by s 19</w:t>
      </w:r>
      <w:r w:rsidR="00A56001">
        <w:rPr>
          <w:rFonts w:ascii="Times New Roman" w:hAnsi="Times New Roman" w:cs="Times New Roman"/>
          <w:sz w:val="24"/>
          <w:szCs w:val="24"/>
        </w:rPr>
        <w:t>3</w:t>
      </w:r>
      <w:r w:rsidR="009F15F6" w:rsidRPr="00FA639B">
        <w:rPr>
          <w:rFonts w:ascii="Times New Roman" w:hAnsi="Times New Roman" w:cs="Times New Roman"/>
          <w:sz w:val="24"/>
          <w:szCs w:val="24"/>
        </w:rPr>
        <w:t xml:space="preserve"> (3) of th</w:t>
      </w:r>
      <w:r w:rsidR="00A56001">
        <w:rPr>
          <w:rFonts w:ascii="Times New Roman" w:hAnsi="Times New Roman" w:cs="Times New Roman"/>
          <w:sz w:val="24"/>
          <w:szCs w:val="24"/>
        </w:rPr>
        <w:t>e CP &amp; E Act</w:t>
      </w:r>
      <w:r w:rsidR="009F15F6" w:rsidRPr="00FA639B">
        <w:rPr>
          <w:rFonts w:ascii="Times New Roman" w:hAnsi="Times New Roman" w:cs="Times New Roman"/>
          <w:sz w:val="24"/>
          <w:szCs w:val="24"/>
        </w:rPr>
        <w:t>. It provides</w:t>
      </w:r>
      <w:r w:rsidR="00FA639B">
        <w:rPr>
          <w:rFonts w:ascii="Times New Roman" w:hAnsi="Times New Roman" w:cs="Times New Roman"/>
          <w:sz w:val="24"/>
          <w:szCs w:val="24"/>
        </w:rPr>
        <w:t xml:space="preserve"> that</w:t>
      </w:r>
      <w:r w:rsidR="009F15F6" w:rsidRPr="00FA639B">
        <w:rPr>
          <w:rFonts w:ascii="Times New Roman" w:hAnsi="Times New Roman" w:cs="Times New Roman"/>
          <w:sz w:val="24"/>
          <w:szCs w:val="24"/>
        </w:rPr>
        <w:t>:</w:t>
      </w:r>
    </w:p>
    <w:p w14:paraId="2A8998A2" w14:textId="5002DBB1" w:rsidR="009F15F6" w:rsidRDefault="00FA639B" w:rsidP="00FA639B">
      <w:pPr>
        <w:spacing w:line="276" w:lineRule="auto"/>
        <w:ind w:left="720"/>
        <w:rPr>
          <w:rFonts w:ascii="Times New Roman" w:hAnsi="Times New Roman" w:cs="Times New Roman"/>
          <w:sz w:val="24"/>
          <w:szCs w:val="24"/>
        </w:rPr>
      </w:pPr>
      <w:r w:rsidRPr="00FA639B">
        <w:rPr>
          <w:rFonts w:ascii="Times New Roman" w:hAnsi="Times New Roman" w:cs="Times New Roman"/>
          <w:sz w:val="24"/>
          <w:szCs w:val="24"/>
        </w:rPr>
        <w:t>“</w:t>
      </w:r>
      <w:r w:rsidR="009F15F6" w:rsidRPr="009F15F6">
        <w:rPr>
          <w:rFonts w:ascii="Times New Roman" w:hAnsi="Times New Roman" w:cs="Times New Roman"/>
          <w:sz w:val="24"/>
          <w:szCs w:val="24"/>
        </w:rPr>
        <w:t>If at the close of the case for the prosecution the court considers that there is no evidence that the accused</w:t>
      </w:r>
      <w:r w:rsidR="009F15F6" w:rsidRPr="00FA639B">
        <w:rPr>
          <w:rFonts w:ascii="Times New Roman" w:hAnsi="Times New Roman" w:cs="Times New Roman"/>
          <w:sz w:val="24"/>
          <w:szCs w:val="24"/>
        </w:rPr>
        <w:t xml:space="preserve"> </w:t>
      </w:r>
      <w:r w:rsidR="009F15F6" w:rsidRPr="009F15F6">
        <w:rPr>
          <w:rFonts w:ascii="Times New Roman" w:hAnsi="Times New Roman" w:cs="Times New Roman"/>
          <w:sz w:val="24"/>
          <w:szCs w:val="24"/>
        </w:rPr>
        <w:t>committed the offence charged in the indictment, summons or charge, or any other offence of which he might be</w:t>
      </w:r>
      <w:r w:rsidR="009F15F6" w:rsidRPr="00FA639B">
        <w:rPr>
          <w:rFonts w:ascii="Times New Roman" w:hAnsi="Times New Roman" w:cs="Times New Roman"/>
          <w:sz w:val="24"/>
          <w:szCs w:val="24"/>
        </w:rPr>
        <w:t xml:space="preserve"> convicted thereon, it shall return a verdict of not guilty.</w:t>
      </w:r>
      <w:r w:rsidRPr="00FA639B">
        <w:rPr>
          <w:rFonts w:ascii="Times New Roman" w:hAnsi="Times New Roman" w:cs="Times New Roman"/>
          <w:sz w:val="24"/>
          <w:szCs w:val="24"/>
        </w:rPr>
        <w:t>”</w:t>
      </w:r>
    </w:p>
    <w:p w14:paraId="62E1E27E" w14:textId="77777777" w:rsidR="00FA639B" w:rsidRPr="00FA639B" w:rsidRDefault="00FA639B" w:rsidP="00FA639B">
      <w:pPr>
        <w:spacing w:line="276" w:lineRule="auto"/>
        <w:ind w:left="720"/>
        <w:rPr>
          <w:rFonts w:ascii="Times New Roman" w:hAnsi="Times New Roman" w:cs="Times New Roman"/>
          <w:sz w:val="24"/>
          <w:szCs w:val="24"/>
        </w:rPr>
      </w:pPr>
    </w:p>
    <w:p w14:paraId="05F2F667" w14:textId="1CD747C2" w:rsidR="002955C8" w:rsidRPr="002955C8" w:rsidRDefault="00B71996" w:rsidP="002955C8">
      <w:pPr>
        <w:rPr>
          <w:rFonts w:ascii="Times New Roman" w:hAnsi="Times New Roman" w:cs="Times New Roman"/>
          <w:sz w:val="24"/>
          <w:szCs w:val="24"/>
        </w:rPr>
      </w:pPr>
      <w:r>
        <w:rPr>
          <w:rFonts w:ascii="Times New Roman" w:hAnsi="Times New Roman" w:cs="Times New Roman"/>
          <w:sz w:val="24"/>
          <w:szCs w:val="24"/>
        </w:rPr>
        <w:t xml:space="preserve">[5] </w:t>
      </w:r>
      <w:r w:rsidR="00FA639B" w:rsidRPr="00FA639B">
        <w:rPr>
          <w:rFonts w:ascii="Times New Roman" w:hAnsi="Times New Roman" w:cs="Times New Roman"/>
          <w:sz w:val="24"/>
          <w:szCs w:val="24"/>
        </w:rPr>
        <w:t>Over the years the trite principle has been established that "no evidence" in terms of the</w:t>
      </w:r>
      <w:r w:rsidR="00FA639B">
        <w:rPr>
          <w:rFonts w:ascii="Times New Roman" w:hAnsi="Times New Roman" w:cs="Times New Roman"/>
          <w:sz w:val="24"/>
          <w:szCs w:val="24"/>
        </w:rPr>
        <w:t xml:space="preserve"> </w:t>
      </w:r>
      <w:r w:rsidR="00FA639B" w:rsidRPr="00FA639B">
        <w:rPr>
          <w:rFonts w:ascii="Times New Roman" w:hAnsi="Times New Roman" w:cs="Times New Roman"/>
          <w:sz w:val="24"/>
          <w:szCs w:val="24"/>
        </w:rPr>
        <w:t>s</w:t>
      </w:r>
      <w:r w:rsidR="00A56001">
        <w:rPr>
          <w:rFonts w:ascii="Times New Roman" w:hAnsi="Times New Roman" w:cs="Times New Roman"/>
          <w:sz w:val="24"/>
          <w:szCs w:val="24"/>
        </w:rPr>
        <w:t xml:space="preserve"> 193 (3)</w:t>
      </w:r>
      <w:r w:rsidR="00FA639B" w:rsidRPr="00FA639B">
        <w:rPr>
          <w:rFonts w:ascii="Times New Roman" w:hAnsi="Times New Roman" w:cs="Times New Roman"/>
          <w:sz w:val="24"/>
          <w:szCs w:val="24"/>
        </w:rPr>
        <w:t xml:space="preserve"> means no evidence upon which a reasonable court, acting</w:t>
      </w:r>
      <w:r w:rsidR="00FA639B">
        <w:rPr>
          <w:rFonts w:ascii="Times New Roman" w:hAnsi="Times New Roman" w:cs="Times New Roman"/>
          <w:sz w:val="24"/>
          <w:szCs w:val="24"/>
        </w:rPr>
        <w:t xml:space="preserve"> </w:t>
      </w:r>
      <w:r w:rsidR="00FA639B" w:rsidRPr="00FA639B">
        <w:rPr>
          <w:rFonts w:ascii="Times New Roman" w:hAnsi="Times New Roman" w:cs="Times New Roman"/>
          <w:sz w:val="24"/>
          <w:szCs w:val="24"/>
        </w:rPr>
        <w:t>carefully, may convict</w:t>
      </w:r>
      <w:r w:rsidR="00FA639B">
        <w:rPr>
          <w:rFonts w:ascii="Times New Roman" w:hAnsi="Times New Roman" w:cs="Times New Roman"/>
          <w:sz w:val="24"/>
          <w:szCs w:val="24"/>
        </w:rPr>
        <w:t>. S</w:t>
      </w:r>
      <w:r>
        <w:rPr>
          <w:rFonts w:ascii="Times New Roman" w:hAnsi="Times New Roman" w:cs="Times New Roman"/>
          <w:sz w:val="24"/>
          <w:szCs w:val="24"/>
        </w:rPr>
        <w:t>ee</w:t>
      </w:r>
      <w:r w:rsidRPr="00B71996">
        <w:rPr>
          <w:rFonts w:ascii="Times New Roman" w:hAnsi="Times New Roman" w:cs="Times New Roman"/>
          <w:sz w:val="24"/>
          <w:szCs w:val="24"/>
        </w:rPr>
        <w:t> </w:t>
      </w:r>
      <w:r w:rsidRPr="00B71996">
        <w:rPr>
          <w:rFonts w:ascii="Times New Roman" w:hAnsi="Times New Roman" w:cs="Times New Roman"/>
          <w:i/>
          <w:iCs/>
          <w:sz w:val="24"/>
          <w:szCs w:val="24"/>
        </w:rPr>
        <w:t xml:space="preserve">S v </w:t>
      </w:r>
      <w:proofErr w:type="spellStart"/>
      <w:r w:rsidRPr="00B71996">
        <w:rPr>
          <w:rFonts w:ascii="Times New Roman" w:hAnsi="Times New Roman" w:cs="Times New Roman"/>
          <w:i/>
          <w:iCs/>
          <w:sz w:val="24"/>
          <w:szCs w:val="24"/>
        </w:rPr>
        <w:t>Khanyapa</w:t>
      </w:r>
      <w:proofErr w:type="spellEnd"/>
      <w:r w:rsidRPr="00B71996">
        <w:rPr>
          <w:rFonts w:ascii="Times New Roman" w:hAnsi="Times New Roman" w:cs="Times New Roman"/>
          <w:i/>
          <w:iCs/>
          <w:sz w:val="24"/>
          <w:szCs w:val="24"/>
        </w:rPr>
        <w:t> </w:t>
      </w:r>
      <w:r w:rsidRPr="00B71996">
        <w:rPr>
          <w:rFonts w:ascii="Times New Roman" w:hAnsi="Times New Roman" w:cs="Times New Roman"/>
          <w:sz w:val="24"/>
          <w:szCs w:val="24"/>
        </w:rPr>
        <w:t>1979 (1) SA 804 (A) at 838F; </w:t>
      </w:r>
      <w:r w:rsidRPr="00B71996">
        <w:rPr>
          <w:rFonts w:ascii="Times New Roman" w:hAnsi="Times New Roman" w:cs="Times New Roman"/>
          <w:i/>
          <w:iCs/>
          <w:sz w:val="24"/>
          <w:szCs w:val="24"/>
        </w:rPr>
        <w:t>S v Heller </w:t>
      </w:r>
      <w:r w:rsidRPr="00B71996">
        <w:rPr>
          <w:rFonts w:ascii="Times New Roman" w:hAnsi="Times New Roman" w:cs="Times New Roman"/>
          <w:sz w:val="24"/>
          <w:szCs w:val="24"/>
        </w:rPr>
        <w:t>(2) 1964 (1) SA 524 (W) at 541G).</w:t>
      </w:r>
      <w:r w:rsidR="002955C8">
        <w:rPr>
          <w:rFonts w:ascii="Times New Roman" w:hAnsi="Times New Roman" w:cs="Times New Roman"/>
          <w:sz w:val="24"/>
          <w:szCs w:val="24"/>
        </w:rPr>
        <w:t xml:space="preserve"> </w:t>
      </w:r>
      <w:r w:rsidRPr="00B71996">
        <w:rPr>
          <w:rFonts w:ascii="Times New Roman" w:hAnsi="Times New Roman" w:cs="Times New Roman"/>
          <w:sz w:val="24"/>
          <w:szCs w:val="24"/>
        </w:rPr>
        <w:t>The interpretation of s</w:t>
      </w:r>
      <w:r w:rsidR="00A56001">
        <w:rPr>
          <w:rFonts w:ascii="Times New Roman" w:hAnsi="Times New Roman" w:cs="Times New Roman"/>
          <w:sz w:val="24"/>
          <w:szCs w:val="24"/>
        </w:rPr>
        <w:t xml:space="preserve"> </w:t>
      </w:r>
      <w:r w:rsidRPr="00B71996">
        <w:rPr>
          <w:rFonts w:ascii="Times New Roman" w:hAnsi="Times New Roman" w:cs="Times New Roman"/>
          <w:sz w:val="24"/>
          <w:szCs w:val="24"/>
        </w:rPr>
        <w:t>198(3) has been considered in a long line of cases in this country</w:t>
      </w:r>
      <w:r>
        <w:rPr>
          <w:rFonts w:ascii="Times New Roman" w:hAnsi="Times New Roman" w:cs="Times New Roman"/>
          <w:sz w:val="24"/>
          <w:szCs w:val="24"/>
        </w:rPr>
        <w:t>.</w:t>
      </w:r>
      <w:r w:rsidR="002955C8" w:rsidRPr="002955C8">
        <w:rPr>
          <w:rFonts w:ascii="Times New Roman" w:hAnsi="Times New Roman" w:cs="Times New Roman"/>
          <w:sz w:val="24"/>
          <w:szCs w:val="24"/>
        </w:rPr>
        <w:t xml:space="preserve"> The settled position is that a court shall</w:t>
      </w:r>
      <w:r w:rsidR="002955C8" w:rsidRPr="002955C8">
        <w:rPr>
          <w:rFonts w:ascii="Times New Roman" w:hAnsi="Times New Roman" w:cs="Times New Roman"/>
          <w:i/>
          <w:iCs/>
          <w:sz w:val="24"/>
          <w:szCs w:val="24"/>
        </w:rPr>
        <w:t> </w:t>
      </w:r>
      <w:r w:rsidR="002955C8" w:rsidRPr="002955C8">
        <w:rPr>
          <w:rFonts w:ascii="Times New Roman" w:hAnsi="Times New Roman" w:cs="Times New Roman"/>
          <w:sz w:val="24"/>
          <w:szCs w:val="24"/>
        </w:rPr>
        <w:t>discharge the accused at the close of the case for the prosecution where</w:t>
      </w:r>
      <w:r w:rsidR="002955C8">
        <w:rPr>
          <w:rFonts w:ascii="Times New Roman" w:hAnsi="Times New Roman" w:cs="Times New Roman"/>
          <w:sz w:val="24"/>
          <w:szCs w:val="24"/>
        </w:rPr>
        <w:t xml:space="preserve"> </w:t>
      </w:r>
      <w:r w:rsidR="002955C8" w:rsidRPr="002955C8">
        <w:rPr>
          <w:rFonts w:ascii="Times New Roman" w:hAnsi="Times New Roman" w:cs="Times New Roman"/>
          <w:sz w:val="24"/>
          <w:szCs w:val="24"/>
        </w:rPr>
        <w:t xml:space="preserve">(a) </w:t>
      </w:r>
      <w:r w:rsidR="00D76DC4">
        <w:rPr>
          <w:rFonts w:ascii="Times New Roman" w:hAnsi="Times New Roman" w:cs="Times New Roman"/>
          <w:sz w:val="24"/>
          <w:szCs w:val="24"/>
        </w:rPr>
        <w:t xml:space="preserve">there is no possibility of a conviction other than if the accused enters the witness box and incriminates himself – </w:t>
      </w:r>
      <w:r w:rsidR="00D76DC4" w:rsidRPr="00D76DC4">
        <w:rPr>
          <w:rFonts w:ascii="Times New Roman" w:hAnsi="Times New Roman" w:cs="Times New Roman"/>
          <w:i/>
          <w:iCs/>
          <w:sz w:val="24"/>
          <w:szCs w:val="24"/>
        </w:rPr>
        <w:t xml:space="preserve">Prosecutor General v </w:t>
      </w:r>
      <w:proofErr w:type="spellStart"/>
      <w:r w:rsidR="00D76DC4" w:rsidRPr="00D76DC4">
        <w:rPr>
          <w:rFonts w:ascii="Times New Roman" w:hAnsi="Times New Roman" w:cs="Times New Roman"/>
          <w:i/>
          <w:iCs/>
          <w:sz w:val="24"/>
          <w:szCs w:val="24"/>
        </w:rPr>
        <w:t>Musvaire</w:t>
      </w:r>
      <w:proofErr w:type="spellEnd"/>
      <w:r w:rsidR="00D76DC4" w:rsidRPr="00D76DC4">
        <w:rPr>
          <w:rFonts w:ascii="Times New Roman" w:hAnsi="Times New Roman" w:cs="Times New Roman"/>
          <w:i/>
          <w:iCs/>
          <w:sz w:val="24"/>
          <w:szCs w:val="24"/>
        </w:rPr>
        <w:t xml:space="preserve"> &amp; Ors </w:t>
      </w:r>
      <w:r w:rsidR="00D76DC4">
        <w:rPr>
          <w:rFonts w:ascii="Times New Roman" w:hAnsi="Times New Roman" w:cs="Times New Roman"/>
          <w:sz w:val="24"/>
          <w:szCs w:val="24"/>
        </w:rPr>
        <w:t xml:space="preserve">2018 (2) ZLR 838 (H);  (b) </w:t>
      </w:r>
      <w:r w:rsidR="002955C8" w:rsidRPr="002955C8">
        <w:rPr>
          <w:rFonts w:ascii="Times New Roman" w:hAnsi="Times New Roman" w:cs="Times New Roman"/>
          <w:sz w:val="24"/>
          <w:szCs w:val="24"/>
        </w:rPr>
        <w:t>there is no evidence to prove an essential element of the offence – </w:t>
      </w:r>
      <w:r w:rsidR="002955C8" w:rsidRPr="002955C8">
        <w:rPr>
          <w:rFonts w:ascii="Times New Roman" w:hAnsi="Times New Roman" w:cs="Times New Roman"/>
          <w:i/>
          <w:iCs/>
          <w:sz w:val="24"/>
          <w:szCs w:val="24"/>
        </w:rPr>
        <w:t xml:space="preserve">Attorney-General v </w:t>
      </w:r>
      <w:proofErr w:type="spellStart"/>
      <w:r w:rsidR="002955C8" w:rsidRPr="002955C8">
        <w:rPr>
          <w:rFonts w:ascii="Times New Roman" w:hAnsi="Times New Roman" w:cs="Times New Roman"/>
          <w:i/>
          <w:iCs/>
          <w:sz w:val="24"/>
          <w:szCs w:val="24"/>
        </w:rPr>
        <w:t>Bvuma</w:t>
      </w:r>
      <w:proofErr w:type="spellEnd"/>
      <w:r w:rsidR="002955C8" w:rsidRPr="002955C8">
        <w:rPr>
          <w:rFonts w:ascii="Times New Roman" w:hAnsi="Times New Roman" w:cs="Times New Roman"/>
          <w:i/>
          <w:iCs/>
          <w:sz w:val="24"/>
          <w:szCs w:val="24"/>
        </w:rPr>
        <w:t xml:space="preserve"> &amp; Another</w:t>
      </w:r>
      <w:r w:rsidR="002955C8" w:rsidRPr="002955C8">
        <w:rPr>
          <w:rFonts w:ascii="Times New Roman" w:hAnsi="Times New Roman" w:cs="Times New Roman"/>
          <w:sz w:val="24"/>
          <w:szCs w:val="24"/>
        </w:rPr>
        <w:t> 1987 (2) ZLR 96 (S), 102;</w:t>
      </w:r>
      <w:r w:rsidR="002955C8">
        <w:rPr>
          <w:rFonts w:ascii="Times New Roman" w:hAnsi="Times New Roman" w:cs="Times New Roman"/>
          <w:sz w:val="24"/>
          <w:szCs w:val="24"/>
        </w:rPr>
        <w:t xml:space="preserve"> </w:t>
      </w:r>
      <w:r w:rsidR="002955C8" w:rsidRPr="002955C8">
        <w:rPr>
          <w:rFonts w:ascii="Times New Roman" w:hAnsi="Times New Roman" w:cs="Times New Roman"/>
          <w:sz w:val="24"/>
          <w:szCs w:val="24"/>
        </w:rPr>
        <w:t>(</w:t>
      </w:r>
      <w:r w:rsidR="00264AF2">
        <w:rPr>
          <w:rFonts w:ascii="Times New Roman" w:hAnsi="Times New Roman" w:cs="Times New Roman"/>
          <w:sz w:val="24"/>
          <w:szCs w:val="24"/>
        </w:rPr>
        <w:t>c</w:t>
      </w:r>
      <w:r w:rsidR="002955C8" w:rsidRPr="002955C8">
        <w:rPr>
          <w:rFonts w:ascii="Times New Roman" w:hAnsi="Times New Roman" w:cs="Times New Roman"/>
          <w:sz w:val="24"/>
          <w:szCs w:val="24"/>
        </w:rPr>
        <w:t>) there is no evidence on which a reasonable court, acting carefully, might properly convict – </w:t>
      </w:r>
      <w:r w:rsidR="002955C8" w:rsidRPr="002955C8">
        <w:rPr>
          <w:rFonts w:ascii="Times New Roman" w:hAnsi="Times New Roman" w:cs="Times New Roman"/>
          <w:i/>
          <w:iCs/>
          <w:sz w:val="24"/>
          <w:szCs w:val="24"/>
        </w:rPr>
        <w:t>Attorney-General v Mzizi</w:t>
      </w:r>
      <w:r w:rsidR="002955C8" w:rsidRPr="002955C8">
        <w:rPr>
          <w:rFonts w:ascii="Times New Roman" w:hAnsi="Times New Roman" w:cs="Times New Roman"/>
          <w:sz w:val="24"/>
          <w:szCs w:val="24"/>
        </w:rPr>
        <w:t>1991 (2) ZLR 321, 323 B; and</w:t>
      </w:r>
      <w:r w:rsidR="002955C8">
        <w:rPr>
          <w:rFonts w:ascii="Times New Roman" w:hAnsi="Times New Roman" w:cs="Times New Roman"/>
          <w:sz w:val="24"/>
          <w:szCs w:val="24"/>
        </w:rPr>
        <w:t xml:space="preserve"> </w:t>
      </w:r>
      <w:r w:rsidR="002955C8" w:rsidRPr="002955C8">
        <w:rPr>
          <w:rFonts w:ascii="Times New Roman" w:hAnsi="Times New Roman" w:cs="Times New Roman"/>
          <w:sz w:val="24"/>
          <w:szCs w:val="24"/>
        </w:rPr>
        <w:t>(</w:t>
      </w:r>
      <w:r w:rsidR="00264AF2">
        <w:rPr>
          <w:rFonts w:ascii="Times New Roman" w:hAnsi="Times New Roman" w:cs="Times New Roman"/>
          <w:sz w:val="24"/>
          <w:szCs w:val="24"/>
        </w:rPr>
        <w:t>d</w:t>
      </w:r>
      <w:r w:rsidR="002955C8" w:rsidRPr="002955C8">
        <w:rPr>
          <w:rFonts w:ascii="Times New Roman" w:hAnsi="Times New Roman" w:cs="Times New Roman"/>
          <w:sz w:val="24"/>
          <w:szCs w:val="24"/>
        </w:rPr>
        <w:t>) the evidence adduced on behalf of the State is so manifestly unreliable that no reasonable court could safely act on it – </w:t>
      </w:r>
      <w:r w:rsidR="002955C8" w:rsidRPr="002955C8">
        <w:rPr>
          <w:rFonts w:ascii="Times New Roman" w:hAnsi="Times New Roman" w:cs="Times New Roman"/>
          <w:i/>
          <w:iCs/>
          <w:sz w:val="24"/>
          <w:szCs w:val="24"/>
        </w:rPr>
        <w:t>Attorney-General v Tarwireyi</w:t>
      </w:r>
      <w:r w:rsidR="002955C8" w:rsidRPr="002955C8">
        <w:rPr>
          <w:rFonts w:ascii="Times New Roman" w:hAnsi="Times New Roman" w:cs="Times New Roman"/>
          <w:sz w:val="24"/>
          <w:szCs w:val="24"/>
        </w:rPr>
        <w:t>1997 (1) ZLR 575(S) 576.</w:t>
      </w:r>
    </w:p>
    <w:p w14:paraId="66B2B2E1" w14:textId="3C46D8B5" w:rsidR="002955C8" w:rsidRDefault="002955C8" w:rsidP="00FA639B">
      <w:pPr>
        <w:rPr>
          <w:rFonts w:ascii="Times New Roman" w:hAnsi="Times New Roman" w:cs="Times New Roman"/>
          <w:sz w:val="24"/>
          <w:szCs w:val="24"/>
        </w:rPr>
      </w:pPr>
      <w:r>
        <w:rPr>
          <w:rFonts w:ascii="Times New Roman" w:hAnsi="Times New Roman" w:cs="Times New Roman"/>
          <w:sz w:val="24"/>
          <w:szCs w:val="24"/>
        </w:rPr>
        <w:t>[</w:t>
      </w:r>
      <w:r w:rsidR="00A56001">
        <w:rPr>
          <w:rFonts w:ascii="Times New Roman" w:hAnsi="Times New Roman" w:cs="Times New Roman"/>
          <w:sz w:val="24"/>
          <w:szCs w:val="24"/>
        </w:rPr>
        <w:t>6</w:t>
      </w:r>
      <w:r>
        <w:rPr>
          <w:rFonts w:ascii="Times New Roman" w:hAnsi="Times New Roman" w:cs="Times New Roman"/>
          <w:sz w:val="24"/>
          <w:szCs w:val="24"/>
        </w:rPr>
        <w:t xml:space="preserve">] </w:t>
      </w:r>
      <w:r w:rsidRPr="002955C8">
        <w:rPr>
          <w:rFonts w:ascii="Times New Roman" w:hAnsi="Times New Roman" w:cs="Times New Roman"/>
          <w:sz w:val="24"/>
          <w:szCs w:val="24"/>
        </w:rPr>
        <w:t xml:space="preserve">The question is whether the credibility of the State witnesses has any role to play when a discharge is sought </w:t>
      </w:r>
      <w:r w:rsidR="00A56001">
        <w:rPr>
          <w:rFonts w:ascii="Times New Roman" w:hAnsi="Times New Roman" w:cs="Times New Roman"/>
          <w:sz w:val="24"/>
          <w:szCs w:val="24"/>
        </w:rPr>
        <w:t>in terms of s 19</w:t>
      </w:r>
      <w:r w:rsidR="00264AF2">
        <w:rPr>
          <w:rFonts w:ascii="Times New Roman" w:hAnsi="Times New Roman" w:cs="Times New Roman"/>
          <w:sz w:val="24"/>
          <w:szCs w:val="24"/>
        </w:rPr>
        <w:t>8</w:t>
      </w:r>
      <w:r w:rsidR="00A56001">
        <w:rPr>
          <w:rFonts w:ascii="Times New Roman" w:hAnsi="Times New Roman" w:cs="Times New Roman"/>
          <w:sz w:val="24"/>
          <w:szCs w:val="24"/>
        </w:rPr>
        <w:t xml:space="preserve"> (3)</w:t>
      </w:r>
      <w:r w:rsidRPr="002955C8">
        <w:rPr>
          <w:rFonts w:ascii="Times New Roman" w:hAnsi="Times New Roman" w:cs="Times New Roman"/>
          <w:sz w:val="24"/>
          <w:szCs w:val="24"/>
        </w:rPr>
        <w:t xml:space="preserve">. Whilst it is settled that a court shall discharge at the </w:t>
      </w:r>
      <w:r>
        <w:rPr>
          <w:rFonts w:ascii="Times New Roman" w:hAnsi="Times New Roman" w:cs="Times New Roman"/>
          <w:sz w:val="24"/>
          <w:szCs w:val="24"/>
        </w:rPr>
        <w:t>close for the case for the prosecution</w:t>
      </w:r>
      <w:r w:rsidRPr="002955C8">
        <w:rPr>
          <w:rFonts w:ascii="Times New Roman" w:hAnsi="Times New Roman" w:cs="Times New Roman"/>
          <w:sz w:val="24"/>
          <w:szCs w:val="24"/>
        </w:rPr>
        <w:t xml:space="preserve"> where the evidence of the </w:t>
      </w:r>
      <w:r>
        <w:rPr>
          <w:rFonts w:ascii="Times New Roman" w:hAnsi="Times New Roman" w:cs="Times New Roman"/>
          <w:sz w:val="24"/>
          <w:szCs w:val="24"/>
        </w:rPr>
        <w:t>State</w:t>
      </w:r>
      <w:r w:rsidRPr="002955C8">
        <w:rPr>
          <w:rFonts w:ascii="Times New Roman" w:hAnsi="Times New Roman" w:cs="Times New Roman"/>
          <w:sz w:val="24"/>
          <w:szCs w:val="24"/>
        </w:rPr>
        <w:t xml:space="preserve"> witness has been so discredited as a result of cross-examination or is so manifestly unreliable that no reasonable tribunal could safely convict on it, it is clear that such cases will be rare. See </w:t>
      </w:r>
      <w:r w:rsidRPr="002955C8">
        <w:rPr>
          <w:rFonts w:ascii="Times New Roman" w:hAnsi="Times New Roman" w:cs="Times New Roman"/>
          <w:i/>
          <w:iCs/>
          <w:sz w:val="24"/>
          <w:szCs w:val="24"/>
        </w:rPr>
        <w:t xml:space="preserve">Attorney-General v </w:t>
      </w:r>
      <w:proofErr w:type="spellStart"/>
      <w:r w:rsidRPr="002955C8">
        <w:rPr>
          <w:rFonts w:ascii="Times New Roman" w:hAnsi="Times New Roman" w:cs="Times New Roman"/>
          <w:i/>
          <w:iCs/>
          <w:sz w:val="24"/>
          <w:szCs w:val="24"/>
        </w:rPr>
        <w:t>Bvuma</w:t>
      </w:r>
      <w:proofErr w:type="spellEnd"/>
      <w:r w:rsidRPr="002955C8">
        <w:rPr>
          <w:rFonts w:ascii="Times New Roman" w:hAnsi="Times New Roman" w:cs="Times New Roman"/>
          <w:i/>
          <w:iCs/>
          <w:sz w:val="24"/>
          <w:szCs w:val="24"/>
        </w:rPr>
        <w:t xml:space="preserve"> &amp; Another</w:t>
      </w:r>
      <w:r w:rsidRPr="002955C8">
        <w:rPr>
          <w:rFonts w:ascii="Times New Roman" w:hAnsi="Times New Roman" w:cs="Times New Roman"/>
          <w:sz w:val="24"/>
          <w:szCs w:val="24"/>
        </w:rPr>
        <w:t>, (</w:t>
      </w:r>
      <w:r w:rsidRPr="002955C8">
        <w:rPr>
          <w:rFonts w:ascii="Times New Roman" w:hAnsi="Times New Roman" w:cs="Times New Roman"/>
          <w:i/>
          <w:iCs/>
          <w:sz w:val="24"/>
          <w:szCs w:val="24"/>
        </w:rPr>
        <w:t>supra) </w:t>
      </w:r>
      <w:r w:rsidRPr="002955C8">
        <w:rPr>
          <w:rFonts w:ascii="Times New Roman" w:hAnsi="Times New Roman" w:cs="Times New Roman"/>
          <w:sz w:val="24"/>
          <w:szCs w:val="24"/>
        </w:rPr>
        <w:t xml:space="preserve">at 102,103). This would apply only in the most exceptional case </w:t>
      </w:r>
      <w:r w:rsidRPr="002955C8">
        <w:rPr>
          <w:rFonts w:ascii="Times New Roman" w:hAnsi="Times New Roman" w:cs="Times New Roman"/>
          <w:sz w:val="24"/>
          <w:szCs w:val="24"/>
        </w:rPr>
        <w:lastRenderedPageBreak/>
        <w:t>where the credibility of a witness is so utterly destroyed that no part of his material evidence can possibly be believed. See </w:t>
      </w:r>
      <w:r w:rsidRPr="002955C8">
        <w:rPr>
          <w:rFonts w:ascii="Times New Roman" w:hAnsi="Times New Roman" w:cs="Times New Roman"/>
          <w:i/>
          <w:iCs/>
          <w:sz w:val="24"/>
          <w:szCs w:val="24"/>
        </w:rPr>
        <w:t xml:space="preserve">S v </w:t>
      </w:r>
      <w:proofErr w:type="spellStart"/>
      <w:r w:rsidRPr="002955C8">
        <w:rPr>
          <w:rFonts w:ascii="Times New Roman" w:hAnsi="Times New Roman" w:cs="Times New Roman"/>
          <w:i/>
          <w:iCs/>
          <w:sz w:val="24"/>
          <w:szCs w:val="24"/>
        </w:rPr>
        <w:t>Mpetwa</w:t>
      </w:r>
      <w:proofErr w:type="spellEnd"/>
      <w:r w:rsidRPr="002955C8">
        <w:rPr>
          <w:rFonts w:ascii="Times New Roman" w:hAnsi="Times New Roman" w:cs="Times New Roman"/>
          <w:i/>
          <w:iCs/>
          <w:sz w:val="24"/>
          <w:szCs w:val="24"/>
        </w:rPr>
        <w:t xml:space="preserve"> &amp; O</w:t>
      </w:r>
      <w:r w:rsidRPr="002955C8">
        <w:rPr>
          <w:rFonts w:ascii="Times New Roman" w:hAnsi="Times New Roman" w:cs="Times New Roman"/>
          <w:sz w:val="24"/>
          <w:szCs w:val="24"/>
        </w:rPr>
        <w:t>thers 1983 (4) S.A. 262, 265; </w:t>
      </w:r>
      <w:r w:rsidRPr="002955C8">
        <w:rPr>
          <w:rFonts w:ascii="Times New Roman" w:hAnsi="Times New Roman" w:cs="Times New Roman"/>
          <w:i/>
          <w:iCs/>
          <w:sz w:val="24"/>
          <w:szCs w:val="24"/>
        </w:rPr>
        <w:t>Attorney</w:t>
      </w:r>
      <w:r w:rsidRPr="002955C8">
        <w:rPr>
          <w:rFonts w:ascii="Times New Roman" w:hAnsi="Times New Roman" w:cs="Times New Roman"/>
          <w:sz w:val="24"/>
          <w:szCs w:val="24"/>
        </w:rPr>
        <w:t>-</w:t>
      </w:r>
      <w:r w:rsidRPr="002955C8">
        <w:rPr>
          <w:rFonts w:ascii="Times New Roman" w:hAnsi="Times New Roman" w:cs="Times New Roman"/>
          <w:i/>
          <w:iCs/>
          <w:sz w:val="24"/>
          <w:szCs w:val="24"/>
        </w:rPr>
        <w:t xml:space="preserve">General v </w:t>
      </w:r>
      <w:proofErr w:type="spellStart"/>
      <w:r w:rsidRPr="002955C8">
        <w:rPr>
          <w:rFonts w:ascii="Times New Roman" w:hAnsi="Times New Roman" w:cs="Times New Roman"/>
          <w:i/>
          <w:iCs/>
          <w:sz w:val="24"/>
          <w:szCs w:val="24"/>
        </w:rPr>
        <w:t>Tarwirei</w:t>
      </w:r>
      <w:proofErr w:type="spellEnd"/>
      <w:r w:rsidRPr="002955C8">
        <w:rPr>
          <w:rFonts w:ascii="Times New Roman" w:hAnsi="Times New Roman" w:cs="Times New Roman"/>
          <w:i/>
          <w:iCs/>
          <w:sz w:val="24"/>
          <w:szCs w:val="24"/>
        </w:rPr>
        <w:t xml:space="preserve"> (supra) </w:t>
      </w:r>
      <w:r w:rsidRPr="002955C8">
        <w:rPr>
          <w:rFonts w:ascii="Times New Roman" w:hAnsi="Times New Roman" w:cs="Times New Roman"/>
          <w:sz w:val="24"/>
          <w:szCs w:val="24"/>
        </w:rPr>
        <w:t>at 576, 577.</w:t>
      </w:r>
    </w:p>
    <w:p w14:paraId="47F71256" w14:textId="22FA3162" w:rsidR="00CA396D" w:rsidRDefault="002955C8" w:rsidP="00FA639B">
      <w:pPr>
        <w:rPr>
          <w:rFonts w:ascii="Times New Roman" w:hAnsi="Times New Roman" w:cs="Times New Roman"/>
          <w:sz w:val="24"/>
          <w:szCs w:val="24"/>
        </w:rPr>
      </w:pPr>
      <w:r>
        <w:rPr>
          <w:rFonts w:ascii="Times New Roman" w:hAnsi="Times New Roman" w:cs="Times New Roman"/>
          <w:sz w:val="24"/>
          <w:szCs w:val="24"/>
        </w:rPr>
        <w:t>[</w:t>
      </w:r>
      <w:r w:rsidR="00A56001">
        <w:rPr>
          <w:rFonts w:ascii="Times New Roman" w:hAnsi="Times New Roman" w:cs="Times New Roman"/>
          <w:sz w:val="24"/>
          <w:szCs w:val="24"/>
        </w:rPr>
        <w:t>7</w:t>
      </w:r>
      <w:r>
        <w:rPr>
          <w:rFonts w:ascii="Times New Roman" w:hAnsi="Times New Roman" w:cs="Times New Roman"/>
          <w:sz w:val="24"/>
          <w:szCs w:val="24"/>
        </w:rPr>
        <w:t xml:space="preserve">] </w:t>
      </w:r>
      <w:r w:rsidRPr="002955C8">
        <w:rPr>
          <w:rFonts w:ascii="Times New Roman" w:hAnsi="Times New Roman" w:cs="Times New Roman"/>
          <w:sz w:val="24"/>
          <w:szCs w:val="24"/>
        </w:rPr>
        <w:t>In general</w:t>
      </w:r>
      <w:r w:rsidR="00A56001">
        <w:rPr>
          <w:rFonts w:ascii="Times New Roman" w:hAnsi="Times New Roman" w:cs="Times New Roman"/>
          <w:sz w:val="24"/>
          <w:szCs w:val="24"/>
        </w:rPr>
        <w:t>,</w:t>
      </w:r>
      <w:r w:rsidRPr="002955C8">
        <w:rPr>
          <w:rFonts w:ascii="Times New Roman" w:hAnsi="Times New Roman" w:cs="Times New Roman"/>
          <w:sz w:val="24"/>
          <w:szCs w:val="24"/>
        </w:rPr>
        <w:t xml:space="preserve"> the position </w:t>
      </w:r>
      <w:r>
        <w:rPr>
          <w:rFonts w:ascii="Times New Roman" w:hAnsi="Times New Roman" w:cs="Times New Roman"/>
          <w:sz w:val="24"/>
          <w:szCs w:val="24"/>
        </w:rPr>
        <w:t>seems</w:t>
      </w:r>
      <w:r w:rsidRPr="002955C8">
        <w:rPr>
          <w:rFonts w:ascii="Times New Roman" w:hAnsi="Times New Roman" w:cs="Times New Roman"/>
          <w:sz w:val="24"/>
          <w:szCs w:val="24"/>
        </w:rPr>
        <w:t xml:space="preserve"> to be that, although credibility is a factor that can be considered at this stage, it plays a very limited role. If there is evidence supporting the charge, an application for discharge can only be </w:t>
      </w:r>
      <w:r>
        <w:rPr>
          <w:rFonts w:ascii="Times New Roman" w:hAnsi="Times New Roman" w:cs="Times New Roman"/>
          <w:sz w:val="24"/>
          <w:szCs w:val="24"/>
        </w:rPr>
        <w:t>upheld</w:t>
      </w:r>
      <w:r w:rsidRPr="002955C8">
        <w:rPr>
          <w:rFonts w:ascii="Times New Roman" w:hAnsi="Times New Roman" w:cs="Times New Roman"/>
          <w:sz w:val="24"/>
          <w:szCs w:val="24"/>
        </w:rPr>
        <w:t xml:space="preserve"> if that evidence is of such a poor quality that it cannot, in the opinion of the trial court, be accepted by any reasonable court. See </w:t>
      </w:r>
      <w:r w:rsidRPr="002955C8">
        <w:rPr>
          <w:rFonts w:ascii="Times New Roman" w:hAnsi="Times New Roman" w:cs="Times New Roman"/>
          <w:i/>
          <w:iCs/>
          <w:sz w:val="24"/>
          <w:szCs w:val="24"/>
        </w:rPr>
        <w:t>S v Teek </w:t>
      </w:r>
      <w:r w:rsidRPr="002955C8">
        <w:rPr>
          <w:rFonts w:ascii="Times New Roman" w:hAnsi="Times New Roman" w:cs="Times New Roman"/>
          <w:sz w:val="24"/>
          <w:szCs w:val="24"/>
        </w:rPr>
        <w:t>2009 (1) NR 127 (SC) at 131A-B;</w:t>
      </w:r>
      <w:r>
        <w:rPr>
          <w:rFonts w:ascii="Times New Roman" w:hAnsi="Times New Roman" w:cs="Times New Roman"/>
          <w:sz w:val="24"/>
          <w:szCs w:val="24"/>
        </w:rPr>
        <w:t xml:space="preserve"> </w:t>
      </w:r>
      <w:r w:rsidRPr="002955C8">
        <w:rPr>
          <w:rFonts w:ascii="Times New Roman" w:hAnsi="Times New Roman" w:cs="Times New Roman"/>
          <w:i/>
          <w:iCs/>
          <w:sz w:val="24"/>
          <w:szCs w:val="24"/>
        </w:rPr>
        <w:t xml:space="preserve">S v </w:t>
      </w:r>
      <w:proofErr w:type="spellStart"/>
      <w:r w:rsidRPr="002955C8">
        <w:rPr>
          <w:rFonts w:ascii="Times New Roman" w:hAnsi="Times New Roman" w:cs="Times New Roman"/>
          <w:i/>
          <w:iCs/>
          <w:sz w:val="24"/>
          <w:szCs w:val="24"/>
        </w:rPr>
        <w:t>Mpetha</w:t>
      </w:r>
      <w:proofErr w:type="spellEnd"/>
      <w:r w:rsidRPr="002955C8">
        <w:rPr>
          <w:rFonts w:ascii="Times New Roman" w:hAnsi="Times New Roman" w:cs="Times New Roman"/>
          <w:i/>
          <w:iCs/>
          <w:sz w:val="24"/>
          <w:szCs w:val="24"/>
        </w:rPr>
        <w:t xml:space="preserve"> and Others </w:t>
      </w:r>
      <w:r w:rsidRPr="002955C8">
        <w:rPr>
          <w:rFonts w:ascii="Times New Roman" w:hAnsi="Times New Roman" w:cs="Times New Roman"/>
          <w:sz w:val="24"/>
          <w:szCs w:val="24"/>
        </w:rPr>
        <w:t>1983 (4) SA 262 (C) at 265; </w:t>
      </w:r>
      <w:r w:rsidRPr="002955C8">
        <w:rPr>
          <w:rFonts w:ascii="Times New Roman" w:hAnsi="Times New Roman" w:cs="Times New Roman"/>
          <w:i/>
          <w:iCs/>
          <w:sz w:val="24"/>
          <w:szCs w:val="24"/>
        </w:rPr>
        <w:t xml:space="preserve">S v </w:t>
      </w:r>
      <w:proofErr w:type="spellStart"/>
      <w:r w:rsidRPr="002955C8">
        <w:rPr>
          <w:rFonts w:ascii="Times New Roman" w:hAnsi="Times New Roman" w:cs="Times New Roman"/>
          <w:i/>
          <w:iCs/>
          <w:sz w:val="24"/>
          <w:szCs w:val="24"/>
        </w:rPr>
        <w:t>Nakale</w:t>
      </w:r>
      <w:r w:rsidRPr="002955C8">
        <w:rPr>
          <w:rFonts w:ascii="Times New Roman" w:hAnsi="Times New Roman" w:cs="Times New Roman"/>
          <w:sz w:val="24"/>
          <w:szCs w:val="24"/>
        </w:rPr>
        <w:t>supra</w:t>
      </w:r>
      <w:proofErr w:type="spellEnd"/>
      <w:r w:rsidRPr="002955C8">
        <w:rPr>
          <w:rFonts w:ascii="Times New Roman" w:hAnsi="Times New Roman" w:cs="Times New Roman"/>
          <w:sz w:val="24"/>
          <w:szCs w:val="24"/>
        </w:rPr>
        <w:t xml:space="preserve"> at 458)</w:t>
      </w:r>
      <w:r>
        <w:rPr>
          <w:rFonts w:ascii="Times New Roman" w:hAnsi="Times New Roman" w:cs="Times New Roman"/>
          <w:sz w:val="24"/>
          <w:szCs w:val="24"/>
        </w:rPr>
        <w:t xml:space="preserve">; </w:t>
      </w:r>
      <w:r w:rsidRPr="00CA396D">
        <w:rPr>
          <w:rFonts w:ascii="Times New Roman" w:hAnsi="Times New Roman" w:cs="Times New Roman"/>
          <w:i/>
          <w:iCs/>
          <w:sz w:val="24"/>
          <w:szCs w:val="24"/>
        </w:rPr>
        <w:t xml:space="preserve">S v </w:t>
      </w:r>
      <w:proofErr w:type="spellStart"/>
      <w:r w:rsidRPr="00CA396D">
        <w:rPr>
          <w:rFonts w:ascii="Times New Roman" w:hAnsi="Times New Roman" w:cs="Times New Roman"/>
          <w:i/>
          <w:iCs/>
          <w:sz w:val="24"/>
          <w:szCs w:val="24"/>
        </w:rPr>
        <w:t>Hlambelo</w:t>
      </w:r>
      <w:proofErr w:type="spellEnd"/>
      <w:r w:rsidRPr="002955C8">
        <w:rPr>
          <w:rFonts w:ascii="Times New Roman" w:hAnsi="Times New Roman" w:cs="Times New Roman"/>
          <w:sz w:val="24"/>
          <w:szCs w:val="24"/>
        </w:rPr>
        <w:t xml:space="preserve"> (HB 251 of 2020; HC CRB 100 of 2020) [2020] ZWBHC 251 (8 October 2020)</w:t>
      </w:r>
      <w:r>
        <w:rPr>
          <w:rFonts w:ascii="Times New Roman" w:hAnsi="Times New Roman" w:cs="Times New Roman"/>
          <w:sz w:val="24"/>
          <w:szCs w:val="24"/>
        </w:rPr>
        <w:t xml:space="preserve">; </w:t>
      </w:r>
      <w:proofErr w:type="spellStart"/>
      <w:r w:rsidR="00CA396D" w:rsidRPr="00CA396D">
        <w:rPr>
          <w:rFonts w:ascii="Times New Roman" w:hAnsi="Times New Roman" w:cs="Times New Roman"/>
          <w:i/>
          <w:iCs/>
          <w:sz w:val="24"/>
          <w:szCs w:val="24"/>
        </w:rPr>
        <w:t>Muridzo</w:t>
      </w:r>
      <w:proofErr w:type="spellEnd"/>
      <w:r w:rsidR="00CA396D" w:rsidRPr="00CA396D">
        <w:rPr>
          <w:rFonts w:ascii="Times New Roman" w:hAnsi="Times New Roman" w:cs="Times New Roman"/>
          <w:i/>
          <w:iCs/>
          <w:sz w:val="24"/>
          <w:szCs w:val="24"/>
        </w:rPr>
        <w:t xml:space="preserve"> v The State</w:t>
      </w:r>
      <w:r w:rsidR="00CA396D">
        <w:rPr>
          <w:rFonts w:ascii="Times New Roman" w:hAnsi="Times New Roman" w:cs="Times New Roman"/>
          <w:sz w:val="24"/>
          <w:szCs w:val="24"/>
        </w:rPr>
        <w:t xml:space="preserve"> HH 229/22. </w:t>
      </w:r>
    </w:p>
    <w:p w14:paraId="0DADCB90" w14:textId="2F18B884" w:rsidR="0000779A" w:rsidRPr="00C5723D" w:rsidRDefault="00CA396D" w:rsidP="00B65BD9">
      <w:pPr>
        <w:rPr>
          <w:rFonts w:ascii="Times New Roman" w:hAnsi="Times New Roman" w:cs="Times New Roman"/>
          <w:sz w:val="24"/>
          <w:szCs w:val="24"/>
          <w:lang w:val="en-GB"/>
        </w:rPr>
      </w:pPr>
      <w:r>
        <w:rPr>
          <w:rFonts w:ascii="Times New Roman" w:hAnsi="Times New Roman" w:cs="Times New Roman"/>
          <w:sz w:val="24"/>
          <w:szCs w:val="24"/>
        </w:rPr>
        <w:t>[</w:t>
      </w:r>
      <w:r w:rsidR="00C5723D">
        <w:rPr>
          <w:rFonts w:ascii="Times New Roman" w:hAnsi="Times New Roman" w:cs="Times New Roman"/>
          <w:sz w:val="24"/>
          <w:szCs w:val="24"/>
        </w:rPr>
        <w:t>8</w:t>
      </w:r>
      <w:r>
        <w:rPr>
          <w:rFonts w:ascii="Times New Roman" w:hAnsi="Times New Roman" w:cs="Times New Roman"/>
          <w:sz w:val="24"/>
          <w:szCs w:val="24"/>
        </w:rPr>
        <w:t xml:space="preserve">] </w:t>
      </w:r>
      <w:r w:rsidR="00A56001">
        <w:rPr>
          <w:rFonts w:ascii="Times New Roman" w:hAnsi="Times New Roman" w:cs="Times New Roman"/>
          <w:sz w:val="24"/>
          <w:szCs w:val="24"/>
        </w:rPr>
        <w:t>I now turn to consider, in the light of the evidence presented by the prosecution whether a case for a discharge in terms of s 19</w:t>
      </w:r>
      <w:r w:rsidR="00264AF2">
        <w:rPr>
          <w:rFonts w:ascii="Times New Roman" w:hAnsi="Times New Roman" w:cs="Times New Roman"/>
          <w:sz w:val="24"/>
          <w:szCs w:val="24"/>
        </w:rPr>
        <w:t>8</w:t>
      </w:r>
      <w:r w:rsidR="00A56001">
        <w:rPr>
          <w:rFonts w:ascii="Times New Roman" w:hAnsi="Times New Roman" w:cs="Times New Roman"/>
          <w:sz w:val="24"/>
          <w:szCs w:val="24"/>
        </w:rPr>
        <w:t xml:space="preserve"> (3) has been made. </w:t>
      </w:r>
      <w:r w:rsidR="00C5723D">
        <w:rPr>
          <w:rFonts w:ascii="Times New Roman" w:hAnsi="Times New Roman" w:cs="Times New Roman"/>
          <w:sz w:val="24"/>
          <w:szCs w:val="24"/>
        </w:rPr>
        <w:t>The point of departure is that there is</w:t>
      </w:r>
      <w:r w:rsidRPr="00CA396D">
        <w:rPr>
          <w:rFonts w:ascii="Times New Roman" w:hAnsi="Times New Roman" w:cs="Times New Roman"/>
          <w:sz w:val="24"/>
          <w:szCs w:val="24"/>
        </w:rPr>
        <w:t xml:space="preserve"> evidence</w:t>
      </w:r>
      <w:r w:rsidR="00E91F20">
        <w:rPr>
          <w:rFonts w:ascii="Times New Roman" w:hAnsi="Times New Roman" w:cs="Times New Roman"/>
          <w:sz w:val="24"/>
          <w:szCs w:val="24"/>
        </w:rPr>
        <w:t xml:space="preserve"> in the form of a</w:t>
      </w:r>
      <w:r w:rsidRPr="00CA396D">
        <w:rPr>
          <w:rFonts w:ascii="Times New Roman" w:hAnsi="Times New Roman" w:cs="Times New Roman"/>
          <w:sz w:val="24"/>
          <w:szCs w:val="24"/>
        </w:rPr>
        <w:t xml:space="preserve"> post mortem report that </w:t>
      </w:r>
      <w:proofErr w:type="spellStart"/>
      <w:r w:rsidR="00E91F20" w:rsidRPr="0037626C">
        <w:rPr>
          <w:rFonts w:ascii="Times New Roman" w:hAnsi="Times New Roman" w:cs="Times New Roman"/>
          <w:sz w:val="24"/>
          <w:szCs w:val="24"/>
        </w:rPr>
        <w:t>Thengile</w:t>
      </w:r>
      <w:proofErr w:type="spellEnd"/>
      <w:r w:rsidR="00E91F20" w:rsidRPr="0037626C">
        <w:rPr>
          <w:rFonts w:ascii="Times New Roman" w:hAnsi="Times New Roman" w:cs="Times New Roman"/>
          <w:sz w:val="24"/>
          <w:szCs w:val="24"/>
        </w:rPr>
        <w:t xml:space="preserve"> </w:t>
      </w:r>
      <w:proofErr w:type="spellStart"/>
      <w:r w:rsidR="00E91F20" w:rsidRPr="0037626C">
        <w:rPr>
          <w:rFonts w:ascii="Times New Roman" w:hAnsi="Times New Roman" w:cs="Times New Roman"/>
          <w:sz w:val="24"/>
          <w:szCs w:val="24"/>
        </w:rPr>
        <w:t>Nyathi</w:t>
      </w:r>
      <w:proofErr w:type="spellEnd"/>
      <w:r w:rsidR="00E91F20">
        <w:rPr>
          <w:rFonts w:ascii="Times New Roman" w:hAnsi="Times New Roman" w:cs="Times New Roman"/>
          <w:sz w:val="24"/>
          <w:szCs w:val="24"/>
        </w:rPr>
        <w:t xml:space="preserve"> died and that </w:t>
      </w:r>
      <w:r w:rsidR="00C5723D">
        <w:rPr>
          <w:rFonts w:ascii="Times New Roman" w:hAnsi="Times New Roman" w:cs="Times New Roman"/>
          <w:sz w:val="24"/>
          <w:szCs w:val="24"/>
        </w:rPr>
        <w:t>the</w:t>
      </w:r>
      <w:r w:rsidR="00E91F20">
        <w:rPr>
          <w:rFonts w:ascii="Times New Roman" w:hAnsi="Times New Roman" w:cs="Times New Roman"/>
          <w:sz w:val="24"/>
          <w:szCs w:val="24"/>
        </w:rPr>
        <w:t xml:space="preserve"> cause of death was </w:t>
      </w:r>
      <w:r w:rsidR="00E91F20">
        <w:rPr>
          <w:rFonts w:ascii="Times New Roman" w:hAnsi="Times New Roman" w:cs="Times New Roman"/>
          <w:sz w:val="24"/>
          <w:szCs w:val="24"/>
          <w:lang w:val="en-GB"/>
        </w:rPr>
        <w:t xml:space="preserve">intracranial haemorrhage; blunt force trauma head; and assault. </w:t>
      </w:r>
      <w:r w:rsidR="00B65BD9">
        <w:rPr>
          <w:rFonts w:ascii="Times New Roman" w:hAnsi="Times New Roman" w:cs="Times New Roman"/>
          <w:sz w:val="24"/>
          <w:szCs w:val="24"/>
          <w:lang w:val="en-GB"/>
        </w:rPr>
        <w:t xml:space="preserve">In respect of accused 1 </w:t>
      </w:r>
      <w:r w:rsidR="00B65BD9">
        <w:rPr>
          <w:rFonts w:ascii="Times New Roman" w:hAnsi="Times New Roman" w:cs="Times New Roman"/>
          <w:sz w:val="24"/>
          <w:szCs w:val="24"/>
        </w:rPr>
        <w:t xml:space="preserve">there is evidence of Ernest Ncube admitted in terms of s 314 of the CP &amp; E Act that he </w:t>
      </w:r>
      <w:r w:rsidR="00C5723D">
        <w:rPr>
          <w:rFonts w:ascii="Times New Roman" w:hAnsi="Times New Roman" w:cs="Times New Roman"/>
          <w:sz w:val="24"/>
          <w:szCs w:val="24"/>
        </w:rPr>
        <w:t>beat</w:t>
      </w:r>
      <w:r w:rsidR="00B65BD9">
        <w:rPr>
          <w:rFonts w:ascii="Times New Roman" w:hAnsi="Times New Roman" w:cs="Times New Roman"/>
          <w:sz w:val="24"/>
          <w:szCs w:val="24"/>
        </w:rPr>
        <w:t xml:space="preserve"> the deceased with an open hand once on the face and also </w:t>
      </w:r>
      <w:r w:rsidR="00C5723D">
        <w:rPr>
          <w:rFonts w:ascii="Times New Roman" w:hAnsi="Times New Roman" w:cs="Times New Roman"/>
          <w:sz w:val="24"/>
          <w:szCs w:val="24"/>
        </w:rPr>
        <w:t>struck him with</w:t>
      </w:r>
      <w:r w:rsidR="00B65BD9">
        <w:rPr>
          <w:rFonts w:ascii="Times New Roman" w:hAnsi="Times New Roman" w:cs="Times New Roman"/>
          <w:sz w:val="24"/>
          <w:szCs w:val="24"/>
        </w:rPr>
        <w:t xml:space="preserve"> a stick on his back. </w:t>
      </w:r>
      <w:r w:rsidR="00C5723D">
        <w:rPr>
          <w:rFonts w:ascii="Times New Roman" w:hAnsi="Times New Roman" w:cs="Times New Roman"/>
          <w:sz w:val="24"/>
          <w:szCs w:val="24"/>
        </w:rPr>
        <w:t>In addition, in</w:t>
      </w:r>
      <w:r w:rsidR="00B65BD9">
        <w:rPr>
          <w:rFonts w:ascii="Times New Roman" w:hAnsi="Times New Roman" w:cs="Times New Roman"/>
          <w:sz w:val="24"/>
          <w:szCs w:val="24"/>
        </w:rPr>
        <w:t xml:space="preserve"> his confirmed warned and cautioned statement received as an exhibit he admitted that he </w:t>
      </w:r>
      <w:r w:rsidR="00C5723D">
        <w:rPr>
          <w:rFonts w:ascii="Times New Roman" w:hAnsi="Times New Roman" w:cs="Times New Roman"/>
          <w:sz w:val="24"/>
          <w:szCs w:val="24"/>
        </w:rPr>
        <w:t>beat</w:t>
      </w:r>
      <w:r w:rsidR="00B65BD9">
        <w:rPr>
          <w:rFonts w:ascii="Times New Roman" w:hAnsi="Times New Roman" w:cs="Times New Roman"/>
          <w:sz w:val="24"/>
          <w:szCs w:val="24"/>
        </w:rPr>
        <w:t xml:space="preserve"> the deceased once with an open hand. </w:t>
      </w:r>
    </w:p>
    <w:p w14:paraId="13D1C514" w14:textId="0A200EA9" w:rsidR="0060053B" w:rsidRDefault="0000779A" w:rsidP="00B65BD9">
      <w:pPr>
        <w:rPr>
          <w:rFonts w:ascii="Times New Roman" w:hAnsi="Times New Roman" w:cs="Times New Roman"/>
          <w:sz w:val="24"/>
          <w:szCs w:val="24"/>
        </w:rPr>
      </w:pPr>
      <w:r>
        <w:rPr>
          <w:rFonts w:ascii="Times New Roman" w:hAnsi="Times New Roman" w:cs="Times New Roman"/>
          <w:sz w:val="24"/>
          <w:szCs w:val="24"/>
        </w:rPr>
        <w:t>[</w:t>
      </w:r>
      <w:r w:rsidR="00C5723D">
        <w:rPr>
          <w:rFonts w:ascii="Times New Roman" w:hAnsi="Times New Roman" w:cs="Times New Roman"/>
          <w:sz w:val="24"/>
          <w:szCs w:val="24"/>
        </w:rPr>
        <w:t>9</w:t>
      </w:r>
      <w:r>
        <w:rPr>
          <w:rFonts w:ascii="Times New Roman" w:hAnsi="Times New Roman" w:cs="Times New Roman"/>
          <w:sz w:val="24"/>
          <w:szCs w:val="24"/>
        </w:rPr>
        <w:t xml:space="preserve">] </w:t>
      </w:r>
      <w:r w:rsidR="003E67E0">
        <w:rPr>
          <w:rFonts w:ascii="Times New Roman" w:hAnsi="Times New Roman" w:cs="Times New Roman"/>
          <w:sz w:val="24"/>
          <w:szCs w:val="24"/>
        </w:rPr>
        <w:t xml:space="preserve">The evidence of Faith Sibanda is that accused 1 struck deceased with an open hand </w:t>
      </w:r>
      <w:r w:rsidR="00C5723D">
        <w:rPr>
          <w:rFonts w:ascii="Times New Roman" w:hAnsi="Times New Roman" w:cs="Times New Roman"/>
          <w:sz w:val="24"/>
          <w:szCs w:val="24"/>
        </w:rPr>
        <w:t>on</w:t>
      </w:r>
      <w:r w:rsidR="003E67E0">
        <w:rPr>
          <w:rFonts w:ascii="Times New Roman" w:hAnsi="Times New Roman" w:cs="Times New Roman"/>
          <w:sz w:val="24"/>
          <w:szCs w:val="24"/>
        </w:rPr>
        <w:t xml:space="preserve"> the face. </w:t>
      </w:r>
      <w:r w:rsidR="00156FCD">
        <w:rPr>
          <w:rFonts w:ascii="Times New Roman" w:hAnsi="Times New Roman" w:cs="Times New Roman"/>
          <w:sz w:val="24"/>
          <w:szCs w:val="24"/>
        </w:rPr>
        <w:t xml:space="preserve"> </w:t>
      </w:r>
      <w:r w:rsidR="00C5723D">
        <w:rPr>
          <w:rFonts w:ascii="Times New Roman" w:hAnsi="Times New Roman" w:cs="Times New Roman"/>
          <w:sz w:val="24"/>
          <w:szCs w:val="24"/>
        </w:rPr>
        <w:t>In addition, she testified that a</w:t>
      </w:r>
      <w:r w:rsidR="00156FCD">
        <w:rPr>
          <w:rFonts w:ascii="Times New Roman" w:hAnsi="Times New Roman" w:cs="Times New Roman"/>
          <w:sz w:val="24"/>
          <w:szCs w:val="24"/>
        </w:rPr>
        <w:t>ccused 2 lift</w:t>
      </w:r>
      <w:r>
        <w:rPr>
          <w:rFonts w:ascii="Times New Roman" w:hAnsi="Times New Roman" w:cs="Times New Roman"/>
          <w:sz w:val="24"/>
          <w:szCs w:val="24"/>
        </w:rPr>
        <w:t>ed</w:t>
      </w:r>
      <w:r w:rsidR="00156FCD">
        <w:rPr>
          <w:rFonts w:ascii="Times New Roman" w:hAnsi="Times New Roman" w:cs="Times New Roman"/>
          <w:sz w:val="24"/>
          <w:szCs w:val="24"/>
        </w:rPr>
        <w:t xml:space="preserve"> his hand and str</w:t>
      </w:r>
      <w:r>
        <w:rPr>
          <w:rFonts w:ascii="Times New Roman" w:hAnsi="Times New Roman" w:cs="Times New Roman"/>
          <w:sz w:val="24"/>
          <w:szCs w:val="24"/>
        </w:rPr>
        <w:t>uck</w:t>
      </w:r>
      <w:r w:rsidR="00156FCD">
        <w:rPr>
          <w:rFonts w:ascii="Times New Roman" w:hAnsi="Times New Roman" w:cs="Times New Roman"/>
          <w:sz w:val="24"/>
          <w:szCs w:val="24"/>
        </w:rPr>
        <w:t xml:space="preserve"> the deceased</w:t>
      </w:r>
      <w:r>
        <w:rPr>
          <w:rFonts w:ascii="Times New Roman" w:hAnsi="Times New Roman" w:cs="Times New Roman"/>
          <w:sz w:val="24"/>
          <w:szCs w:val="24"/>
        </w:rPr>
        <w:t>, and</w:t>
      </w:r>
      <w:r w:rsidR="00156FCD">
        <w:rPr>
          <w:rFonts w:ascii="Times New Roman" w:hAnsi="Times New Roman" w:cs="Times New Roman"/>
          <w:sz w:val="24"/>
          <w:szCs w:val="24"/>
        </w:rPr>
        <w:t xml:space="preserve"> beat him using hands. </w:t>
      </w:r>
      <w:r>
        <w:rPr>
          <w:rFonts w:ascii="Times New Roman" w:hAnsi="Times New Roman" w:cs="Times New Roman"/>
          <w:sz w:val="24"/>
          <w:szCs w:val="24"/>
        </w:rPr>
        <w:t xml:space="preserve">She testified </w:t>
      </w:r>
      <w:r w:rsidR="00C5723D">
        <w:rPr>
          <w:rFonts w:ascii="Times New Roman" w:hAnsi="Times New Roman" w:cs="Times New Roman"/>
          <w:sz w:val="24"/>
          <w:szCs w:val="24"/>
        </w:rPr>
        <w:t xml:space="preserve">further </w:t>
      </w:r>
      <w:r>
        <w:rPr>
          <w:rFonts w:ascii="Times New Roman" w:hAnsi="Times New Roman" w:cs="Times New Roman"/>
          <w:sz w:val="24"/>
          <w:szCs w:val="24"/>
        </w:rPr>
        <w:t>that accused 3 kicked the deceased causing him to fall on a rocky surface. After the kick</w:t>
      </w:r>
      <w:r w:rsidR="00C5723D">
        <w:rPr>
          <w:rFonts w:ascii="Times New Roman" w:hAnsi="Times New Roman" w:cs="Times New Roman"/>
          <w:sz w:val="24"/>
          <w:szCs w:val="24"/>
        </w:rPr>
        <w:t xml:space="preserve"> and the fall</w:t>
      </w:r>
      <w:r>
        <w:rPr>
          <w:rFonts w:ascii="Times New Roman" w:hAnsi="Times New Roman" w:cs="Times New Roman"/>
          <w:sz w:val="24"/>
          <w:szCs w:val="24"/>
        </w:rPr>
        <w:t xml:space="preserve">, the deceased bled from the nose and mouth. She testified that she saw accused 4 striking the deceased with an open hand, and accused 5 slapped him. </w:t>
      </w:r>
      <w:r w:rsidR="00156FCD">
        <w:rPr>
          <w:rFonts w:ascii="Times New Roman" w:hAnsi="Times New Roman" w:cs="Times New Roman"/>
          <w:sz w:val="24"/>
          <w:szCs w:val="24"/>
        </w:rPr>
        <w:t xml:space="preserve"> Sitshengisiwe Ncube testified that accused 2 slapped the deceased</w:t>
      </w:r>
      <w:r>
        <w:rPr>
          <w:rFonts w:ascii="Times New Roman" w:hAnsi="Times New Roman" w:cs="Times New Roman"/>
          <w:sz w:val="24"/>
          <w:szCs w:val="24"/>
        </w:rPr>
        <w:t xml:space="preserve">, and </w:t>
      </w:r>
      <w:r w:rsidR="0060053B">
        <w:rPr>
          <w:rFonts w:ascii="Times New Roman" w:hAnsi="Times New Roman" w:cs="Times New Roman"/>
          <w:sz w:val="24"/>
          <w:szCs w:val="24"/>
        </w:rPr>
        <w:t>accused 3 kick</w:t>
      </w:r>
      <w:r>
        <w:rPr>
          <w:rFonts w:ascii="Times New Roman" w:hAnsi="Times New Roman" w:cs="Times New Roman"/>
          <w:sz w:val="24"/>
          <w:szCs w:val="24"/>
        </w:rPr>
        <w:t>ed him</w:t>
      </w:r>
      <w:r w:rsidR="0060053B">
        <w:rPr>
          <w:rFonts w:ascii="Times New Roman" w:hAnsi="Times New Roman" w:cs="Times New Roman"/>
          <w:sz w:val="24"/>
          <w:szCs w:val="24"/>
        </w:rPr>
        <w:t xml:space="preserve"> causing him to fall on a rock, and </w:t>
      </w:r>
      <w:r>
        <w:rPr>
          <w:rFonts w:ascii="Times New Roman" w:hAnsi="Times New Roman" w:cs="Times New Roman"/>
          <w:sz w:val="24"/>
          <w:szCs w:val="24"/>
        </w:rPr>
        <w:t>he</w:t>
      </w:r>
      <w:r w:rsidR="0060053B">
        <w:rPr>
          <w:rFonts w:ascii="Times New Roman" w:hAnsi="Times New Roman" w:cs="Times New Roman"/>
          <w:sz w:val="24"/>
          <w:szCs w:val="24"/>
        </w:rPr>
        <w:t xml:space="preserve"> bled on the nose and mouth.</w:t>
      </w:r>
      <w:r>
        <w:rPr>
          <w:rFonts w:ascii="Times New Roman" w:hAnsi="Times New Roman" w:cs="Times New Roman"/>
          <w:sz w:val="24"/>
          <w:szCs w:val="24"/>
        </w:rPr>
        <w:t xml:space="preserve"> </w:t>
      </w:r>
    </w:p>
    <w:p w14:paraId="6F5426F8" w14:textId="18E10F3B" w:rsidR="000740F9" w:rsidRDefault="0000779A" w:rsidP="00FA639B">
      <w:pPr>
        <w:rPr>
          <w:rFonts w:ascii="Times New Roman" w:hAnsi="Times New Roman" w:cs="Times New Roman"/>
          <w:sz w:val="24"/>
          <w:szCs w:val="24"/>
        </w:rPr>
      </w:pPr>
      <w:r>
        <w:rPr>
          <w:rFonts w:ascii="Times New Roman" w:hAnsi="Times New Roman" w:cs="Times New Roman"/>
          <w:sz w:val="24"/>
          <w:szCs w:val="24"/>
        </w:rPr>
        <w:t>[1</w:t>
      </w:r>
      <w:r w:rsidR="00C5723D">
        <w:rPr>
          <w:rFonts w:ascii="Times New Roman" w:hAnsi="Times New Roman" w:cs="Times New Roman"/>
          <w:sz w:val="24"/>
          <w:szCs w:val="24"/>
        </w:rPr>
        <w:t>0</w:t>
      </w:r>
      <w:r>
        <w:rPr>
          <w:rFonts w:ascii="Times New Roman" w:hAnsi="Times New Roman" w:cs="Times New Roman"/>
          <w:sz w:val="24"/>
          <w:szCs w:val="24"/>
        </w:rPr>
        <w:t xml:space="preserve">] </w:t>
      </w:r>
      <w:r w:rsidR="00D46253">
        <w:rPr>
          <w:rFonts w:ascii="Times New Roman" w:hAnsi="Times New Roman" w:cs="Times New Roman"/>
          <w:sz w:val="24"/>
          <w:szCs w:val="24"/>
        </w:rPr>
        <w:t>A</w:t>
      </w:r>
      <w:r w:rsidR="00D46253" w:rsidRPr="00D46253">
        <w:rPr>
          <w:rFonts w:ascii="Times New Roman" w:hAnsi="Times New Roman" w:cs="Times New Roman"/>
          <w:sz w:val="24"/>
          <w:szCs w:val="24"/>
        </w:rPr>
        <w:t>t this stage of the proceedings, the simple question is; on the record is there evidence against the accused person</w:t>
      </w:r>
      <w:r w:rsidR="00D46253">
        <w:rPr>
          <w:rFonts w:ascii="Times New Roman" w:hAnsi="Times New Roman" w:cs="Times New Roman"/>
          <w:sz w:val="24"/>
          <w:szCs w:val="24"/>
        </w:rPr>
        <w:t>s</w:t>
      </w:r>
      <w:r w:rsidR="00D46253" w:rsidRPr="00D46253">
        <w:rPr>
          <w:rFonts w:ascii="Times New Roman" w:hAnsi="Times New Roman" w:cs="Times New Roman"/>
          <w:sz w:val="24"/>
          <w:szCs w:val="24"/>
        </w:rPr>
        <w:t xml:space="preserve"> which requires a reply</w:t>
      </w:r>
      <w:r w:rsidR="00264AF2">
        <w:rPr>
          <w:rFonts w:ascii="Times New Roman" w:hAnsi="Times New Roman" w:cs="Times New Roman"/>
          <w:sz w:val="24"/>
          <w:szCs w:val="24"/>
        </w:rPr>
        <w:t>?</w:t>
      </w:r>
      <w:r w:rsidR="00D46253">
        <w:rPr>
          <w:rFonts w:ascii="Times New Roman" w:hAnsi="Times New Roman" w:cs="Times New Roman"/>
          <w:sz w:val="24"/>
          <w:szCs w:val="24"/>
        </w:rPr>
        <w:t xml:space="preserve"> </w:t>
      </w:r>
      <w:r w:rsidR="00D46253" w:rsidRPr="00D46253">
        <w:rPr>
          <w:rFonts w:ascii="Times New Roman" w:hAnsi="Times New Roman" w:cs="Times New Roman"/>
          <w:sz w:val="24"/>
          <w:szCs w:val="24"/>
        </w:rPr>
        <w:t> </w:t>
      </w:r>
      <w:r w:rsidR="00C5723D">
        <w:rPr>
          <w:rFonts w:ascii="Times New Roman" w:hAnsi="Times New Roman" w:cs="Times New Roman"/>
          <w:sz w:val="24"/>
          <w:szCs w:val="24"/>
        </w:rPr>
        <w:t>My view is that there</w:t>
      </w:r>
      <w:r w:rsidR="00516FC4">
        <w:rPr>
          <w:rFonts w:ascii="Times New Roman" w:hAnsi="Times New Roman" w:cs="Times New Roman"/>
          <w:sz w:val="24"/>
          <w:szCs w:val="24"/>
        </w:rPr>
        <w:t xml:space="preserve"> is</w:t>
      </w:r>
      <w:r w:rsidR="00516FC4" w:rsidRPr="00CA396D">
        <w:rPr>
          <w:rFonts w:ascii="Times New Roman" w:hAnsi="Times New Roman" w:cs="Times New Roman"/>
          <w:sz w:val="24"/>
          <w:szCs w:val="24"/>
        </w:rPr>
        <w:t xml:space="preserve"> evidence</w:t>
      </w:r>
      <w:r w:rsidR="00516FC4">
        <w:rPr>
          <w:rFonts w:ascii="Times New Roman" w:hAnsi="Times New Roman" w:cs="Times New Roman"/>
          <w:sz w:val="24"/>
          <w:szCs w:val="24"/>
        </w:rPr>
        <w:t xml:space="preserve"> in the form of a</w:t>
      </w:r>
      <w:r w:rsidR="00516FC4" w:rsidRPr="00CA396D">
        <w:rPr>
          <w:rFonts w:ascii="Times New Roman" w:hAnsi="Times New Roman" w:cs="Times New Roman"/>
          <w:sz w:val="24"/>
          <w:szCs w:val="24"/>
        </w:rPr>
        <w:t xml:space="preserve"> post mortem report that </w:t>
      </w:r>
      <w:proofErr w:type="spellStart"/>
      <w:r w:rsidR="00516FC4" w:rsidRPr="0037626C">
        <w:rPr>
          <w:rFonts w:ascii="Times New Roman" w:hAnsi="Times New Roman" w:cs="Times New Roman"/>
          <w:sz w:val="24"/>
          <w:szCs w:val="24"/>
        </w:rPr>
        <w:t>Thengile</w:t>
      </w:r>
      <w:proofErr w:type="spellEnd"/>
      <w:r w:rsidR="00516FC4" w:rsidRPr="0037626C">
        <w:rPr>
          <w:rFonts w:ascii="Times New Roman" w:hAnsi="Times New Roman" w:cs="Times New Roman"/>
          <w:sz w:val="24"/>
          <w:szCs w:val="24"/>
        </w:rPr>
        <w:t xml:space="preserve"> </w:t>
      </w:r>
      <w:proofErr w:type="spellStart"/>
      <w:r w:rsidR="00516FC4" w:rsidRPr="0037626C">
        <w:rPr>
          <w:rFonts w:ascii="Times New Roman" w:hAnsi="Times New Roman" w:cs="Times New Roman"/>
          <w:sz w:val="24"/>
          <w:szCs w:val="24"/>
        </w:rPr>
        <w:t>Nyathi</w:t>
      </w:r>
      <w:proofErr w:type="spellEnd"/>
      <w:r w:rsidR="00516FC4">
        <w:rPr>
          <w:rFonts w:ascii="Times New Roman" w:hAnsi="Times New Roman" w:cs="Times New Roman"/>
          <w:sz w:val="24"/>
          <w:szCs w:val="24"/>
        </w:rPr>
        <w:t xml:space="preserve"> died and that his cause of death was </w:t>
      </w:r>
      <w:r w:rsidR="00516FC4">
        <w:rPr>
          <w:rFonts w:ascii="Times New Roman" w:hAnsi="Times New Roman" w:cs="Times New Roman"/>
          <w:sz w:val="24"/>
          <w:szCs w:val="24"/>
          <w:lang w:val="en-GB"/>
        </w:rPr>
        <w:t>intracranial haemorrhage; blunt force trauma head; and assault.</w:t>
      </w:r>
      <w:r w:rsidR="00264AF2">
        <w:rPr>
          <w:rFonts w:ascii="Times New Roman" w:hAnsi="Times New Roman" w:cs="Times New Roman"/>
          <w:sz w:val="24"/>
          <w:szCs w:val="24"/>
        </w:rPr>
        <w:t xml:space="preserve"> T</w:t>
      </w:r>
      <w:r w:rsidR="00D46253">
        <w:rPr>
          <w:rFonts w:ascii="Times New Roman" w:hAnsi="Times New Roman" w:cs="Times New Roman"/>
          <w:sz w:val="24"/>
          <w:szCs w:val="24"/>
        </w:rPr>
        <w:t xml:space="preserve">here is evidence that each accused </w:t>
      </w:r>
      <w:r w:rsidR="00264AF2">
        <w:rPr>
          <w:rFonts w:ascii="Times New Roman" w:hAnsi="Times New Roman" w:cs="Times New Roman"/>
          <w:sz w:val="24"/>
          <w:szCs w:val="24"/>
        </w:rPr>
        <w:t xml:space="preserve">person </w:t>
      </w:r>
      <w:r w:rsidR="00D46253">
        <w:rPr>
          <w:rFonts w:ascii="Times New Roman" w:hAnsi="Times New Roman" w:cs="Times New Roman"/>
          <w:sz w:val="24"/>
          <w:szCs w:val="24"/>
        </w:rPr>
        <w:t xml:space="preserve">either </w:t>
      </w:r>
      <w:r w:rsidR="00264AF2">
        <w:rPr>
          <w:rFonts w:ascii="Times New Roman" w:hAnsi="Times New Roman" w:cs="Times New Roman"/>
          <w:sz w:val="24"/>
          <w:szCs w:val="24"/>
        </w:rPr>
        <w:t xml:space="preserve">slapped </w:t>
      </w:r>
      <w:r w:rsidR="00D46253">
        <w:rPr>
          <w:rFonts w:ascii="Times New Roman" w:hAnsi="Times New Roman" w:cs="Times New Roman"/>
          <w:sz w:val="24"/>
          <w:szCs w:val="24"/>
        </w:rPr>
        <w:t xml:space="preserve">or kicked </w:t>
      </w:r>
      <w:r w:rsidR="00C22879">
        <w:rPr>
          <w:rFonts w:ascii="Times New Roman" w:hAnsi="Times New Roman" w:cs="Times New Roman"/>
          <w:sz w:val="24"/>
          <w:szCs w:val="24"/>
        </w:rPr>
        <w:t>the deceased</w:t>
      </w:r>
      <w:r w:rsidR="00D46253">
        <w:rPr>
          <w:rFonts w:ascii="Times New Roman" w:hAnsi="Times New Roman" w:cs="Times New Roman"/>
          <w:sz w:val="24"/>
          <w:szCs w:val="24"/>
        </w:rPr>
        <w:t xml:space="preserve">.  At this stage of the proceedings, the issues of inconsistences alluded to defence counsel, </w:t>
      </w:r>
      <w:r w:rsidR="001C4C01">
        <w:rPr>
          <w:rFonts w:ascii="Times New Roman" w:hAnsi="Times New Roman" w:cs="Times New Roman"/>
          <w:sz w:val="24"/>
          <w:szCs w:val="24"/>
        </w:rPr>
        <w:t xml:space="preserve">and </w:t>
      </w:r>
      <w:r w:rsidR="00D46253">
        <w:rPr>
          <w:rFonts w:ascii="Times New Roman" w:hAnsi="Times New Roman" w:cs="Times New Roman"/>
          <w:sz w:val="24"/>
          <w:szCs w:val="24"/>
        </w:rPr>
        <w:t>the weight to be accorded to the evidence of the State witnesses recedes to the remote background. The court will not even</w:t>
      </w:r>
      <w:r w:rsidR="00D46253" w:rsidRPr="00D46253">
        <w:rPr>
          <w:rFonts w:ascii="Times New Roman" w:hAnsi="Times New Roman" w:cs="Times New Roman"/>
          <w:sz w:val="24"/>
          <w:szCs w:val="24"/>
        </w:rPr>
        <w:t xml:space="preserve"> </w:t>
      </w:r>
      <w:r w:rsidR="001C4C01">
        <w:rPr>
          <w:rFonts w:ascii="Times New Roman" w:hAnsi="Times New Roman" w:cs="Times New Roman"/>
          <w:sz w:val="24"/>
          <w:szCs w:val="24"/>
        </w:rPr>
        <w:t xml:space="preserve">begin </w:t>
      </w:r>
      <w:r w:rsidR="00D46253" w:rsidRPr="00D46253">
        <w:rPr>
          <w:rFonts w:ascii="Times New Roman" w:hAnsi="Times New Roman" w:cs="Times New Roman"/>
          <w:sz w:val="24"/>
          <w:szCs w:val="24"/>
        </w:rPr>
        <w:t xml:space="preserve">analyse the probative value of the evidence adduced by the </w:t>
      </w:r>
      <w:r w:rsidR="00C22879">
        <w:rPr>
          <w:rFonts w:ascii="Times New Roman" w:hAnsi="Times New Roman" w:cs="Times New Roman"/>
          <w:sz w:val="24"/>
          <w:szCs w:val="24"/>
        </w:rPr>
        <w:t>prosecution</w:t>
      </w:r>
      <w:r w:rsidR="00516FC4">
        <w:rPr>
          <w:rFonts w:ascii="Times New Roman" w:hAnsi="Times New Roman" w:cs="Times New Roman"/>
          <w:sz w:val="24"/>
          <w:szCs w:val="24"/>
        </w:rPr>
        <w:t xml:space="preserve">, because that is a </w:t>
      </w:r>
      <w:r w:rsidR="00516FC4">
        <w:rPr>
          <w:rFonts w:ascii="Times New Roman" w:hAnsi="Times New Roman" w:cs="Times New Roman"/>
          <w:sz w:val="24"/>
          <w:szCs w:val="24"/>
        </w:rPr>
        <w:lastRenderedPageBreak/>
        <w:t xml:space="preserve">function to be undertaken at the end of the trial. </w:t>
      </w:r>
      <w:r w:rsidR="001C4C01">
        <w:rPr>
          <w:rFonts w:ascii="Times New Roman" w:hAnsi="Times New Roman" w:cs="Times New Roman"/>
          <w:sz w:val="24"/>
          <w:szCs w:val="24"/>
        </w:rPr>
        <w:t>The decisive point is that there is evidence that incriminates the accused, and it</w:t>
      </w:r>
      <w:r w:rsidR="000740F9" w:rsidRPr="000740F9">
        <w:rPr>
          <w:rFonts w:ascii="Times New Roman" w:hAnsi="Times New Roman" w:cs="Times New Roman"/>
          <w:sz w:val="24"/>
          <w:szCs w:val="24"/>
        </w:rPr>
        <w:t xml:space="preserve"> cannot at this stage be said to be of poor quality or manifestly unreliable as required by case law for it to be rejected outright. This court cannot ignore this evidence at this stage of the proceedings. It is on record. Simply put, this evidence </w:t>
      </w:r>
      <w:r w:rsidR="001C4C01">
        <w:rPr>
          <w:rFonts w:ascii="Times New Roman" w:hAnsi="Times New Roman" w:cs="Times New Roman"/>
          <w:sz w:val="24"/>
          <w:szCs w:val="24"/>
        </w:rPr>
        <w:t xml:space="preserve">establishes a </w:t>
      </w:r>
      <w:r w:rsidR="001C4C01" w:rsidRPr="001C4C01">
        <w:rPr>
          <w:rFonts w:ascii="Times New Roman" w:hAnsi="Times New Roman" w:cs="Times New Roman"/>
          <w:i/>
          <w:iCs/>
          <w:sz w:val="24"/>
          <w:szCs w:val="24"/>
        </w:rPr>
        <w:t>prima facie</w:t>
      </w:r>
      <w:r w:rsidR="001C4C01">
        <w:rPr>
          <w:rFonts w:ascii="Times New Roman" w:hAnsi="Times New Roman" w:cs="Times New Roman"/>
          <w:sz w:val="24"/>
          <w:szCs w:val="24"/>
        </w:rPr>
        <w:t xml:space="preserve"> case and </w:t>
      </w:r>
      <w:r w:rsidR="000740F9" w:rsidRPr="000740F9">
        <w:rPr>
          <w:rFonts w:ascii="Times New Roman" w:hAnsi="Times New Roman" w:cs="Times New Roman"/>
          <w:sz w:val="24"/>
          <w:szCs w:val="24"/>
        </w:rPr>
        <w:t xml:space="preserve">calls for a reply from the accused. </w:t>
      </w:r>
    </w:p>
    <w:p w14:paraId="30840BCA" w14:textId="3E3A9931" w:rsidR="00E91F20" w:rsidRDefault="00516FC4" w:rsidP="00FA639B">
      <w:pPr>
        <w:rPr>
          <w:rFonts w:ascii="Times New Roman" w:hAnsi="Times New Roman" w:cs="Times New Roman"/>
          <w:sz w:val="24"/>
          <w:szCs w:val="24"/>
        </w:rPr>
      </w:pPr>
      <w:r>
        <w:rPr>
          <w:rFonts w:ascii="Times New Roman" w:hAnsi="Times New Roman" w:cs="Times New Roman"/>
          <w:sz w:val="24"/>
          <w:szCs w:val="24"/>
        </w:rPr>
        <w:t>[1</w:t>
      </w:r>
      <w:r w:rsidR="00C22879">
        <w:rPr>
          <w:rFonts w:ascii="Times New Roman" w:hAnsi="Times New Roman" w:cs="Times New Roman"/>
          <w:sz w:val="24"/>
          <w:szCs w:val="24"/>
        </w:rPr>
        <w:t>1</w:t>
      </w:r>
      <w:r>
        <w:rPr>
          <w:rFonts w:ascii="Times New Roman" w:hAnsi="Times New Roman" w:cs="Times New Roman"/>
          <w:sz w:val="24"/>
          <w:szCs w:val="24"/>
        </w:rPr>
        <w:t>] Mr</w:t>
      </w:r>
      <w:r w:rsidRPr="00516FC4">
        <w:rPr>
          <w:rFonts w:ascii="Times New Roman" w:hAnsi="Times New Roman" w:cs="Times New Roman"/>
          <w:i/>
          <w:iCs/>
          <w:sz w:val="24"/>
          <w:szCs w:val="24"/>
        </w:rPr>
        <w:t xml:space="preserve"> Jaravaza</w:t>
      </w:r>
      <w:r>
        <w:rPr>
          <w:rFonts w:ascii="Times New Roman" w:hAnsi="Times New Roman" w:cs="Times New Roman"/>
          <w:sz w:val="24"/>
          <w:szCs w:val="24"/>
        </w:rPr>
        <w:t xml:space="preserve"> counsel for the State submitted that at this stage the evidence shows that the accused might not be guilty of </w:t>
      </w:r>
      <w:r w:rsidR="00C22879">
        <w:rPr>
          <w:rFonts w:ascii="Times New Roman" w:hAnsi="Times New Roman" w:cs="Times New Roman"/>
          <w:sz w:val="24"/>
          <w:szCs w:val="24"/>
        </w:rPr>
        <w:t xml:space="preserve">the offence of </w:t>
      </w:r>
      <w:r>
        <w:rPr>
          <w:rFonts w:ascii="Times New Roman" w:hAnsi="Times New Roman" w:cs="Times New Roman"/>
          <w:sz w:val="24"/>
          <w:szCs w:val="24"/>
        </w:rPr>
        <w:t xml:space="preserve">murder but of the </w:t>
      </w:r>
      <w:r w:rsidR="00C22879">
        <w:rPr>
          <w:rFonts w:ascii="Times New Roman" w:hAnsi="Times New Roman" w:cs="Times New Roman"/>
          <w:sz w:val="24"/>
          <w:szCs w:val="24"/>
        </w:rPr>
        <w:t xml:space="preserve">offence </w:t>
      </w:r>
      <w:r>
        <w:rPr>
          <w:rFonts w:ascii="Times New Roman" w:hAnsi="Times New Roman" w:cs="Times New Roman"/>
          <w:sz w:val="24"/>
          <w:szCs w:val="24"/>
        </w:rPr>
        <w:t xml:space="preserve">of culpable homicide. The view I take is that at </w:t>
      </w:r>
      <w:r w:rsidR="00C22879">
        <w:rPr>
          <w:rFonts w:ascii="Times New Roman" w:hAnsi="Times New Roman" w:cs="Times New Roman"/>
          <w:sz w:val="24"/>
          <w:szCs w:val="24"/>
        </w:rPr>
        <w:t>s 198 (3) stage</w:t>
      </w:r>
      <w:r>
        <w:rPr>
          <w:rFonts w:ascii="Times New Roman" w:hAnsi="Times New Roman" w:cs="Times New Roman"/>
          <w:sz w:val="24"/>
          <w:szCs w:val="24"/>
        </w:rPr>
        <w:t xml:space="preserve"> th</w:t>
      </w:r>
      <w:r w:rsidR="00C22879">
        <w:rPr>
          <w:rFonts w:ascii="Times New Roman" w:hAnsi="Times New Roman" w:cs="Times New Roman"/>
          <w:sz w:val="24"/>
          <w:szCs w:val="24"/>
        </w:rPr>
        <w:t>is</w:t>
      </w:r>
      <w:r>
        <w:rPr>
          <w:rFonts w:ascii="Times New Roman" w:hAnsi="Times New Roman" w:cs="Times New Roman"/>
          <w:sz w:val="24"/>
          <w:szCs w:val="24"/>
        </w:rPr>
        <w:t xml:space="preserve"> court cannot even </w:t>
      </w:r>
      <w:r w:rsidR="00A56001">
        <w:rPr>
          <w:rFonts w:ascii="Times New Roman" w:hAnsi="Times New Roman" w:cs="Times New Roman"/>
          <w:sz w:val="24"/>
          <w:szCs w:val="24"/>
        </w:rPr>
        <w:t>begin</w:t>
      </w:r>
      <w:r>
        <w:rPr>
          <w:rFonts w:ascii="Times New Roman" w:hAnsi="Times New Roman" w:cs="Times New Roman"/>
          <w:sz w:val="24"/>
          <w:szCs w:val="24"/>
        </w:rPr>
        <w:t xml:space="preserve"> to analyse whether the evidence might prove murder or culpable homicide</w:t>
      </w:r>
      <w:r w:rsidR="003268F0">
        <w:rPr>
          <w:rFonts w:ascii="Times New Roman" w:hAnsi="Times New Roman" w:cs="Times New Roman"/>
          <w:sz w:val="24"/>
          <w:szCs w:val="24"/>
        </w:rPr>
        <w:t>, or any other competent verdict</w:t>
      </w:r>
      <w:r>
        <w:rPr>
          <w:rFonts w:ascii="Times New Roman" w:hAnsi="Times New Roman" w:cs="Times New Roman"/>
          <w:sz w:val="24"/>
          <w:szCs w:val="24"/>
        </w:rPr>
        <w:t xml:space="preserve">. </w:t>
      </w:r>
      <w:r w:rsidR="00C22879">
        <w:rPr>
          <w:rFonts w:ascii="Times New Roman" w:hAnsi="Times New Roman" w:cs="Times New Roman"/>
          <w:sz w:val="24"/>
          <w:szCs w:val="24"/>
        </w:rPr>
        <w:t>I say so</w:t>
      </w:r>
      <w:r w:rsidR="00264AF2">
        <w:rPr>
          <w:rFonts w:ascii="Times New Roman" w:hAnsi="Times New Roman" w:cs="Times New Roman"/>
          <w:sz w:val="24"/>
          <w:szCs w:val="24"/>
        </w:rPr>
        <w:t xml:space="preserve"> because if the evidence is such that the accused may be convicted of any other offence i.e., a competent verdict, it would not be in terms of law to</w:t>
      </w:r>
      <w:r w:rsidR="003268F0">
        <w:rPr>
          <w:rFonts w:ascii="Times New Roman" w:hAnsi="Times New Roman" w:cs="Times New Roman"/>
          <w:sz w:val="24"/>
          <w:szCs w:val="24"/>
        </w:rPr>
        <w:t xml:space="preserve"> order a discharge</w:t>
      </w:r>
      <w:r w:rsidR="00264AF2">
        <w:rPr>
          <w:rFonts w:ascii="Times New Roman" w:hAnsi="Times New Roman" w:cs="Times New Roman"/>
          <w:sz w:val="24"/>
          <w:szCs w:val="24"/>
        </w:rPr>
        <w:t>.</w:t>
      </w:r>
      <w:r w:rsidR="003268F0">
        <w:rPr>
          <w:rFonts w:ascii="Times New Roman" w:hAnsi="Times New Roman" w:cs="Times New Roman"/>
          <w:sz w:val="24"/>
          <w:szCs w:val="24"/>
        </w:rPr>
        <w:t xml:space="preserve"> </w:t>
      </w:r>
      <w:r w:rsidR="00A56001" w:rsidRPr="00B71996">
        <w:rPr>
          <w:rFonts w:ascii="Times New Roman" w:hAnsi="Times New Roman" w:cs="Times New Roman"/>
          <w:sz w:val="24"/>
          <w:szCs w:val="24"/>
        </w:rPr>
        <w:t>See </w:t>
      </w:r>
      <w:r w:rsidR="00A56001" w:rsidRPr="00B71996">
        <w:rPr>
          <w:rFonts w:ascii="Times New Roman" w:hAnsi="Times New Roman" w:cs="Times New Roman"/>
          <w:i/>
          <w:iCs/>
          <w:sz w:val="24"/>
          <w:szCs w:val="24"/>
        </w:rPr>
        <w:t>S v Kachipare</w:t>
      </w:r>
      <w:r w:rsidR="00A56001" w:rsidRPr="00B71996">
        <w:rPr>
          <w:rFonts w:ascii="Times New Roman" w:hAnsi="Times New Roman" w:cs="Times New Roman"/>
          <w:sz w:val="24"/>
          <w:szCs w:val="24"/>
        </w:rPr>
        <w:t>1998 (2) ZLR 271(S), 275; S</w:t>
      </w:r>
      <w:r w:rsidR="00A56001" w:rsidRPr="00B71996">
        <w:rPr>
          <w:rFonts w:ascii="Times New Roman" w:hAnsi="Times New Roman" w:cs="Times New Roman"/>
          <w:i/>
          <w:iCs/>
          <w:sz w:val="24"/>
          <w:szCs w:val="24"/>
        </w:rPr>
        <w:t> v Tsvangirai</w:t>
      </w:r>
      <w:r w:rsidR="00A56001" w:rsidRPr="00B71996">
        <w:rPr>
          <w:rFonts w:ascii="Times New Roman" w:hAnsi="Times New Roman" w:cs="Times New Roman"/>
          <w:sz w:val="24"/>
          <w:szCs w:val="24"/>
        </w:rPr>
        <w:t> 2003 (2) ZLR 88.</w:t>
      </w:r>
      <w:r>
        <w:rPr>
          <w:rFonts w:ascii="Times New Roman" w:hAnsi="Times New Roman" w:cs="Times New Roman"/>
          <w:sz w:val="24"/>
          <w:szCs w:val="24"/>
        </w:rPr>
        <w:t xml:space="preserve"> </w:t>
      </w:r>
      <w:r w:rsidR="00C22879">
        <w:rPr>
          <w:rFonts w:ascii="Times New Roman" w:hAnsi="Times New Roman" w:cs="Times New Roman"/>
          <w:sz w:val="24"/>
          <w:szCs w:val="24"/>
        </w:rPr>
        <w:t>In addition</w:t>
      </w:r>
      <w:r w:rsidR="00771B8B">
        <w:rPr>
          <w:rFonts w:ascii="Times New Roman" w:hAnsi="Times New Roman" w:cs="Times New Roman"/>
          <w:sz w:val="24"/>
          <w:szCs w:val="24"/>
        </w:rPr>
        <w:t xml:space="preserve">, a court cannot at this stage discharge the accused of the main charge and </w:t>
      </w:r>
      <w:r w:rsidR="00C22879">
        <w:rPr>
          <w:rFonts w:ascii="Times New Roman" w:hAnsi="Times New Roman" w:cs="Times New Roman"/>
          <w:sz w:val="24"/>
          <w:szCs w:val="24"/>
        </w:rPr>
        <w:t>order</w:t>
      </w:r>
      <w:r w:rsidR="00771B8B">
        <w:rPr>
          <w:rFonts w:ascii="Times New Roman" w:hAnsi="Times New Roman" w:cs="Times New Roman"/>
          <w:sz w:val="24"/>
          <w:szCs w:val="24"/>
        </w:rPr>
        <w:t xml:space="preserve"> the trial to proceed on a lesser charge. Such would be impermissible. Notwithstanding the fact that there might be no evidence to prove the main charge, but evidence to prove a lesser charge, the trial must still </w:t>
      </w:r>
      <w:r w:rsidR="00C22879">
        <w:rPr>
          <w:rFonts w:ascii="Times New Roman" w:hAnsi="Times New Roman" w:cs="Times New Roman"/>
          <w:sz w:val="24"/>
          <w:szCs w:val="24"/>
        </w:rPr>
        <w:t>proceed to the defence case</w:t>
      </w:r>
      <w:r w:rsidR="00771B8B">
        <w:rPr>
          <w:rFonts w:ascii="Times New Roman" w:hAnsi="Times New Roman" w:cs="Times New Roman"/>
          <w:sz w:val="24"/>
          <w:szCs w:val="24"/>
        </w:rPr>
        <w:t xml:space="preserve"> on the main charge. </w:t>
      </w:r>
    </w:p>
    <w:p w14:paraId="3CB7BCCA" w14:textId="71B0712C" w:rsidR="000740F9" w:rsidRPr="00FF12E1" w:rsidRDefault="000740F9" w:rsidP="00FA639B">
      <w:pPr>
        <w:rPr>
          <w:rFonts w:ascii="Times New Roman" w:hAnsi="Times New Roman" w:cs="Times New Roman"/>
          <w:sz w:val="24"/>
          <w:szCs w:val="24"/>
        </w:rPr>
      </w:pPr>
      <w:r>
        <w:rPr>
          <w:rFonts w:ascii="Times New Roman" w:hAnsi="Times New Roman" w:cs="Times New Roman"/>
          <w:sz w:val="24"/>
          <w:szCs w:val="24"/>
        </w:rPr>
        <w:t>[1</w:t>
      </w:r>
      <w:r w:rsidR="00C22879">
        <w:rPr>
          <w:rFonts w:ascii="Times New Roman" w:hAnsi="Times New Roman" w:cs="Times New Roman"/>
          <w:sz w:val="24"/>
          <w:szCs w:val="24"/>
        </w:rPr>
        <w:t>2</w:t>
      </w:r>
      <w:r>
        <w:rPr>
          <w:rFonts w:ascii="Times New Roman" w:hAnsi="Times New Roman" w:cs="Times New Roman"/>
          <w:sz w:val="24"/>
          <w:szCs w:val="24"/>
        </w:rPr>
        <w:t xml:space="preserve">] Mr </w:t>
      </w:r>
      <w:r w:rsidRPr="000740F9">
        <w:rPr>
          <w:rFonts w:ascii="Times New Roman" w:hAnsi="Times New Roman" w:cs="Times New Roman"/>
          <w:i/>
          <w:iCs/>
          <w:sz w:val="24"/>
          <w:szCs w:val="24"/>
        </w:rPr>
        <w:t>Moyo</w:t>
      </w:r>
      <w:r>
        <w:rPr>
          <w:rFonts w:ascii="Times New Roman" w:hAnsi="Times New Roman" w:cs="Times New Roman"/>
          <w:sz w:val="24"/>
          <w:szCs w:val="24"/>
        </w:rPr>
        <w:t xml:space="preserve"> </w:t>
      </w:r>
      <w:r w:rsidR="003268F0">
        <w:rPr>
          <w:rFonts w:ascii="Times New Roman" w:hAnsi="Times New Roman" w:cs="Times New Roman"/>
          <w:sz w:val="24"/>
          <w:szCs w:val="24"/>
        </w:rPr>
        <w:t>C</w:t>
      </w:r>
      <w:r>
        <w:rPr>
          <w:rFonts w:ascii="Times New Roman" w:hAnsi="Times New Roman" w:cs="Times New Roman"/>
          <w:sz w:val="24"/>
          <w:szCs w:val="24"/>
        </w:rPr>
        <w:t xml:space="preserve">ounsel for accused 5 submitted that </w:t>
      </w:r>
      <w:r w:rsidR="00656AB3">
        <w:rPr>
          <w:rFonts w:ascii="Times New Roman" w:hAnsi="Times New Roman" w:cs="Times New Roman"/>
          <w:sz w:val="24"/>
          <w:szCs w:val="24"/>
        </w:rPr>
        <w:t xml:space="preserve">this </w:t>
      </w:r>
      <w:r>
        <w:rPr>
          <w:rFonts w:ascii="Times New Roman" w:hAnsi="Times New Roman" w:cs="Times New Roman"/>
          <w:sz w:val="24"/>
          <w:szCs w:val="24"/>
        </w:rPr>
        <w:t>court must discharg</w:t>
      </w:r>
      <w:r w:rsidR="00656AB3">
        <w:rPr>
          <w:rFonts w:ascii="Times New Roman" w:hAnsi="Times New Roman" w:cs="Times New Roman"/>
          <w:sz w:val="24"/>
          <w:szCs w:val="24"/>
        </w:rPr>
        <w:t>e</w:t>
      </w:r>
      <w:r>
        <w:rPr>
          <w:rFonts w:ascii="Times New Roman" w:hAnsi="Times New Roman" w:cs="Times New Roman"/>
          <w:sz w:val="24"/>
          <w:szCs w:val="24"/>
        </w:rPr>
        <w:t xml:space="preserve"> the accused on the basis that the evidence sho</w:t>
      </w:r>
      <w:r w:rsidR="00656AB3">
        <w:rPr>
          <w:rFonts w:ascii="Times New Roman" w:hAnsi="Times New Roman" w:cs="Times New Roman"/>
          <w:sz w:val="24"/>
          <w:szCs w:val="24"/>
        </w:rPr>
        <w:t xml:space="preserve">ws that the slaps amount to a mere triviality or </w:t>
      </w:r>
      <w:r w:rsidR="00656AB3" w:rsidRPr="00656AB3">
        <w:rPr>
          <w:rFonts w:ascii="Times New Roman" w:hAnsi="Times New Roman" w:cs="Times New Roman"/>
          <w:i/>
          <w:iCs/>
          <w:sz w:val="24"/>
          <w:szCs w:val="24"/>
        </w:rPr>
        <w:t xml:space="preserve">de </w:t>
      </w:r>
      <w:proofErr w:type="spellStart"/>
      <w:r w:rsidR="00656AB3" w:rsidRPr="00656AB3">
        <w:rPr>
          <w:rFonts w:ascii="Times New Roman" w:hAnsi="Times New Roman" w:cs="Times New Roman"/>
          <w:i/>
          <w:iCs/>
          <w:sz w:val="24"/>
          <w:szCs w:val="24"/>
        </w:rPr>
        <w:t>minimis</w:t>
      </w:r>
      <w:proofErr w:type="spellEnd"/>
      <w:r w:rsidR="00656AB3" w:rsidRPr="00656AB3">
        <w:rPr>
          <w:rFonts w:ascii="Times New Roman" w:hAnsi="Times New Roman" w:cs="Times New Roman"/>
          <w:i/>
          <w:iCs/>
          <w:sz w:val="24"/>
          <w:szCs w:val="24"/>
        </w:rPr>
        <w:t xml:space="preserve"> non </w:t>
      </w:r>
      <w:proofErr w:type="spellStart"/>
      <w:r w:rsidR="00656AB3" w:rsidRPr="00656AB3">
        <w:rPr>
          <w:rFonts w:ascii="Times New Roman" w:hAnsi="Times New Roman" w:cs="Times New Roman"/>
          <w:i/>
          <w:iCs/>
          <w:sz w:val="24"/>
          <w:szCs w:val="24"/>
        </w:rPr>
        <w:t>curat</w:t>
      </w:r>
      <w:proofErr w:type="spellEnd"/>
      <w:r w:rsidR="00656AB3" w:rsidRPr="00656AB3">
        <w:rPr>
          <w:rFonts w:ascii="Times New Roman" w:hAnsi="Times New Roman" w:cs="Times New Roman"/>
          <w:i/>
          <w:iCs/>
          <w:sz w:val="24"/>
          <w:szCs w:val="24"/>
        </w:rPr>
        <w:t xml:space="preserve"> </w:t>
      </w:r>
      <w:proofErr w:type="spellStart"/>
      <w:r w:rsidR="00656AB3" w:rsidRPr="00656AB3">
        <w:rPr>
          <w:rFonts w:ascii="Times New Roman" w:hAnsi="Times New Roman" w:cs="Times New Roman"/>
          <w:i/>
          <w:iCs/>
          <w:sz w:val="24"/>
          <w:szCs w:val="24"/>
        </w:rPr>
        <w:t>lex</w:t>
      </w:r>
      <w:proofErr w:type="spellEnd"/>
      <w:r w:rsidR="00656AB3">
        <w:rPr>
          <w:rFonts w:ascii="Times New Roman" w:hAnsi="Times New Roman" w:cs="Times New Roman"/>
          <w:sz w:val="24"/>
          <w:szCs w:val="24"/>
        </w:rPr>
        <w:t xml:space="preserve">.  </w:t>
      </w:r>
      <w:r w:rsidR="000528EA">
        <w:rPr>
          <w:rFonts w:ascii="Times New Roman" w:hAnsi="Times New Roman" w:cs="Times New Roman"/>
          <w:sz w:val="24"/>
          <w:szCs w:val="24"/>
        </w:rPr>
        <w:t xml:space="preserve">As authority for this proposition, </w:t>
      </w:r>
      <w:r w:rsidR="00656AB3">
        <w:rPr>
          <w:rFonts w:ascii="Times New Roman" w:hAnsi="Times New Roman" w:cs="Times New Roman"/>
          <w:sz w:val="24"/>
          <w:szCs w:val="24"/>
        </w:rPr>
        <w:t xml:space="preserve">Counsel referred </w:t>
      </w:r>
      <w:r w:rsidR="000528EA">
        <w:rPr>
          <w:rFonts w:ascii="Times New Roman" w:hAnsi="Times New Roman" w:cs="Times New Roman"/>
          <w:sz w:val="24"/>
          <w:szCs w:val="24"/>
        </w:rPr>
        <w:t xml:space="preserve">this court </w:t>
      </w:r>
      <w:r w:rsidR="00656AB3">
        <w:rPr>
          <w:rFonts w:ascii="Times New Roman" w:hAnsi="Times New Roman" w:cs="Times New Roman"/>
          <w:sz w:val="24"/>
          <w:szCs w:val="24"/>
        </w:rPr>
        <w:t xml:space="preserve">to the cases of </w:t>
      </w:r>
      <w:r w:rsidR="00656AB3" w:rsidRPr="00656AB3">
        <w:rPr>
          <w:rFonts w:ascii="Times New Roman" w:hAnsi="Times New Roman" w:cs="Times New Roman"/>
          <w:i/>
          <w:iCs/>
          <w:sz w:val="24"/>
          <w:szCs w:val="24"/>
        </w:rPr>
        <w:t>R v Maguire</w:t>
      </w:r>
      <w:r w:rsidR="00656AB3">
        <w:rPr>
          <w:rFonts w:ascii="Times New Roman" w:hAnsi="Times New Roman" w:cs="Times New Roman"/>
          <w:sz w:val="24"/>
          <w:szCs w:val="24"/>
        </w:rPr>
        <w:t xml:space="preserve"> 1969 (4) SA 191 (R.A.D) </w:t>
      </w:r>
      <w:r w:rsidR="000528EA">
        <w:rPr>
          <w:rFonts w:ascii="Times New Roman" w:hAnsi="Times New Roman" w:cs="Times New Roman"/>
          <w:sz w:val="24"/>
          <w:szCs w:val="24"/>
        </w:rPr>
        <w:t xml:space="preserve">and </w:t>
      </w:r>
      <w:r w:rsidR="00656AB3" w:rsidRPr="00656AB3">
        <w:rPr>
          <w:rFonts w:ascii="Times New Roman" w:hAnsi="Times New Roman" w:cs="Times New Roman"/>
          <w:i/>
          <w:iCs/>
          <w:sz w:val="24"/>
          <w:szCs w:val="24"/>
        </w:rPr>
        <w:t xml:space="preserve">S v Bester </w:t>
      </w:r>
      <w:r w:rsidR="00656AB3">
        <w:rPr>
          <w:rFonts w:ascii="Times New Roman" w:hAnsi="Times New Roman" w:cs="Times New Roman"/>
          <w:sz w:val="24"/>
          <w:szCs w:val="24"/>
        </w:rPr>
        <w:t xml:space="preserve">1971 (4) SA 28 (T). In this country the defence of </w:t>
      </w:r>
      <w:r w:rsidR="00656AB3" w:rsidRPr="00656AB3">
        <w:rPr>
          <w:rFonts w:ascii="Times New Roman" w:hAnsi="Times New Roman" w:cs="Times New Roman"/>
          <w:i/>
          <w:iCs/>
          <w:sz w:val="24"/>
          <w:szCs w:val="24"/>
        </w:rPr>
        <w:t xml:space="preserve">de </w:t>
      </w:r>
      <w:proofErr w:type="spellStart"/>
      <w:r w:rsidR="00656AB3" w:rsidRPr="00656AB3">
        <w:rPr>
          <w:rFonts w:ascii="Times New Roman" w:hAnsi="Times New Roman" w:cs="Times New Roman"/>
          <w:i/>
          <w:iCs/>
          <w:sz w:val="24"/>
          <w:szCs w:val="24"/>
        </w:rPr>
        <w:t>minimis</w:t>
      </w:r>
      <w:proofErr w:type="spellEnd"/>
      <w:r w:rsidR="00656AB3" w:rsidRPr="00656AB3">
        <w:rPr>
          <w:rFonts w:ascii="Times New Roman" w:hAnsi="Times New Roman" w:cs="Times New Roman"/>
          <w:i/>
          <w:iCs/>
          <w:sz w:val="24"/>
          <w:szCs w:val="24"/>
        </w:rPr>
        <w:t xml:space="preserve"> non </w:t>
      </w:r>
      <w:proofErr w:type="spellStart"/>
      <w:r w:rsidR="00656AB3" w:rsidRPr="00656AB3">
        <w:rPr>
          <w:rFonts w:ascii="Times New Roman" w:hAnsi="Times New Roman" w:cs="Times New Roman"/>
          <w:i/>
          <w:iCs/>
          <w:sz w:val="24"/>
          <w:szCs w:val="24"/>
        </w:rPr>
        <w:t>curat</w:t>
      </w:r>
      <w:proofErr w:type="spellEnd"/>
      <w:r w:rsidR="00656AB3" w:rsidRPr="00656AB3">
        <w:rPr>
          <w:rFonts w:ascii="Times New Roman" w:hAnsi="Times New Roman" w:cs="Times New Roman"/>
          <w:i/>
          <w:iCs/>
          <w:sz w:val="24"/>
          <w:szCs w:val="24"/>
        </w:rPr>
        <w:t xml:space="preserve"> </w:t>
      </w:r>
      <w:proofErr w:type="spellStart"/>
      <w:r w:rsidR="00656AB3" w:rsidRPr="00656AB3">
        <w:rPr>
          <w:rFonts w:ascii="Times New Roman" w:hAnsi="Times New Roman" w:cs="Times New Roman"/>
          <w:i/>
          <w:iCs/>
          <w:sz w:val="24"/>
          <w:szCs w:val="24"/>
        </w:rPr>
        <w:t>lex</w:t>
      </w:r>
      <w:proofErr w:type="spellEnd"/>
      <w:r w:rsidR="00656AB3">
        <w:rPr>
          <w:rFonts w:ascii="Times New Roman" w:hAnsi="Times New Roman" w:cs="Times New Roman"/>
          <w:sz w:val="24"/>
          <w:szCs w:val="24"/>
        </w:rPr>
        <w:t xml:space="preserve"> has been codified in s </w:t>
      </w:r>
      <w:r w:rsidR="001D66E4">
        <w:rPr>
          <w:rFonts w:ascii="Times New Roman" w:hAnsi="Times New Roman" w:cs="Times New Roman"/>
          <w:sz w:val="24"/>
          <w:szCs w:val="24"/>
        </w:rPr>
        <w:t xml:space="preserve">270 of the Criminal Law Code. </w:t>
      </w:r>
      <w:r w:rsidR="00FF12E1">
        <w:rPr>
          <w:rFonts w:ascii="Times New Roman" w:hAnsi="Times New Roman" w:cs="Times New Roman"/>
          <w:sz w:val="24"/>
          <w:szCs w:val="24"/>
        </w:rPr>
        <w:t xml:space="preserve">My understanding of this provision is that for </w:t>
      </w:r>
      <w:r w:rsidR="003268F0">
        <w:rPr>
          <w:rFonts w:ascii="Times New Roman" w:hAnsi="Times New Roman" w:cs="Times New Roman"/>
          <w:sz w:val="24"/>
          <w:szCs w:val="24"/>
        </w:rPr>
        <w:t xml:space="preserve">a </w:t>
      </w:r>
      <w:r w:rsidR="00FF12E1">
        <w:rPr>
          <w:rFonts w:ascii="Times New Roman" w:hAnsi="Times New Roman" w:cs="Times New Roman"/>
          <w:sz w:val="24"/>
          <w:szCs w:val="24"/>
        </w:rPr>
        <w:t xml:space="preserve">court to acquit an accused on the basis that the conduct constituting </w:t>
      </w:r>
      <w:r w:rsidR="000528EA">
        <w:rPr>
          <w:rFonts w:ascii="Times New Roman" w:hAnsi="Times New Roman" w:cs="Times New Roman"/>
          <w:sz w:val="24"/>
          <w:szCs w:val="24"/>
        </w:rPr>
        <w:t>the</w:t>
      </w:r>
      <w:r w:rsidR="00FF12E1">
        <w:rPr>
          <w:rFonts w:ascii="Times New Roman" w:hAnsi="Times New Roman" w:cs="Times New Roman"/>
          <w:sz w:val="24"/>
          <w:szCs w:val="24"/>
        </w:rPr>
        <w:t xml:space="preserve"> crime</w:t>
      </w:r>
      <w:r w:rsidR="000528EA">
        <w:rPr>
          <w:rFonts w:ascii="Times New Roman" w:hAnsi="Times New Roman" w:cs="Times New Roman"/>
          <w:sz w:val="24"/>
          <w:szCs w:val="24"/>
        </w:rPr>
        <w:t xml:space="preserve"> charged</w:t>
      </w:r>
      <w:r w:rsidR="00FF12E1">
        <w:rPr>
          <w:rFonts w:ascii="Times New Roman" w:hAnsi="Times New Roman" w:cs="Times New Roman"/>
          <w:sz w:val="24"/>
          <w:szCs w:val="24"/>
        </w:rPr>
        <w:t xml:space="preserve"> is of a trivial nature, it must have all the evidence, including the defence evidence. The court must examine the totality of the circumstances under which the </w:t>
      </w:r>
      <w:r w:rsidR="000528EA">
        <w:rPr>
          <w:rFonts w:ascii="Times New Roman" w:hAnsi="Times New Roman" w:cs="Times New Roman"/>
          <w:sz w:val="24"/>
          <w:szCs w:val="24"/>
        </w:rPr>
        <w:t>conduct</w:t>
      </w:r>
      <w:r w:rsidR="00FF12E1">
        <w:rPr>
          <w:rFonts w:ascii="Times New Roman" w:hAnsi="Times New Roman" w:cs="Times New Roman"/>
          <w:sz w:val="24"/>
          <w:szCs w:val="24"/>
        </w:rPr>
        <w:t xml:space="preserve"> took place. I am fortified in this view </w:t>
      </w:r>
      <w:r w:rsidR="004A3B18">
        <w:rPr>
          <w:rFonts w:ascii="Times New Roman" w:hAnsi="Times New Roman" w:cs="Times New Roman"/>
          <w:sz w:val="24"/>
          <w:szCs w:val="24"/>
        </w:rPr>
        <w:t>in that</w:t>
      </w:r>
      <w:r w:rsidR="00FF12E1">
        <w:rPr>
          <w:rFonts w:ascii="Times New Roman" w:hAnsi="Times New Roman" w:cs="Times New Roman"/>
          <w:sz w:val="24"/>
          <w:szCs w:val="24"/>
        </w:rPr>
        <w:t xml:space="preserve"> the</w:t>
      </w:r>
      <w:r w:rsidR="004A3B18">
        <w:rPr>
          <w:rFonts w:ascii="Times New Roman" w:hAnsi="Times New Roman" w:cs="Times New Roman"/>
          <w:sz w:val="24"/>
          <w:szCs w:val="24"/>
        </w:rPr>
        <w:t>se</w:t>
      </w:r>
      <w:r w:rsidR="00FF12E1">
        <w:rPr>
          <w:rFonts w:ascii="Times New Roman" w:hAnsi="Times New Roman" w:cs="Times New Roman"/>
          <w:sz w:val="24"/>
          <w:szCs w:val="24"/>
        </w:rPr>
        <w:t xml:space="preserve"> two cases cited by </w:t>
      </w:r>
      <w:r w:rsidR="000528EA">
        <w:rPr>
          <w:rFonts w:ascii="Times New Roman" w:hAnsi="Times New Roman" w:cs="Times New Roman"/>
          <w:sz w:val="24"/>
          <w:szCs w:val="24"/>
        </w:rPr>
        <w:t>C</w:t>
      </w:r>
      <w:r w:rsidR="00FF12E1">
        <w:rPr>
          <w:rFonts w:ascii="Times New Roman" w:hAnsi="Times New Roman" w:cs="Times New Roman"/>
          <w:sz w:val="24"/>
          <w:szCs w:val="24"/>
        </w:rPr>
        <w:t xml:space="preserve">ounsel, the defence of </w:t>
      </w:r>
      <w:r w:rsidR="00FF12E1" w:rsidRPr="00656AB3">
        <w:rPr>
          <w:rFonts w:ascii="Times New Roman" w:hAnsi="Times New Roman" w:cs="Times New Roman"/>
          <w:i/>
          <w:iCs/>
          <w:sz w:val="24"/>
          <w:szCs w:val="24"/>
        </w:rPr>
        <w:t xml:space="preserve">de </w:t>
      </w:r>
      <w:proofErr w:type="spellStart"/>
      <w:r w:rsidR="00FF12E1" w:rsidRPr="00656AB3">
        <w:rPr>
          <w:rFonts w:ascii="Times New Roman" w:hAnsi="Times New Roman" w:cs="Times New Roman"/>
          <w:i/>
          <w:iCs/>
          <w:sz w:val="24"/>
          <w:szCs w:val="24"/>
        </w:rPr>
        <w:t>minimis</w:t>
      </w:r>
      <w:proofErr w:type="spellEnd"/>
      <w:r w:rsidR="00FF12E1" w:rsidRPr="00656AB3">
        <w:rPr>
          <w:rFonts w:ascii="Times New Roman" w:hAnsi="Times New Roman" w:cs="Times New Roman"/>
          <w:i/>
          <w:iCs/>
          <w:sz w:val="24"/>
          <w:szCs w:val="24"/>
        </w:rPr>
        <w:t xml:space="preserve"> non </w:t>
      </w:r>
      <w:proofErr w:type="spellStart"/>
      <w:r w:rsidR="00FF12E1" w:rsidRPr="00656AB3">
        <w:rPr>
          <w:rFonts w:ascii="Times New Roman" w:hAnsi="Times New Roman" w:cs="Times New Roman"/>
          <w:i/>
          <w:iCs/>
          <w:sz w:val="24"/>
          <w:szCs w:val="24"/>
        </w:rPr>
        <w:t>curat</w:t>
      </w:r>
      <w:proofErr w:type="spellEnd"/>
      <w:r w:rsidR="00FF12E1" w:rsidRPr="00656AB3">
        <w:rPr>
          <w:rFonts w:ascii="Times New Roman" w:hAnsi="Times New Roman" w:cs="Times New Roman"/>
          <w:i/>
          <w:iCs/>
          <w:sz w:val="24"/>
          <w:szCs w:val="24"/>
        </w:rPr>
        <w:t xml:space="preserve"> </w:t>
      </w:r>
      <w:proofErr w:type="spellStart"/>
      <w:r w:rsidR="00FF12E1" w:rsidRPr="00656AB3">
        <w:rPr>
          <w:rFonts w:ascii="Times New Roman" w:hAnsi="Times New Roman" w:cs="Times New Roman"/>
          <w:i/>
          <w:iCs/>
          <w:sz w:val="24"/>
          <w:szCs w:val="24"/>
        </w:rPr>
        <w:t>lex</w:t>
      </w:r>
      <w:proofErr w:type="spellEnd"/>
      <w:r w:rsidR="00FF12E1">
        <w:rPr>
          <w:rFonts w:ascii="Times New Roman" w:hAnsi="Times New Roman" w:cs="Times New Roman"/>
          <w:i/>
          <w:iCs/>
          <w:sz w:val="24"/>
          <w:szCs w:val="24"/>
        </w:rPr>
        <w:t xml:space="preserve"> </w:t>
      </w:r>
      <w:r w:rsidR="00FF12E1">
        <w:rPr>
          <w:rFonts w:ascii="Times New Roman" w:hAnsi="Times New Roman" w:cs="Times New Roman"/>
          <w:sz w:val="24"/>
          <w:szCs w:val="24"/>
        </w:rPr>
        <w:t xml:space="preserve">was considered at the end of the trial. </w:t>
      </w:r>
      <w:r w:rsidR="004A3B18">
        <w:rPr>
          <w:rFonts w:ascii="Times New Roman" w:hAnsi="Times New Roman" w:cs="Times New Roman"/>
          <w:sz w:val="24"/>
          <w:szCs w:val="24"/>
        </w:rPr>
        <w:t>Without making a</w:t>
      </w:r>
      <w:r w:rsidR="00B60844">
        <w:rPr>
          <w:rFonts w:ascii="Times New Roman" w:hAnsi="Times New Roman" w:cs="Times New Roman"/>
          <w:sz w:val="24"/>
          <w:szCs w:val="24"/>
        </w:rPr>
        <w:t>ny</w:t>
      </w:r>
      <w:r w:rsidR="004A3B18">
        <w:rPr>
          <w:rFonts w:ascii="Times New Roman" w:hAnsi="Times New Roman" w:cs="Times New Roman"/>
          <w:sz w:val="24"/>
          <w:szCs w:val="24"/>
        </w:rPr>
        <w:t xml:space="preserve"> finding about </w:t>
      </w:r>
      <w:r w:rsidR="00FF12E1">
        <w:rPr>
          <w:rFonts w:ascii="Times New Roman" w:hAnsi="Times New Roman" w:cs="Times New Roman"/>
          <w:sz w:val="24"/>
          <w:szCs w:val="24"/>
        </w:rPr>
        <w:t xml:space="preserve">the defence of </w:t>
      </w:r>
      <w:r w:rsidR="00FF12E1" w:rsidRPr="00656AB3">
        <w:rPr>
          <w:rFonts w:ascii="Times New Roman" w:hAnsi="Times New Roman" w:cs="Times New Roman"/>
          <w:i/>
          <w:iCs/>
          <w:sz w:val="24"/>
          <w:szCs w:val="24"/>
        </w:rPr>
        <w:t xml:space="preserve">de </w:t>
      </w:r>
      <w:proofErr w:type="spellStart"/>
      <w:r w:rsidR="00FF12E1" w:rsidRPr="00656AB3">
        <w:rPr>
          <w:rFonts w:ascii="Times New Roman" w:hAnsi="Times New Roman" w:cs="Times New Roman"/>
          <w:i/>
          <w:iCs/>
          <w:sz w:val="24"/>
          <w:szCs w:val="24"/>
        </w:rPr>
        <w:t>minimis</w:t>
      </w:r>
      <w:proofErr w:type="spellEnd"/>
      <w:r w:rsidR="00FF12E1" w:rsidRPr="00656AB3">
        <w:rPr>
          <w:rFonts w:ascii="Times New Roman" w:hAnsi="Times New Roman" w:cs="Times New Roman"/>
          <w:i/>
          <w:iCs/>
          <w:sz w:val="24"/>
          <w:szCs w:val="24"/>
        </w:rPr>
        <w:t xml:space="preserve"> non </w:t>
      </w:r>
      <w:proofErr w:type="spellStart"/>
      <w:r w:rsidR="00FF12E1" w:rsidRPr="00656AB3">
        <w:rPr>
          <w:rFonts w:ascii="Times New Roman" w:hAnsi="Times New Roman" w:cs="Times New Roman"/>
          <w:i/>
          <w:iCs/>
          <w:sz w:val="24"/>
          <w:szCs w:val="24"/>
        </w:rPr>
        <w:t>curat</w:t>
      </w:r>
      <w:proofErr w:type="spellEnd"/>
      <w:r w:rsidR="00FF12E1" w:rsidRPr="00656AB3">
        <w:rPr>
          <w:rFonts w:ascii="Times New Roman" w:hAnsi="Times New Roman" w:cs="Times New Roman"/>
          <w:i/>
          <w:iCs/>
          <w:sz w:val="24"/>
          <w:szCs w:val="24"/>
        </w:rPr>
        <w:t xml:space="preserve"> </w:t>
      </w:r>
      <w:proofErr w:type="spellStart"/>
      <w:r w:rsidR="00FF12E1" w:rsidRPr="00656AB3">
        <w:rPr>
          <w:rFonts w:ascii="Times New Roman" w:hAnsi="Times New Roman" w:cs="Times New Roman"/>
          <w:i/>
          <w:iCs/>
          <w:sz w:val="24"/>
          <w:szCs w:val="24"/>
        </w:rPr>
        <w:t>lex</w:t>
      </w:r>
      <w:proofErr w:type="spellEnd"/>
      <w:r w:rsidR="00FF12E1">
        <w:rPr>
          <w:rFonts w:ascii="Times New Roman" w:hAnsi="Times New Roman" w:cs="Times New Roman"/>
          <w:i/>
          <w:iCs/>
          <w:sz w:val="24"/>
          <w:szCs w:val="24"/>
        </w:rPr>
        <w:t xml:space="preserve"> </w:t>
      </w:r>
      <w:r w:rsidR="004A3B18" w:rsidRPr="004A3B18">
        <w:rPr>
          <w:rFonts w:ascii="Times New Roman" w:hAnsi="Times New Roman" w:cs="Times New Roman"/>
          <w:sz w:val="24"/>
          <w:szCs w:val="24"/>
        </w:rPr>
        <w:t xml:space="preserve">it </w:t>
      </w:r>
      <w:r w:rsidR="00FF12E1">
        <w:rPr>
          <w:rFonts w:ascii="Times New Roman" w:hAnsi="Times New Roman" w:cs="Times New Roman"/>
          <w:sz w:val="24"/>
          <w:szCs w:val="24"/>
        </w:rPr>
        <w:t xml:space="preserve">cannot avail the accused at </w:t>
      </w:r>
      <w:r w:rsidR="000528EA">
        <w:rPr>
          <w:rFonts w:ascii="Times New Roman" w:hAnsi="Times New Roman" w:cs="Times New Roman"/>
          <w:sz w:val="24"/>
          <w:szCs w:val="24"/>
        </w:rPr>
        <w:t xml:space="preserve">s 198 (3) stage. </w:t>
      </w:r>
    </w:p>
    <w:p w14:paraId="7A1EF44B" w14:textId="16BF4DD7" w:rsidR="006C0F6D" w:rsidRDefault="00771B8B" w:rsidP="009F15F6">
      <w:pPr>
        <w:rPr>
          <w:rFonts w:ascii="Times New Roman" w:hAnsi="Times New Roman" w:cs="Times New Roman"/>
          <w:sz w:val="24"/>
          <w:szCs w:val="24"/>
        </w:rPr>
      </w:pPr>
      <w:r w:rsidRPr="000740F9">
        <w:rPr>
          <w:rFonts w:ascii="Times New Roman" w:hAnsi="Times New Roman" w:cs="Times New Roman"/>
          <w:sz w:val="24"/>
          <w:szCs w:val="24"/>
        </w:rPr>
        <w:t>[1</w:t>
      </w:r>
      <w:r w:rsidR="000528EA">
        <w:rPr>
          <w:rFonts w:ascii="Times New Roman" w:hAnsi="Times New Roman" w:cs="Times New Roman"/>
          <w:sz w:val="24"/>
          <w:szCs w:val="24"/>
        </w:rPr>
        <w:t>3</w:t>
      </w:r>
      <w:r w:rsidRPr="000740F9">
        <w:rPr>
          <w:rFonts w:ascii="Times New Roman" w:hAnsi="Times New Roman" w:cs="Times New Roman"/>
          <w:sz w:val="24"/>
          <w:szCs w:val="24"/>
        </w:rPr>
        <w:t xml:space="preserve">] </w:t>
      </w:r>
      <w:r w:rsidR="009F15F6" w:rsidRPr="009F15F6">
        <w:rPr>
          <w:rFonts w:ascii="Times New Roman" w:hAnsi="Times New Roman" w:cs="Times New Roman"/>
          <w:sz w:val="24"/>
          <w:szCs w:val="24"/>
        </w:rPr>
        <w:t xml:space="preserve">Murder being a direct intent crime, it has competent verdicts comprising attempted murder, culpable homicide </w:t>
      </w:r>
      <w:r w:rsidR="00823120">
        <w:rPr>
          <w:rFonts w:ascii="Times New Roman" w:hAnsi="Times New Roman" w:cs="Times New Roman"/>
          <w:sz w:val="24"/>
          <w:szCs w:val="24"/>
        </w:rPr>
        <w:t>and</w:t>
      </w:r>
      <w:r w:rsidR="009F15F6" w:rsidRPr="009F15F6">
        <w:rPr>
          <w:rFonts w:ascii="Times New Roman" w:hAnsi="Times New Roman" w:cs="Times New Roman"/>
          <w:sz w:val="24"/>
          <w:szCs w:val="24"/>
        </w:rPr>
        <w:t xml:space="preserve"> assault.  </w:t>
      </w:r>
      <w:r w:rsidRPr="000740F9">
        <w:rPr>
          <w:rFonts w:ascii="Times New Roman" w:hAnsi="Times New Roman" w:cs="Times New Roman"/>
          <w:sz w:val="24"/>
          <w:szCs w:val="24"/>
        </w:rPr>
        <w:t xml:space="preserve">The fact that there is </w:t>
      </w:r>
      <w:r w:rsidR="000740F9" w:rsidRPr="000740F9">
        <w:rPr>
          <w:rFonts w:ascii="Times New Roman" w:hAnsi="Times New Roman" w:cs="Times New Roman"/>
          <w:i/>
          <w:iCs/>
          <w:sz w:val="24"/>
          <w:szCs w:val="24"/>
        </w:rPr>
        <w:t>prima facie</w:t>
      </w:r>
      <w:r w:rsidR="000740F9">
        <w:rPr>
          <w:rFonts w:ascii="Times New Roman" w:hAnsi="Times New Roman" w:cs="Times New Roman"/>
          <w:sz w:val="24"/>
          <w:szCs w:val="24"/>
        </w:rPr>
        <w:t xml:space="preserve"> </w:t>
      </w:r>
      <w:r w:rsidRPr="000740F9">
        <w:rPr>
          <w:rFonts w:ascii="Times New Roman" w:hAnsi="Times New Roman" w:cs="Times New Roman"/>
          <w:sz w:val="24"/>
          <w:szCs w:val="24"/>
        </w:rPr>
        <w:t xml:space="preserve">evidence of </w:t>
      </w:r>
      <w:r w:rsidR="00823120">
        <w:rPr>
          <w:rFonts w:ascii="Times New Roman" w:hAnsi="Times New Roman" w:cs="Times New Roman"/>
          <w:sz w:val="24"/>
          <w:szCs w:val="24"/>
        </w:rPr>
        <w:t>slapping the deceased with open hands</w:t>
      </w:r>
      <w:r w:rsidRPr="000740F9">
        <w:rPr>
          <w:rFonts w:ascii="Times New Roman" w:hAnsi="Times New Roman" w:cs="Times New Roman"/>
          <w:sz w:val="24"/>
          <w:szCs w:val="24"/>
        </w:rPr>
        <w:t xml:space="preserve"> and kicking </w:t>
      </w:r>
      <w:r w:rsidR="00823120">
        <w:rPr>
          <w:rFonts w:ascii="Times New Roman" w:hAnsi="Times New Roman" w:cs="Times New Roman"/>
          <w:sz w:val="24"/>
          <w:szCs w:val="24"/>
        </w:rPr>
        <w:t>him</w:t>
      </w:r>
      <w:r w:rsidRPr="000740F9">
        <w:rPr>
          <w:rFonts w:ascii="Times New Roman" w:hAnsi="Times New Roman" w:cs="Times New Roman"/>
          <w:sz w:val="24"/>
          <w:szCs w:val="24"/>
        </w:rPr>
        <w:t xml:space="preserve"> may </w:t>
      </w:r>
      <w:r w:rsidR="009F15F6" w:rsidRPr="009F15F6">
        <w:rPr>
          <w:rFonts w:ascii="Times New Roman" w:hAnsi="Times New Roman" w:cs="Times New Roman"/>
          <w:sz w:val="24"/>
          <w:szCs w:val="24"/>
        </w:rPr>
        <w:t xml:space="preserve">render </w:t>
      </w:r>
      <w:r w:rsidRPr="000740F9">
        <w:rPr>
          <w:rFonts w:ascii="Times New Roman" w:hAnsi="Times New Roman" w:cs="Times New Roman"/>
          <w:sz w:val="24"/>
          <w:szCs w:val="24"/>
        </w:rPr>
        <w:t xml:space="preserve">all the </w:t>
      </w:r>
      <w:r w:rsidR="009F15F6" w:rsidRPr="009F15F6">
        <w:rPr>
          <w:rFonts w:ascii="Times New Roman" w:hAnsi="Times New Roman" w:cs="Times New Roman"/>
          <w:sz w:val="24"/>
          <w:szCs w:val="24"/>
        </w:rPr>
        <w:t xml:space="preserve">accused </w:t>
      </w:r>
      <w:r w:rsidRPr="000740F9">
        <w:rPr>
          <w:rFonts w:ascii="Times New Roman" w:hAnsi="Times New Roman" w:cs="Times New Roman"/>
          <w:sz w:val="24"/>
          <w:szCs w:val="24"/>
        </w:rPr>
        <w:t xml:space="preserve">or some of them </w:t>
      </w:r>
      <w:r w:rsidR="009F15F6" w:rsidRPr="009F15F6">
        <w:rPr>
          <w:rFonts w:ascii="Times New Roman" w:hAnsi="Times New Roman" w:cs="Times New Roman"/>
          <w:sz w:val="24"/>
          <w:szCs w:val="24"/>
        </w:rPr>
        <w:t xml:space="preserve">liable to any of the competent verdicts of murder if not murder at the end of the day. </w:t>
      </w:r>
      <w:r w:rsidR="009F15F6" w:rsidRPr="000740F9">
        <w:rPr>
          <w:rFonts w:ascii="Times New Roman" w:hAnsi="Times New Roman" w:cs="Times New Roman"/>
          <w:sz w:val="24"/>
          <w:szCs w:val="24"/>
        </w:rPr>
        <w:t>It would</w:t>
      </w:r>
      <w:r w:rsidRPr="000740F9">
        <w:rPr>
          <w:rFonts w:ascii="Times New Roman" w:hAnsi="Times New Roman" w:cs="Times New Roman"/>
          <w:sz w:val="24"/>
          <w:szCs w:val="24"/>
        </w:rPr>
        <w:t xml:space="preserve"> be</w:t>
      </w:r>
      <w:r w:rsidR="009F15F6" w:rsidRPr="000740F9">
        <w:rPr>
          <w:rFonts w:ascii="Times New Roman" w:hAnsi="Times New Roman" w:cs="Times New Roman"/>
          <w:sz w:val="24"/>
          <w:szCs w:val="24"/>
        </w:rPr>
        <w:t xml:space="preserve"> incompetent and wholly inappropriate to discharge the accused at the close of the </w:t>
      </w:r>
      <w:r w:rsidR="000528EA">
        <w:rPr>
          <w:rFonts w:ascii="Times New Roman" w:hAnsi="Times New Roman" w:cs="Times New Roman"/>
          <w:sz w:val="24"/>
          <w:szCs w:val="24"/>
        </w:rPr>
        <w:t>S</w:t>
      </w:r>
      <w:r w:rsidR="009F15F6" w:rsidRPr="000740F9">
        <w:rPr>
          <w:rFonts w:ascii="Times New Roman" w:hAnsi="Times New Roman" w:cs="Times New Roman"/>
          <w:sz w:val="24"/>
          <w:szCs w:val="24"/>
        </w:rPr>
        <w:t xml:space="preserve">tate case in </w:t>
      </w:r>
      <w:r w:rsidR="009F15F6" w:rsidRPr="000740F9">
        <w:rPr>
          <w:rFonts w:ascii="Times New Roman" w:hAnsi="Times New Roman" w:cs="Times New Roman"/>
          <w:sz w:val="24"/>
          <w:szCs w:val="24"/>
        </w:rPr>
        <w:lastRenderedPageBreak/>
        <w:t xml:space="preserve">terms of s 198 (3) in circumstances where the state has established a </w:t>
      </w:r>
      <w:r w:rsidR="009F15F6" w:rsidRPr="000740F9">
        <w:rPr>
          <w:rFonts w:ascii="Times New Roman" w:hAnsi="Times New Roman" w:cs="Times New Roman"/>
          <w:i/>
          <w:sz w:val="24"/>
          <w:szCs w:val="24"/>
        </w:rPr>
        <w:t>prima facie</w:t>
      </w:r>
      <w:r w:rsidR="009F15F6" w:rsidRPr="000740F9">
        <w:rPr>
          <w:rFonts w:ascii="Times New Roman" w:hAnsi="Times New Roman" w:cs="Times New Roman"/>
          <w:sz w:val="24"/>
          <w:szCs w:val="24"/>
        </w:rPr>
        <w:t xml:space="preserve"> case against </w:t>
      </w:r>
      <w:r w:rsidR="000740F9" w:rsidRPr="000740F9">
        <w:rPr>
          <w:rFonts w:ascii="Times New Roman" w:hAnsi="Times New Roman" w:cs="Times New Roman"/>
          <w:sz w:val="24"/>
          <w:szCs w:val="24"/>
        </w:rPr>
        <w:t>them</w:t>
      </w:r>
      <w:r w:rsidR="009F15F6" w:rsidRPr="000740F9">
        <w:rPr>
          <w:rFonts w:ascii="Times New Roman" w:hAnsi="Times New Roman" w:cs="Times New Roman"/>
          <w:sz w:val="24"/>
          <w:szCs w:val="24"/>
        </w:rPr>
        <w:t xml:space="preserve"> pointing to the existence of a competent verdict.  The court finds that the </w:t>
      </w:r>
      <w:r w:rsidR="000528EA">
        <w:rPr>
          <w:rFonts w:ascii="Times New Roman" w:hAnsi="Times New Roman" w:cs="Times New Roman"/>
          <w:sz w:val="24"/>
          <w:szCs w:val="24"/>
        </w:rPr>
        <w:t>S</w:t>
      </w:r>
      <w:r w:rsidR="009F15F6" w:rsidRPr="000740F9">
        <w:rPr>
          <w:rFonts w:ascii="Times New Roman" w:hAnsi="Times New Roman" w:cs="Times New Roman"/>
          <w:sz w:val="24"/>
          <w:szCs w:val="24"/>
        </w:rPr>
        <w:t xml:space="preserve">tate has established a </w:t>
      </w:r>
      <w:r w:rsidR="009F15F6" w:rsidRPr="000740F9">
        <w:rPr>
          <w:rFonts w:ascii="Times New Roman" w:hAnsi="Times New Roman" w:cs="Times New Roman"/>
          <w:i/>
          <w:sz w:val="24"/>
          <w:szCs w:val="24"/>
        </w:rPr>
        <w:t>prima facie</w:t>
      </w:r>
      <w:r w:rsidR="009F15F6" w:rsidRPr="000740F9">
        <w:rPr>
          <w:rFonts w:ascii="Times New Roman" w:hAnsi="Times New Roman" w:cs="Times New Roman"/>
          <w:sz w:val="24"/>
          <w:szCs w:val="24"/>
        </w:rPr>
        <w:t xml:space="preserve"> case against </w:t>
      </w:r>
      <w:r w:rsidR="000528EA">
        <w:rPr>
          <w:rFonts w:ascii="Times New Roman" w:hAnsi="Times New Roman" w:cs="Times New Roman"/>
          <w:sz w:val="24"/>
          <w:szCs w:val="24"/>
        </w:rPr>
        <w:t>all</w:t>
      </w:r>
      <w:r w:rsidR="009F15F6" w:rsidRPr="000740F9">
        <w:rPr>
          <w:rFonts w:ascii="Times New Roman" w:hAnsi="Times New Roman" w:cs="Times New Roman"/>
          <w:sz w:val="24"/>
          <w:szCs w:val="24"/>
        </w:rPr>
        <w:t xml:space="preserve"> accused persons</w:t>
      </w:r>
      <w:r w:rsidR="00D76DC4">
        <w:rPr>
          <w:rFonts w:ascii="Times New Roman" w:hAnsi="Times New Roman" w:cs="Times New Roman"/>
          <w:sz w:val="24"/>
          <w:szCs w:val="24"/>
        </w:rPr>
        <w:t xml:space="preserve">, in that the evidence </w:t>
      </w:r>
      <w:r w:rsidR="00544597">
        <w:rPr>
          <w:rFonts w:ascii="Times New Roman" w:hAnsi="Times New Roman" w:cs="Times New Roman"/>
          <w:sz w:val="24"/>
          <w:szCs w:val="24"/>
        </w:rPr>
        <w:t xml:space="preserve">of the State witnesses </w:t>
      </w:r>
      <w:r w:rsidR="00D76DC4">
        <w:rPr>
          <w:rFonts w:ascii="Times New Roman" w:hAnsi="Times New Roman" w:cs="Times New Roman"/>
          <w:sz w:val="24"/>
          <w:szCs w:val="24"/>
        </w:rPr>
        <w:t xml:space="preserve">implicating </w:t>
      </w:r>
      <w:r w:rsidR="00544597">
        <w:rPr>
          <w:rFonts w:ascii="Times New Roman" w:hAnsi="Times New Roman" w:cs="Times New Roman"/>
          <w:sz w:val="24"/>
          <w:szCs w:val="24"/>
        </w:rPr>
        <w:t xml:space="preserve">the accused cannot be said to be of such poor quality that it cannot be relied upon. </w:t>
      </w:r>
      <w:r w:rsidR="000528EA">
        <w:rPr>
          <w:rFonts w:ascii="Times New Roman" w:hAnsi="Times New Roman" w:cs="Times New Roman"/>
          <w:sz w:val="24"/>
          <w:szCs w:val="24"/>
        </w:rPr>
        <w:t xml:space="preserve"> In the circumstances, t</w:t>
      </w:r>
      <w:r w:rsidR="009F15F6" w:rsidRPr="000740F9">
        <w:rPr>
          <w:rFonts w:ascii="Times New Roman" w:hAnsi="Times New Roman" w:cs="Times New Roman"/>
          <w:sz w:val="24"/>
          <w:szCs w:val="24"/>
        </w:rPr>
        <w:t>he accused have a case to answer, they must therefore be put on their defence.</w:t>
      </w:r>
      <w:r w:rsidR="006C0F6D">
        <w:rPr>
          <w:rFonts w:ascii="Times New Roman" w:hAnsi="Times New Roman" w:cs="Times New Roman"/>
          <w:sz w:val="24"/>
          <w:szCs w:val="24"/>
        </w:rPr>
        <w:t xml:space="preserve"> It is for these reasons that this application must fail. </w:t>
      </w:r>
    </w:p>
    <w:p w14:paraId="1D9B96E6" w14:textId="77777777" w:rsidR="000528EA" w:rsidRDefault="000528EA" w:rsidP="009F15F6">
      <w:pPr>
        <w:rPr>
          <w:rFonts w:ascii="Times New Roman" w:hAnsi="Times New Roman" w:cs="Times New Roman"/>
          <w:sz w:val="24"/>
          <w:szCs w:val="24"/>
        </w:rPr>
      </w:pPr>
    </w:p>
    <w:p w14:paraId="0B6D1CA7" w14:textId="18F2983A" w:rsidR="006C0F6D" w:rsidRDefault="006C0F6D" w:rsidP="006C0F6D">
      <w:pPr>
        <w:rPr>
          <w:rFonts w:ascii="Times New Roman" w:hAnsi="Times New Roman" w:cs="Times New Roman"/>
          <w:bCs/>
          <w:sz w:val="24"/>
          <w:szCs w:val="24"/>
        </w:rPr>
      </w:pPr>
      <w:r w:rsidRPr="006C0F6D">
        <w:rPr>
          <w:rFonts w:ascii="Times New Roman" w:hAnsi="Times New Roman" w:cs="Times New Roman"/>
          <w:bCs/>
          <w:sz w:val="24"/>
          <w:szCs w:val="24"/>
        </w:rPr>
        <w:t>In the result</w:t>
      </w:r>
      <w:r w:rsidR="003268F0">
        <w:rPr>
          <w:rFonts w:ascii="Times New Roman" w:hAnsi="Times New Roman" w:cs="Times New Roman"/>
          <w:bCs/>
          <w:sz w:val="24"/>
          <w:szCs w:val="24"/>
        </w:rPr>
        <w:t>,</w:t>
      </w:r>
      <w:r w:rsidRPr="006C0F6D">
        <w:rPr>
          <w:rFonts w:ascii="Times New Roman" w:hAnsi="Times New Roman" w:cs="Times New Roman"/>
          <w:bCs/>
          <w:sz w:val="24"/>
          <w:szCs w:val="24"/>
        </w:rPr>
        <w:t xml:space="preserve"> it is ordered as follows: the application for a discharge at the close of the State case be and is hereby dismissed.</w:t>
      </w:r>
    </w:p>
    <w:p w14:paraId="5C8F4325" w14:textId="77777777" w:rsidR="001A1CEB" w:rsidRDefault="001A1CEB" w:rsidP="006C0F6D">
      <w:pPr>
        <w:rPr>
          <w:rFonts w:ascii="Times New Roman" w:hAnsi="Times New Roman" w:cs="Times New Roman"/>
          <w:bCs/>
          <w:sz w:val="24"/>
          <w:szCs w:val="24"/>
        </w:rPr>
      </w:pPr>
    </w:p>
    <w:p w14:paraId="6880C0D6" w14:textId="77777777" w:rsidR="004A3B18" w:rsidRDefault="004A3B18" w:rsidP="006C0F6D">
      <w:pPr>
        <w:rPr>
          <w:rFonts w:ascii="Times New Roman" w:hAnsi="Times New Roman" w:cs="Times New Roman"/>
          <w:bCs/>
          <w:sz w:val="24"/>
          <w:szCs w:val="24"/>
        </w:rPr>
      </w:pPr>
    </w:p>
    <w:p w14:paraId="0BB145B8" w14:textId="77777777" w:rsidR="001C4C01" w:rsidRPr="006C0F6D" w:rsidRDefault="001C4C01" w:rsidP="006C0F6D">
      <w:pPr>
        <w:rPr>
          <w:rFonts w:ascii="Times New Roman" w:hAnsi="Times New Roman" w:cs="Times New Roman"/>
          <w:bCs/>
          <w:sz w:val="24"/>
          <w:szCs w:val="24"/>
        </w:rPr>
      </w:pPr>
    </w:p>
    <w:p w14:paraId="5509E37C" w14:textId="77777777" w:rsidR="006C0F6D" w:rsidRDefault="006C0F6D" w:rsidP="009F15F6">
      <w:pPr>
        <w:rPr>
          <w:rFonts w:ascii="Times New Roman" w:hAnsi="Times New Roman" w:cs="Times New Roman"/>
          <w:sz w:val="24"/>
          <w:szCs w:val="24"/>
        </w:rPr>
      </w:pPr>
    </w:p>
    <w:p w14:paraId="284BA90A" w14:textId="1C20EC07" w:rsidR="001A1CEB" w:rsidRPr="001A1CEB" w:rsidRDefault="001A1CEB" w:rsidP="004A3B18">
      <w:pPr>
        <w:spacing w:line="276" w:lineRule="auto"/>
        <w:rPr>
          <w:rFonts w:ascii="Times New Roman" w:hAnsi="Times New Roman" w:cs="Times New Roman"/>
          <w:sz w:val="24"/>
          <w:szCs w:val="24"/>
        </w:rPr>
      </w:pPr>
      <w:r w:rsidRPr="001A1CEB">
        <w:rPr>
          <w:rFonts w:ascii="Times New Roman" w:hAnsi="Times New Roman" w:cs="Times New Roman"/>
          <w:i/>
          <w:iCs/>
          <w:sz w:val="24"/>
          <w:szCs w:val="24"/>
        </w:rPr>
        <w:t>National Prosecuting Authority</w:t>
      </w:r>
      <w:r w:rsidRPr="001A1CEB">
        <w:rPr>
          <w:rFonts w:ascii="Times New Roman" w:hAnsi="Times New Roman" w:cs="Times New Roman"/>
          <w:sz w:val="24"/>
          <w:szCs w:val="24"/>
        </w:rPr>
        <w:t xml:space="preserve">, </w:t>
      </w:r>
      <w:r>
        <w:rPr>
          <w:rFonts w:ascii="Times New Roman" w:hAnsi="Times New Roman" w:cs="Times New Roman"/>
          <w:sz w:val="24"/>
          <w:szCs w:val="24"/>
        </w:rPr>
        <w:t>S</w:t>
      </w:r>
      <w:r w:rsidRPr="001A1CEB">
        <w:rPr>
          <w:rFonts w:ascii="Times New Roman" w:hAnsi="Times New Roman" w:cs="Times New Roman"/>
          <w:sz w:val="24"/>
          <w:szCs w:val="24"/>
        </w:rPr>
        <w:t xml:space="preserve">tate’s legal practitioners </w:t>
      </w:r>
    </w:p>
    <w:p w14:paraId="7B4FA886" w14:textId="0F79BC77" w:rsidR="001A1CEB" w:rsidRDefault="004A3B18" w:rsidP="004A3B18">
      <w:pPr>
        <w:spacing w:line="276" w:lineRule="auto"/>
        <w:rPr>
          <w:rFonts w:ascii="Times New Roman" w:hAnsi="Times New Roman" w:cs="Times New Roman"/>
          <w:sz w:val="24"/>
          <w:szCs w:val="24"/>
        </w:rPr>
      </w:pPr>
      <w:proofErr w:type="spellStart"/>
      <w:r>
        <w:rPr>
          <w:rFonts w:ascii="Times New Roman" w:hAnsi="Times New Roman" w:cs="Times New Roman"/>
          <w:i/>
          <w:iCs/>
          <w:sz w:val="24"/>
          <w:szCs w:val="24"/>
        </w:rPr>
        <w:t>Macharaga</w:t>
      </w:r>
      <w:proofErr w:type="spellEnd"/>
      <w:r>
        <w:rPr>
          <w:rFonts w:ascii="Times New Roman" w:hAnsi="Times New Roman" w:cs="Times New Roman"/>
          <w:i/>
          <w:iCs/>
          <w:sz w:val="24"/>
          <w:szCs w:val="24"/>
        </w:rPr>
        <w:t xml:space="preserve"> Law Chambers</w:t>
      </w:r>
      <w:r w:rsidR="001A1CEB" w:rsidRPr="001A1CEB">
        <w:rPr>
          <w:rFonts w:ascii="Times New Roman" w:hAnsi="Times New Roman" w:cs="Times New Roman"/>
          <w:sz w:val="24"/>
          <w:szCs w:val="24"/>
        </w:rPr>
        <w:t xml:space="preserve">, </w:t>
      </w:r>
      <w:r w:rsidR="001A1CEB">
        <w:rPr>
          <w:rFonts w:ascii="Times New Roman" w:hAnsi="Times New Roman" w:cs="Times New Roman"/>
          <w:sz w:val="24"/>
          <w:szCs w:val="24"/>
        </w:rPr>
        <w:t>1</w:t>
      </w:r>
      <w:r w:rsidR="001A1CEB" w:rsidRPr="001A1CEB">
        <w:rPr>
          <w:rFonts w:ascii="Times New Roman" w:hAnsi="Times New Roman" w:cs="Times New Roman"/>
          <w:sz w:val="24"/>
          <w:szCs w:val="24"/>
          <w:vertAlign w:val="superscript"/>
        </w:rPr>
        <w:t>st</w:t>
      </w:r>
      <w:r w:rsidR="001A1CEB">
        <w:rPr>
          <w:rFonts w:ascii="Times New Roman" w:hAnsi="Times New Roman" w:cs="Times New Roman"/>
          <w:sz w:val="24"/>
          <w:szCs w:val="24"/>
        </w:rPr>
        <w:t xml:space="preserve"> a</w:t>
      </w:r>
      <w:r w:rsidR="001A1CEB" w:rsidRPr="001A1CEB">
        <w:rPr>
          <w:rFonts w:ascii="Times New Roman" w:hAnsi="Times New Roman" w:cs="Times New Roman"/>
          <w:sz w:val="24"/>
          <w:szCs w:val="24"/>
        </w:rPr>
        <w:t>ccused’s legal practitioners</w:t>
      </w:r>
    </w:p>
    <w:p w14:paraId="47F273E0" w14:textId="485E43C7" w:rsidR="004A3B18" w:rsidRDefault="004A3B18" w:rsidP="004A3B18">
      <w:pPr>
        <w:spacing w:line="276" w:lineRule="auto"/>
        <w:rPr>
          <w:rFonts w:ascii="Times New Roman" w:hAnsi="Times New Roman" w:cs="Times New Roman"/>
          <w:sz w:val="24"/>
          <w:szCs w:val="24"/>
        </w:rPr>
      </w:pPr>
      <w:r w:rsidRPr="004A3B18">
        <w:rPr>
          <w:rFonts w:ascii="Times New Roman" w:hAnsi="Times New Roman" w:cs="Times New Roman"/>
          <w:i/>
          <w:iCs/>
          <w:sz w:val="24"/>
          <w:szCs w:val="24"/>
        </w:rPr>
        <w:t>Masamvu &amp; Da Silv</w:t>
      </w:r>
      <w:r w:rsidR="003F0959">
        <w:rPr>
          <w:rFonts w:ascii="Times New Roman" w:hAnsi="Times New Roman" w:cs="Times New Roman"/>
          <w:i/>
          <w:iCs/>
          <w:sz w:val="24"/>
          <w:szCs w:val="24"/>
        </w:rPr>
        <w:t>a</w:t>
      </w:r>
      <w:r w:rsidRPr="004A3B18">
        <w:rPr>
          <w:rFonts w:ascii="Times New Roman" w:hAnsi="Times New Roman" w:cs="Times New Roman"/>
          <w:i/>
          <w:iCs/>
          <w:sz w:val="24"/>
          <w:szCs w:val="24"/>
        </w:rPr>
        <w:t>-Gustavo Law Chamber</w:t>
      </w:r>
      <w:r>
        <w:rPr>
          <w:rFonts w:ascii="Times New Roman" w:hAnsi="Times New Roman" w:cs="Times New Roman"/>
          <w:i/>
          <w:iCs/>
          <w:sz w:val="24"/>
          <w:szCs w:val="24"/>
        </w:rPr>
        <w:t>s</w:t>
      </w:r>
      <w:r>
        <w:rPr>
          <w:rFonts w:ascii="Times New Roman" w:hAnsi="Times New Roman" w:cs="Times New Roman"/>
          <w:sz w:val="24"/>
          <w:szCs w:val="24"/>
        </w:rPr>
        <w:t>, 2</w:t>
      </w:r>
      <w:r w:rsidRPr="004A3B18">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legal practitioners </w:t>
      </w:r>
    </w:p>
    <w:p w14:paraId="1346B54B" w14:textId="03F8070B" w:rsidR="004A3B18" w:rsidRDefault="004A3B18" w:rsidP="004A3B18">
      <w:pPr>
        <w:spacing w:line="276" w:lineRule="auto"/>
        <w:rPr>
          <w:rFonts w:ascii="Times New Roman" w:hAnsi="Times New Roman" w:cs="Times New Roman"/>
          <w:sz w:val="24"/>
          <w:szCs w:val="24"/>
        </w:rPr>
      </w:pPr>
      <w:r w:rsidRPr="004A3B18">
        <w:rPr>
          <w:rFonts w:ascii="Times New Roman" w:hAnsi="Times New Roman" w:cs="Times New Roman"/>
          <w:i/>
          <w:iCs/>
          <w:sz w:val="24"/>
          <w:szCs w:val="24"/>
        </w:rPr>
        <w:t>Sengweni Legal Practice,</w:t>
      </w:r>
      <w:r>
        <w:rPr>
          <w:rFonts w:ascii="Times New Roman" w:hAnsi="Times New Roman" w:cs="Times New Roman"/>
          <w:sz w:val="24"/>
          <w:szCs w:val="24"/>
        </w:rPr>
        <w:t xml:space="preserve"> 3</w:t>
      </w:r>
      <w:r w:rsidRPr="004A3B18">
        <w:rPr>
          <w:rFonts w:ascii="Times New Roman" w:hAnsi="Times New Roman" w:cs="Times New Roman"/>
          <w:sz w:val="24"/>
          <w:szCs w:val="24"/>
          <w:vertAlign w:val="superscript"/>
        </w:rPr>
        <w:t>rd</w:t>
      </w:r>
      <w:r>
        <w:rPr>
          <w:rFonts w:ascii="Times New Roman" w:hAnsi="Times New Roman" w:cs="Times New Roman"/>
          <w:sz w:val="24"/>
          <w:szCs w:val="24"/>
        </w:rPr>
        <w:t xml:space="preserve"> accused’s legal practitioners </w:t>
      </w:r>
    </w:p>
    <w:p w14:paraId="5CAB8205" w14:textId="032122E1" w:rsidR="004A3B18" w:rsidRDefault="004A3B18" w:rsidP="004A3B18">
      <w:pPr>
        <w:spacing w:line="276" w:lineRule="auto"/>
        <w:rPr>
          <w:rFonts w:ascii="Times New Roman" w:hAnsi="Times New Roman" w:cs="Times New Roman"/>
          <w:sz w:val="24"/>
          <w:szCs w:val="24"/>
        </w:rPr>
      </w:pPr>
      <w:proofErr w:type="spellStart"/>
      <w:r w:rsidRPr="004A3B18">
        <w:rPr>
          <w:rFonts w:ascii="Times New Roman" w:hAnsi="Times New Roman" w:cs="Times New Roman"/>
          <w:i/>
          <w:iCs/>
          <w:sz w:val="24"/>
          <w:szCs w:val="24"/>
        </w:rPr>
        <w:t>MlotshwaSolicitors</w:t>
      </w:r>
      <w:proofErr w:type="spellEnd"/>
      <w:r w:rsidRPr="004A3B18">
        <w:rPr>
          <w:rFonts w:ascii="Times New Roman" w:hAnsi="Times New Roman" w:cs="Times New Roman"/>
          <w:i/>
          <w:iCs/>
          <w:sz w:val="24"/>
          <w:szCs w:val="24"/>
        </w:rPr>
        <w:t xml:space="preserve"> Titan Law,</w:t>
      </w:r>
      <w:r>
        <w:rPr>
          <w:rFonts w:ascii="Times New Roman" w:hAnsi="Times New Roman" w:cs="Times New Roman"/>
          <w:sz w:val="24"/>
          <w:szCs w:val="24"/>
        </w:rPr>
        <w:t xml:space="preserve"> 4</w:t>
      </w:r>
      <w:r w:rsidRPr="004A3B18">
        <w:rPr>
          <w:rFonts w:ascii="Times New Roman" w:hAnsi="Times New Roman" w:cs="Times New Roman"/>
          <w:sz w:val="24"/>
          <w:szCs w:val="24"/>
          <w:vertAlign w:val="superscript"/>
        </w:rPr>
        <w:t>th</w:t>
      </w:r>
      <w:r>
        <w:rPr>
          <w:rFonts w:ascii="Times New Roman" w:hAnsi="Times New Roman" w:cs="Times New Roman"/>
          <w:sz w:val="24"/>
          <w:szCs w:val="24"/>
        </w:rPr>
        <w:t xml:space="preserve"> accused’s legal practitioners </w:t>
      </w:r>
    </w:p>
    <w:p w14:paraId="2833BDAF" w14:textId="719FC563" w:rsidR="004A3B18" w:rsidRDefault="004A3B18" w:rsidP="004A3B18">
      <w:pPr>
        <w:spacing w:line="276" w:lineRule="auto"/>
        <w:rPr>
          <w:rFonts w:ascii="Times New Roman" w:hAnsi="Times New Roman" w:cs="Times New Roman"/>
          <w:sz w:val="24"/>
          <w:szCs w:val="24"/>
        </w:rPr>
      </w:pPr>
      <w:r w:rsidRPr="004A3B18">
        <w:rPr>
          <w:rFonts w:ascii="Times New Roman" w:hAnsi="Times New Roman" w:cs="Times New Roman"/>
          <w:i/>
          <w:iCs/>
          <w:sz w:val="24"/>
          <w:szCs w:val="24"/>
        </w:rPr>
        <w:t>Mathonsi Ncube Law Chambers,</w:t>
      </w:r>
      <w:r>
        <w:rPr>
          <w:rFonts w:ascii="Times New Roman" w:hAnsi="Times New Roman" w:cs="Times New Roman"/>
          <w:sz w:val="24"/>
          <w:szCs w:val="24"/>
        </w:rPr>
        <w:t xml:space="preserve"> 5</w:t>
      </w:r>
      <w:r w:rsidRPr="004A3B18">
        <w:rPr>
          <w:rFonts w:ascii="Times New Roman" w:hAnsi="Times New Roman" w:cs="Times New Roman"/>
          <w:sz w:val="24"/>
          <w:szCs w:val="24"/>
          <w:vertAlign w:val="superscript"/>
        </w:rPr>
        <w:t>th</w:t>
      </w:r>
      <w:r>
        <w:rPr>
          <w:rFonts w:ascii="Times New Roman" w:hAnsi="Times New Roman" w:cs="Times New Roman"/>
          <w:sz w:val="24"/>
          <w:szCs w:val="24"/>
        </w:rPr>
        <w:t xml:space="preserve"> accused’s legal practitioners </w:t>
      </w:r>
    </w:p>
    <w:p w14:paraId="023D811C" w14:textId="77777777" w:rsidR="004A3B18" w:rsidRDefault="004A3B18" w:rsidP="004A3B18">
      <w:pPr>
        <w:spacing w:line="276" w:lineRule="auto"/>
        <w:rPr>
          <w:rFonts w:ascii="Times New Roman" w:hAnsi="Times New Roman" w:cs="Times New Roman"/>
          <w:sz w:val="24"/>
          <w:szCs w:val="24"/>
        </w:rPr>
      </w:pPr>
    </w:p>
    <w:sectPr w:rsidR="004A3B1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0C9C7" w14:textId="77777777" w:rsidR="002F0D5A" w:rsidRDefault="002F0D5A" w:rsidP="002F0D5A">
      <w:pPr>
        <w:spacing w:line="240" w:lineRule="auto"/>
      </w:pPr>
      <w:r>
        <w:separator/>
      </w:r>
    </w:p>
  </w:endnote>
  <w:endnote w:type="continuationSeparator" w:id="0">
    <w:p w14:paraId="3BEDD9A2" w14:textId="77777777" w:rsidR="002F0D5A" w:rsidRDefault="002F0D5A" w:rsidP="002F0D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6A3E9" w14:textId="77777777" w:rsidR="002F0D5A" w:rsidRDefault="002F0D5A" w:rsidP="002F0D5A">
      <w:pPr>
        <w:spacing w:line="240" w:lineRule="auto"/>
      </w:pPr>
      <w:r>
        <w:separator/>
      </w:r>
    </w:p>
  </w:footnote>
  <w:footnote w:type="continuationSeparator" w:id="0">
    <w:p w14:paraId="1D5EEDA6" w14:textId="77777777" w:rsidR="002F0D5A" w:rsidRDefault="002F0D5A" w:rsidP="002F0D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292893"/>
      <w:docPartObj>
        <w:docPartGallery w:val="Page Numbers (Top of Page)"/>
        <w:docPartUnique/>
      </w:docPartObj>
    </w:sdtPr>
    <w:sdtEndPr>
      <w:rPr>
        <w:noProof/>
      </w:rPr>
    </w:sdtEndPr>
    <w:sdtContent>
      <w:p w14:paraId="1D65AF87" w14:textId="77777777" w:rsidR="002F0D5A" w:rsidRDefault="002F0D5A">
        <w:pPr>
          <w:pStyle w:val="Header"/>
          <w:jc w:val="right"/>
          <w:rPr>
            <w:noProof/>
          </w:rPr>
        </w:pPr>
        <w:r>
          <w:fldChar w:fldCharType="begin"/>
        </w:r>
        <w:r>
          <w:instrText xml:space="preserve"> PAGE   \* MERGEFORMAT </w:instrText>
        </w:r>
        <w:r>
          <w:fldChar w:fldCharType="separate"/>
        </w:r>
        <w:r>
          <w:rPr>
            <w:noProof/>
          </w:rPr>
          <w:t>5</w:t>
        </w:r>
        <w:r>
          <w:rPr>
            <w:noProof/>
          </w:rPr>
          <w:fldChar w:fldCharType="end"/>
        </w:r>
      </w:p>
      <w:p w14:paraId="43E54B77" w14:textId="77777777" w:rsidR="002F0D5A" w:rsidRDefault="002F0D5A">
        <w:pPr>
          <w:pStyle w:val="Header"/>
          <w:jc w:val="right"/>
          <w:rPr>
            <w:noProof/>
          </w:rPr>
        </w:pPr>
        <w:r>
          <w:rPr>
            <w:noProof/>
          </w:rPr>
          <w:t>HB 149/24</w:t>
        </w:r>
      </w:p>
      <w:p w14:paraId="2B0681ED" w14:textId="12BDF2E3" w:rsidR="002F0D5A" w:rsidRDefault="002F0D5A">
        <w:pPr>
          <w:pStyle w:val="Header"/>
          <w:jc w:val="right"/>
        </w:pPr>
        <w:r>
          <w:rPr>
            <w:noProof/>
          </w:rPr>
          <w:t>HCBC R 898/24</w:t>
        </w:r>
      </w:p>
    </w:sdtContent>
  </w:sdt>
  <w:p w14:paraId="0E753BC4" w14:textId="77777777" w:rsidR="002F0D5A" w:rsidRDefault="002F0D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93606"/>
    <w:multiLevelType w:val="hybridMultilevel"/>
    <w:tmpl w:val="5900B084"/>
    <w:lvl w:ilvl="0" w:tplc="63F6325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45F3063"/>
    <w:multiLevelType w:val="hybridMultilevel"/>
    <w:tmpl w:val="4FCEF254"/>
    <w:lvl w:ilvl="0" w:tplc="31BED72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2C15B57"/>
    <w:multiLevelType w:val="multilevel"/>
    <w:tmpl w:val="BAE2F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5F6"/>
    <w:rsid w:val="0000779A"/>
    <w:rsid w:val="00021534"/>
    <w:rsid w:val="000528EA"/>
    <w:rsid w:val="000740F9"/>
    <w:rsid w:val="00156FCD"/>
    <w:rsid w:val="001A1CEB"/>
    <w:rsid w:val="001C4C01"/>
    <w:rsid w:val="001D66E4"/>
    <w:rsid w:val="00254125"/>
    <w:rsid w:val="00264AF2"/>
    <w:rsid w:val="00280941"/>
    <w:rsid w:val="002955C8"/>
    <w:rsid w:val="002F0D5A"/>
    <w:rsid w:val="003268F0"/>
    <w:rsid w:val="0037626C"/>
    <w:rsid w:val="003E67E0"/>
    <w:rsid w:val="003F0959"/>
    <w:rsid w:val="004A3B18"/>
    <w:rsid w:val="00516FC4"/>
    <w:rsid w:val="00544597"/>
    <w:rsid w:val="005C606A"/>
    <w:rsid w:val="0060053B"/>
    <w:rsid w:val="00634C22"/>
    <w:rsid w:val="00656AB3"/>
    <w:rsid w:val="006C0F6D"/>
    <w:rsid w:val="006E787B"/>
    <w:rsid w:val="00700562"/>
    <w:rsid w:val="00771B8B"/>
    <w:rsid w:val="00823120"/>
    <w:rsid w:val="009F15F6"/>
    <w:rsid w:val="00A56001"/>
    <w:rsid w:val="00A937D5"/>
    <w:rsid w:val="00B60844"/>
    <w:rsid w:val="00B65BD9"/>
    <w:rsid w:val="00B71996"/>
    <w:rsid w:val="00BA249D"/>
    <w:rsid w:val="00C11D9A"/>
    <w:rsid w:val="00C22879"/>
    <w:rsid w:val="00C53BA3"/>
    <w:rsid w:val="00C5723D"/>
    <w:rsid w:val="00CA396D"/>
    <w:rsid w:val="00D46253"/>
    <w:rsid w:val="00D76DC4"/>
    <w:rsid w:val="00DA6584"/>
    <w:rsid w:val="00E05BEB"/>
    <w:rsid w:val="00E11C58"/>
    <w:rsid w:val="00E91F20"/>
    <w:rsid w:val="00F70EF2"/>
    <w:rsid w:val="00FA639B"/>
    <w:rsid w:val="00FF12E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B463"/>
  <w15:chartTrackingRefBased/>
  <w15:docId w15:val="{A853EE03-F2E9-48FC-AAAA-78776F7D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639B"/>
    <w:rPr>
      <w:rFonts w:ascii="Times New Roman" w:hAnsi="Times New Roman" w:cs="Times New Roman"/>
      <w:sz w:val="24"/>
      <w:szCs w:val="24"/>
    </w:rPr>
  </w:style>
  <w:style w:type="paragraph" w:styleId="ListParagraph">
    <w:name w:val="List Paragraph"/>
    <w:basedOn w:val="Normal"/>
    <w:uiPriority w:val="34"/>
    <w:qFormat/>
    <w:rsid w:val="00B65BD9"/>
    <w:pPr>
      <w:ind w:left="720"/>
      <w:contextualSpacing/>
    </w:pPr>
  </w:style>
  <w:style w:type="paragraph" w:customStyle="1" w:styleId="lrsection">
    <w:name w:val="lr section"/>
    <w:basedOn w:val="Normal"/>
    <w:rsid w:val="00FF12E1"/>
    <w:pPr>
      <w:tabs>
        <w:tab w:val="left" w:pos="369"/>
      </w:tabs>
      <w:spacing w:after="80" w:line="300" w:lineRule="exact"/>
      <w:ind w:firstLine="369"/>
    </w:pPr>
    <w:rPr>
      <w:rFonts w:ascii="Times New Roman" w:eastAsia="Times New Roman" w:hAnsi="Times New Roman" w:cs="Times New Roman"/>
      <w:kern w:val="0"/>
      <w:szCs w:val="20"/>
      <w:lang w:val="en-ZA"/>
      <w14:ligatures w14:val="none"/>
    </w:rPr>
  </w:style>
  <w:style w:type="paragraph" w:customStyle="1" w:styleId="lrpara-a">
    <w:name w:val="lr para-a"/>
    <w:basedOn w:val="Normal"/>
    <w:rsid w:val="00FF12E1"/>
    <w:pPr>
      <w:tabs>
        <w:tab w:val="right" w:pos="680"/>
        <w:tab w:val="left" w:pos="822"/>
        <w:tab w:val="left" w:pos="1276"/>
      </w:tabs>
      <w:spacing w:after="80" w:line="300" w:lineRule="exact"/>
      <w:ind w:left="822" w:hanging="822"/>
    </w:pPr>
    <w:rPr>
      <w:rFonts w:ascii="Times New Roman" w:eastAsia="Times New Roman" w:hAnsi="Times New Roman" w:cs="Times New Roman"/>
      <w:kern w:val="0"/>
      <w:szCs w:val="20"/>
      <w:lang w:val="en-ZA"/>
      <w14:ligatures w14:val="none"/>
    </w:rPr>
  </w:style>
  <w:style w:type="paragraph" w:styleId="BalloonText">
    <w:name w:val="Balloon Text"/>
    <w:basedOn w:val="Normal"/>
    <w:link w:val="BalloonTextChar"/>
    <w:uiPriority w:val="99"/>
    <w:semiHidden/>
    <w:unhideWhenUsed/>
    <w:rsid w:val="003F09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959"/>
    <w:rPr>
      <w:rFonts w:ascii="Segoe UI" w:hAnsi="Segoe UI" w:cs="Segoe UI"/>
      <w:sz w:val="18"/>
      <w:szCs w:val="18"/>
    </w:rPr>
  </w:style>
  <w:style w:type="paragraph" w:styleId="Header">
    <w:name w:val="header"/>
    <w:basedOn w:val="Normal"/>
    <w:link w:val="HeaderChar"/>
    <w:uiPriority w:val="99"/>
    <w:unhideWhenUsed/>
    <w:rsid w:val="002F0D5A"/>
    <w:pPr>
      <w:tabs>
        <w:tab w:val="center" w:pos="4513"/>
        <w:tab w:val="right" w:pos="9026"/>
      </w:tabs>
      <w:spacing w:line="240" w:lineRule="auto"/>
    </w:pPr>
  </w:style>
  <w:style w:type="character" w:customStyle="1" w:styleId="HeaderChar">
    <w:name w:val="Header Char"/>
    <w:basedOn w:val="DefaultParagraphFont"/>
    <w:link w:val="Header"/>
    <w:uiPriority w:val="99"/>
    <w:rsid w:val="002F0D5A"/>
  </w:style>
  <w:style w:type="paragraph" w:styleId="Footer">
    <w:name w:val="footer"/>
    <w:basedOn w:val="Normal"/>
    <w:link w:val="FooterChar"/>
    <w:uiPriority w:val="99"/>
    <w:unhideWhenUsed/>
    <w:rsid w:val="002F0D5A"/>
    <w:pPr>
      <w:tabs>
        <w:tab w:val="center" w:pos="4513"/>
        <w:tab w:val="right" w:pos="9026"/>
      </w:tabs>
      <w:spacing w:line="240" w:lineRule="auto"/>
    </w:pPr>
  </w:style>
  <w:style w:type="character" w:customStyle="1" w:styleId="FooterChar">
    <w:name w:val="Footer Char"/>
    <w:basedOn w:val="DefaultParagraphFont"/>
    <w:link w:val="Footer"/>
    <w:uiPriority w:val="99"/>
    <w:rsid w:val="002F0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5800">
      <w:bodyDiv w:val="1"/>
      <w:marLeft w:val="0"/>
      <w:marRight w:val="0"/>
      <w:marTop w:val="0"/>
      <w:marBottom w:val="0"/>
      <w:divBdr>
        <w:top w:val="none" w:sz="0" w:space="0" w:color="auto"/>
        <w:left w:val="none" w:sz="0" w:space="0" w:color="auto"/>
        <w:bottom w:val="none" w:sz="0" w:space="0" w:color="auto"/>
        <w:right w:val="none" w:sz="0" w:space="0" w:color="auto"/>
      </w:divBdr>
    </w:div>
    <w:div w:id="444006881">
      <w:bodyDiv w:val="1"/>
      <w:marLeft w:val="0"/>
      <w:marRight w:val="0"/>
      <w:marTop w:val="0"/>
      <w:marBottom w:val="0"/>
      <w:divBdr>
        <w:top w:val="none" w:sz="0" w:space="0" w:color="auto"/>
        <w:left w:val="none" w:sz="0" w:space="0" w:color="auto"/>
        <w:bottom w:val="none" w:sz="0" w:space="0" w:color="auto"/>
        <w:right w:val="none" w:sz="0" w:space="0" w:color="auto"/>
      </w:divBdr>
    </w:div>
    <w:div w:id="595872391">
      <w:bodyDiv w:val="1"/>
      <w:marLeft w:val="0"/>
      <w:marRight w:val="0"/>
      <w:marTop w:val="0"/>
      <w:marBottom w:val="0"/>
      <w:divBdr>
        <w:top w:val="none" w:sz="0" w:space="0" w:color="auto"/>
        <w:left w:val="none" w:sz="0" w:space="0" w:color="auto"/>
        <w:bottom w:val="none" w:sz="0" w:space="0" w:color="auto"/>
        <w:right w:val="none" w:sz="0" w:space="0" w:color="auto"/>
      </w:divBdr>
    </w:div>
    <w:div w:id="604459499">
      <w:bodyDiv w:val="1"/>
      <w:marLeft w:val="0"/>
      <w:marRight w:val="0"/>
      <w:marTop w:val="0"/>
      <w:marBottom w:val="0"/>
      <w:divBdr>
        <w:top w:val="none" w:sz="0" w:space="0" w:color="auto"/>
        <w:left w:val="none" w:sz="0" w:space="0" w:color="auto"/>
        <w:bottom w:val="none" w:sz="0" w:space="0" w:color="auto"/>
        <w:right w:val="none" w:sz="0" w:space="0" w:color="auto"/>
      </w:divBdr>
    </w:div>
    <w:div w:id="624847751">
      <w:bodyDiv w:val="1"/>
      <w:marLeft w:val="0"/>
      <w:marRight w:val="0"/>
      <w:marTop w:val="0"/>
      <w:marBottom w:val="0"/>
      <w:divBdr>
        <w:top w:val="none" w:sz="0" w:space="0" w:color="auto"/>
        <w:left w:val="none" w:sz="0" w:space="0" w:color="auto"/>
        <w:bottom w:val="none" w:sz="0" w:space="0" w:color="auto"/>
        <w:right w:val="none" w:sz="0" w:space="0" w:color="auto"/>
      </w:divBdr>
    </w:div>
    <w:div w:id="680858008">
      <w:bodyDiv w:val="1"/>
      <w:marLeft w:val="0"/>
      <w:marRight w:val="0"/>
      <w:marTop w:val="0"/>
      <w:marBottom w:val="0"/>
      <w:divBdr>
        <w:top w:val="none" w:sz="0" w:space="0" w:color="auto"/>
        <w:left w:val="none" w:sz="0" w:space="0" w:color="auto"/>
        <w:bottom w:val="none" w:sz="0" w:space="0" w:color="auto"/>
        <w:right w:val="none" w:sz="0" w:space="0" w:color="auto"/>
      </w:divBdr>
    </w:div>
    <w:div w:id="1152723354">
      <w:bodyDiv w:val="1"/>
      <w:marLeft w:val="0"/>
      <w:marRight w:val="0"/>
      <w:marTop w:val="0"/>
      <w:marBottom w:val="0"/>
      <w:divBdr>
        <w:top w:val="none" w:sz="0" w:space="0" w:color="auto"/>
        <w:left w:val="none" w:sz="0" w:space="0" w:color="auto"/>
        <w:bottom w:val="none" w:sz="0" w:space="0" w:color="auto"/>
        <w:right w:val="none" w:sz="0" w:space="0" w:color="auto"/>
      </w:divBdr>
    </w:div>
    <w:div w:id="1293098419">
      <w:bodyDiv w:val="1"/>
      <w:marLeft w:val="0"/>
      <w:marRight w:val="0"/>
      <w:marTop w:val="0"/>
      <w:marBottom w:val="0"/>
      <w:divBdr>
        <w:top w:val="none" w:sz="0" w:space="0" w:color="auto"/>
        <w:left w:val="none" w:sz="0" w:space="0" w:color="auto"/>
        <w:bottom w:val="none" w:sz="0" w:space="0" w:color="auto"/>
        <w:right w:val="none" w:sz="0" w:space="0" w:color="auto"/>
      </w:divBdr>
    </w:div>
    <w:div w:id="1304235940">
      <w:bodyDiv w:val="1"/>
      <w:marLeft w:val="0"/>
      <w:marRight w:val="0"/>
      <w:marTop w:val="0"/>
      <w:marBottom w:val="0"/>
      <w:divBdr>
        <w:top w:val="none" w:sz="0" w:space="0" w:color="auto"/>
        <w:left w:val="none" w:sz="0" w:space="0" w:color="auto"/>
        <w:bottom w:val="none" w:sz="0" w:space="0" w:color="auto"/>
        <w:right w:val="none" w:sz="0" w:space="0" w:color="auto"/>
      </w:divBdr>
    </w:div>
    <w:div w:id="153807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5</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16</cp:revision>
  <cp:lastPrinted>2024-10-24T08:49:00Z</cp:lastPrinted>
  <dcterms:created xsi:type="dcterms:W3CDTF">2024-10-23T09:35:00Z</dcterms:created>
  <dcterms:modified xsi:type="dcterms:W3CDTF">2024-10-24T13:43:00Z</dcterms:modified>
</cp:coreProperties>
</file>