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C0960" w:rsidRDefault="00C4499C" w:rsidP="009C0960">
      <w:pPr>
        <w:pStyle w:val="NoSpacing"/>
        <w:jc w:val="both"/>
        <w:rPr>
          <w:b/>
          <w:szCs w:val="24"/>
        </w:rPr>
      </w:pPr>
      <w:r w:rsidRPr="009C0960">
        <w:rPr>
          <w:b/>
          <w:szCs w:val="24"/>
        </w:rPr>
        <w:t>THE STATE</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Versus</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NKOSILATHI KHULUZA MATHEMA</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And</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TIMOTHY MDUDUZI DUBE</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And</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NKOSILATHI NYATHI</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And</w:t>
      </w:r>
    </w:p>
    <w:p w:rsidR="00C4499C" w:rsidRPr="009C0960" w:rsidRDefault="00C4499C" w:rsidP="009C0960">
      <w:pPr>
        <w:pStyle w:val="NoSpacing"/>
        <w:jc w:val="both"/>
        <w:rPr>
          <w:b/>
          <w:szCs w:val="24"/>
        </w:rPr>
      </w:pPr>
    </w:p>
    <w:p w:rsidR="00C4499C" w:rsidRPr="009C0960" w:rsidRDefault="00C4499C" w:rsidP="009C0960">
      <w:pPr>
        <w:pStyle w:val="NoSpacing"/>
        <w:jc w:val="both"/>
        <w:rPr>
          <w:b/>
          <w:szCs w:val="24"/>
        </w:rPr>
      </w:pPr>
      <w:r w:rsidRPr="009C0960">
        <w:rPr>
          <w:b/>
          <w:szCs w:val="24"/>
        </w:rPr>
        <w:t>DERIES MABALEKA</w:t>
      </w:r>
    </w:p>
    <w:p w:rsidR="00C4499C" w:rsidRPr="009C0960" w:rsidRDefault="00C4499C" w:rsidP="009C0960">
      <w:pPr>
        <w:pStyle w:val="NoSpacing"/>
        <w:jc w:val="both"/>
        <w:rPr>
          <w:b/>
          <w:szCs w:val="24"/>
        </w:rPr>
      </w:pPr>
    </w:p>
    <w:p w:rsidR="00C4499C" w:rsidRPr="009C0960" w:rsidRDefault="00C4499C" w:rsidP="009C0960">
      <w:pPr>
        <w:pStyle w:val="NoSpacing"/>
        <w:jc w:val="both"/>
        <w:rPr>
          <w:szCs w:val="24"/>
        </w:rPr>
      </w:pPr>
      <w:r w:rsidRPr="009C0960">
        <w:rPr>
          <w:szCs w:val="24"/>
        </w:rPr>
        <w:t>IN THE HIGH COURT OF ZIMBABWE</w:t>
      </w:r>
    </w:p>
    <w:p w:rsidR="00C4499C" w:rsidRPr="009C0960" w:rsidRDefault="00C4499C" w:rsidP="009C0960">
      <w:pPr>
        <w:pStyle w:val="NoSpacing"/>
        <w:jc w:val="both"/>
        <w:rPr>
          <w:szCs w:val="24"/>
        </w:rPr>
      </w:pPr>
      <w:r w:rsidRPr="009C0960">
        <w:rPr>
          <w:szCs w:val="24"/>
        </w:rPr>
        <w:t>MABHIKWA J with Assessors Mr J. Sobantu &amp; Mr M. Ndlovu</w:t>
      </w:r>
    </w:p>
    <w:p w:rsidR="00C4499C" w:rsidRPr="009C0960" w:rsidRDefault="00C4499C" w:rsidP="009C0960">
      <w:pPr>
        <w:pStyle w:val="NoSpacing"/>
        <w:jc w:val="both"/>
        <w:rPr>
          <w:szCs w:val="24"/>
        </w:rPr>
      </w:pPr>
      <w:r w:rsidRPr="009C0960">
        <w:rPr>
          <w:szCs w:val="24"/>
        </w:rPr>
        <w:t xml:space="preserve">BULAWAYO </w:t>
      </w:r>
      <w:r w:rsidR="009A2603">
        <w:rPr>
          <w:szCs w:val="24"/>
        </w:rPr>
        <w:t>16, 17 &amp; 30 JULY 2019</w:t>
      </w:r>
    </w:p>
    <w:p w:rsidR="00C4499C" w:rsidRPr="009C0960" w:rsidRDefault="00C4499C" w:rsidP="009C0960">
      <w:pPr>
        <w:pStyle w:val="NoSpacing"/>
        <w:jc w:val="both"/>
        <w:rPr>
          <w:szCs w:val="24"/>
        </w:rPr>
      </w:pPr>
    </w:p>
    <w:p w:rsidR="00C4499C" w:rsidRPr="009C0960" w:rsidRDefault="00C4499C" w:rsidP="009C0960">
      <w:pPr>
        <w:pStyle w:val="NoSpacing"/>
        <w:jc w:val="both"/>
        <w:rPr>
          <w:b/>
          <w:szCs w:val="24"/>
        </w:rPr>
      </w:pPr>
      <w:r w:rsidRPr="009C0960">
        <w:rPr>
          <w:b/>
          <w:szCs w:val="24"/>
        </w:rPr>
        <w:t>Criminal Trial</w:t>
      </w:r>
    </w:p>
    <w:p w:rsidR="00C4499C" w:rsidRPr="009C0960" w:rsidRDefault="00C4499C" w:rsidP="009C0960">
      <w:pPr>
        <w:pStyle w:val="NoSpacing"/>
        <w:jc w:val="both"/>
        <w:rPr>
          <w:b/>
          <w:szCs w:val="24"/>
        </w:rPr>
      </w:pPr>
    </w:p>
    <w:p w:rsidR="00C4499C" w:rsidRPr="009C0960" w:rsidRDefault="00C4499C" w:rsidP="009C0960">
      <w:pPr>
        <w:pStyle w:val="NoSpacing"/>
        <w:jc w:val="both"/>
        <w:rPr>
          <w:szCs w:val="24"/>
        </w:rPr>
      </w:pPr>
      <w:r w:rsidRPr="009C0960">
        <w:rPr>
          <w:i/>
          <w:szCs w:val="24"/>
        </w:rPr>
        <w:t>T. Hove, K. Jaravaza &amp; Mrs C. Mndavaka</w:t>
      </w:r>
      <w:r w:rsidRPr="009C0960">
        <w:rPr>
          <w:szCs w:val="24"/>
        </w:rPr>
        <w:t xml:space="preserve"> for the state</w:t>
      </w:r>
    </w:p>
    <w:p w:rsidR="00C4499C" w:rsidRPr="009C0960" w:rsidRDefault="00C4499C" w:rsidP="009C0960">
      <w:pPr>
        <w:pStyle w:val="NoSpacing"/>
        <w:jc w:val="both"/>
        <w:rPr>
          <w:szCs w:val="24"/>
        </w:rPr>
      </w:pPr>
      <w:r w:rsidRPr="009C0960">
        <w:rPr>
          <w:i/>
          <w:szCs w:val="24"/>
        </w:rPr>
        <w:t>Ms M. Busayi</w:t>
      </w:r>
      <w:r w:rsidRPr="009C0960">
        <w:rPr>
          <w:szCs w:val="24"/>
        </w:rPr>
        <w:t xml:space="preserve"> for 1</w:t>
      </w:r>
      <w:r w:rsidRPr="009C0960">
        <w:rPr>
          <w:szCs w:val="24"/>
          <w:vertAlign w:val="superscript"/>
        </w:rPr>
        <w:t>st</w:t>
      </w:r>
      <w:r w:rsidRPr="009C0960">
        <w:rPr>
          <w:szCs w:val="24"/>
        </w:rPr>
        <w:t xml:space="preserve"> accused</w:t>
      </w:r>
    </w:p>
    <w:p w:rsidR="00C4499C" w:rsidRPr="009C0960" w:rsidRDefault="00C4499C" w:rsidP="009C0960">
      <w:pPr>
        <w:pStyle w:val="NoSpacing"/>
        <w:jc w:val="both"/>
        <w:rPr>
          <w:szCs w:val="24"/>
        </w:rPr>
      </w:pPr>
      <w:r w:rsidRPr="009C0960">
        <w:rPr>
          <w:i/>
          <w:szCs w:val="24"/>
        </w:rPr>
        <w:t>Ms T. Sibanda</w:t>
      </w:r>
      <w:r w:rsidRPr="009C0960">
        <w:rPr>
          <w:szCs w:val="24"/>
        </w:rPr>
        <w:t xml:space="preserve"> for 2</w:t>
      </w:r>
      <w:r w:rsidRPr="009C0960">
        <w:rPr>
          <w:szCs w:val="24"/>
          <w:vertAlign w:val="superscript"/>
        </w:rPr>
        <w:t>nd</w:t>
      </w:r>
      <w:r w:rsidRPr="009C0960">
        <w:rPr>
          <w:szCs w:val="24"/>
        </w:rPr>
        <w:t xml:space="preserve"> accused</w:t>
      </w:r>
    </w:p>
    <w:p w:rsidR="00C4499C" w:rsidRPr="009C0960" w:rsidRDefault="00C4499C" w:rsidP="009C0960">
      <w:pPr>
        <w:pStyle w:val="NoSpacing"/>
        <w:jc w:val="both"/>
        <w:rPr>
          <w:szCs w:val="24"/>
        </w:rPr>
      </w:pPr>
      <w:r w:rsidRPr="009C0960">
        <w:rPr>
          <w:szCs w:val="24"/>
        </w:rPr>
        <w:t>Accused 3 deceased</w:t>
      </w:r>
    </w:p>
    <w:p w:rsidR="00C4499C" w:rsidRPr="009C0960" w:rsidRDefault="00C4499C" w:rsidP="009C0960">
      <w:pPr>
        <w:pStyle w:val="NoSpacing"/>
        <w:jc w:val="both"/>
        <w:rPr>
          <w:szCs w:val="24"/>
        </w:rPr>
      </w:pPr>
      <w:r w:rsidRPr="009C0960">
        <w:rPr>
          <w:i/>
          <w:szCs w:val="24"/>
        </w:rPr>
        <w:t>H. Moyo</w:t>
      </w:r>
      <w:r w:rsidRPr="009C0960">
        <w:rPr>
          <w:szCs w:val="24"/>
        </w:rPr>
        <w:t xml:space="preserve"> for 4</w:t>
      </w:r>
      <w:r w:rsidRPr="009C0960">
        <w:rPr>
          <w:szCs w:val="24"/>
          <w:vertAlign w:val="superscript"/>
        </w:rPr>
        <w:t>th</w:t>
      </w:r>
      <w:r w:rsidRPr="009C0960">
        <w:rPr>
          <w:szCs w:val="24"/>
        </w:rPr>
        <w:t xml:space="preserve"> accused</w:t>
      </w:r>
    </w:p>
    <w:p w:rsidR="00C4499C" w:rsidRPr="009C0960" w:rsidRDefault="00C4499C" w:rsidP="009C0960">
      <w:pPr>
        <w:jc w:val="both"/>
        <w:rPr>
          <w:szCs w:val="24"/>
        </w:rPr>
      </w:pPr>
      <w:r w:rsidRPr="009C0960">
        <w:rPr>
          <w:szCs w:val="24"/>
        </w:rPr>
        <w:tab/>
      </w:r>
      <w:r w:rsidRPr="009C0960">
        <w:rPr>
          <w:b/>
          <w:szCs w:val="24"/>
        </w:rPr>
        <w:t>MABHIKWA J:</w:t>
      </w:r>
      <w:r w:rsidRPr="009C0960">
        <w:rPr>
          <w:b/>
          <w:szCs w:val="24"/>
        </w:rPr>
        <w:tab/>
      </w:r>
      <w:r w:rsidR="00A6007C" w:rsidRPr="00A6007C">
        <w:rPr>
          <w:szCs w:val="24"/>
        </w:rPr>
        <w:t>T</w:t>
      </w:r>
      <w:r w:rsidR="00680046" w:rsidRPr="00A6007C">
        <w:rPr>
          <w:szCs w:val="24"/>
        </w:rPr>
        <w:t>h</w:t>
      </w:r>
      <w:r w:rsidR="00680046" w:rsidRPr="009C0960">
        <w:rPr>
          <w:szCs w:val="24"/>
        </w:rPr>
        <w:t>e 3 accused person</w:t>
      </w:r>
      <w:r w:rsidR="00A6007C">
        <w:rPr>
          <w:szCs w:val="24"/>
        </w:rPr>
        <w:t>s</w:t>
      </w:r>
      <w:r w:rsidR="00680046" w:rsidRPr="009C0960">
        <w:rPr>
          <w:szCs w:val="24"/>
        </w:rPr>
        <w:t xml:space="preserve"> (originally 4) are</w:t>
      </w:r>
      <w:r w:rsidR="005A7D77" w:rsidRPr="009C0960">
        <w:rPr>
          <w:szCs w:val="24"/>
        </w:rPr>
        <w:t xml:space="preserve"> </w:t>
      </w:r>
      <w:r w:rsidR="00680046" w:rsidRPr="009C0960">
        <w:rPr>
          <w:szCs w:val="24"/>
        </w:rPr>
        <w:t>facing a charge of murder as defined in section 47(1) of the Criminal Law (Codification and Reform) Act Chapter 9:23.</w:t>
      </w:r>
    </w:p>
    <w:p w:rsidR="00680046" w:rsidRPr="009C0960" w:rsidRDefault="00680046" w:rsidP="009C0960">
      <w:pPr>
        <w:jc w:val="both"/>
        <w:rPr>
          <w:szCs w:val="24"/>
        </w:rPr>
      </w:pPr>
      <w:r w:rsidRPr="009C0960">
        <w:rPr>
          <w:szCs w:val="24"/>
        </w:rPr>
        <w:tab/>
        <w:t xml:space="preserve">The state adduced oral evidence from five (5) witnesses.  The deceased was Emmanuel Khulekani Moyo who at the time he met his death was 26 and </w:t>
      </w:r>
      <w:r w:rsidR="00295F1B" w:rsidRPr="009C0960">
        <w:rPr>
          <w:szCs w:val="24"/>
        </w:rPr>
        <w:t>resided at</w:t>
      </w:r>
      <w:r w:rsidRPr="009C0960">
        <w:rPr>
          <w:szCs w:val="24"/>
        </w:rPr>
        <w:t xml:space="preserve"> number 23</w:t>
      </w:r>
      <w:r w:rsidR="00295F1B" w:rsidRPr="009C0960">
        <w:rPr>
          <w:szCs w:val="24"/>
        </w:rPr>
        <w:t>8, 10</w:t>
      </w:r>
      <w:r w:rsidR="00295F1B" w:rsidRPr="009C0960">
        <w:rPr>
          <w:szCs w:val="24"/>
          <w:vertAlign w:val="superscript"/>
        </w:rPr>
        <w:t>th</w:t>
      </w:r>
      <w:r w:rsidR="00295F1B" w:rsidRPr="009C0960">
        <w:rPr>
          <w:szCs w:val="24"/>
        </w:rPr>
        <w:t xml:space="preserve"> Street, Makokoba. It was the state</w:t>
      </w:r>
      <w:r w:rsidR="00A6007C">
        <w:rPr>
          <w:szCs w:val="24"/>
        </w:rPr>
        <w:t>’s</w:t>
      </w:r>
      <w:r w:rsidR="00295F1B" w:rsidRPr="009C0960">
        <w:rPr>
          <w:szCs w:val="24"/>
        </w:rPr>
        <w:t xml:space="preserve"> case that on 24 May 2010 at about 2130 hours the deceased was walking hom</w:t>
      </w:r>
      <w:r w:rsidR="00AB2FFE" w:rsidRPr="009C0960">
        <w:rPr>
          <w:szCs w:val="24"/>
        </w:rPr>
        <w:t>e</w:t>
      </w:r>
      <w:r w:rsidR="00295F1B" w:rsidRPr="009C0960">
        <w:rPr>
          <w:szCs w:val="24"/>
        </w:rPr>
        <w:t xml:space="preserve"> when he met the four (4) accused persons at the corner of 6</w:t>
      </w:r>
      <w:r w:rsidR="00295F1B" w:rsidRPr="009C0960">
        <w:rPr>
          <w:szCs w:val="24"/>
          <w:vertAlign w:val="superscript"/>
        </w:rPr>
        <w:t>th</w:t>
      </w:r>
      <w:r w:rsidR="00295F1B" w:rsidRPr="009C0960">
        <w:rPr>
          <w:szCs w:val="24"/>
        </w:rPr>
        <w:t xml:space="preserve"> Street and 4</w:t>
      </w:r>
      <w:r w:rsidR="00295F1B" w:rsidRPr="009C0960">
        <w:rPr>
          <w:szCs w:val="24"/>
          <w:vertAlign w:val="superscript"/>
        </w:rPr>
        <w:t>th</w:t>
      </w:r>
      <w:r w:rsidR="00295F1B" w:rsidRPr="009C0960">
        <w:rPr>
          <w:szCs w:val="24"/>
        </w:rPr>
        <w:t xml:space="preserve"> Road, Makokoba, Bulawayo.  They demanded money before assaulting him all over the body with clenched fists and booted feet.  In the process of assaulting </w:t>
      </w:r>
      <w:r w:rsidR="00A6007C">
        <w:rPr>
          <w:szCs w:val="24"/>
        </w:rPr>
        <w:t>him</w:t>
      </w:r>
      <w:r w:rsidR="00295F1B" w:rsidRPr="009C0960">
        <w:rPr>
          <w:szCs w:val="24"/>
        </w:rPr>
        <w:t xml:space="preserve">, accused 1 allegedly stabbed him on the thigh with a knife.  The deceased fell to the ground bleeding profusely and the four </w:t>
      </w:r>
      <w:r w:rsidR="00295F1B" w:rsidRPr="009C0960">
        <w:rPr>
          <w:szCs w:val="24"/>
        </w:rPr>
        <w:lastRenderedPageBreak/>
        <w:t xml:space="preserve">accused robbed him of his jacket and a black cap before fleeing into the </w:t>
      </w:r>
      <w:r w:rsidR="00A6007C">
        <w:rPr>
          <w:szCs w:val="24"/>
        </w:rPr>
        <w:t>darkness</w:t>
      </w:r>
      <w:r w:rsidR="00295F1B" w:rsidRPr="009C0960">
        <w:rPr>
          <w:szCs w:val="24"/>
        </w:rPr>
        <w:t>.  However, the deceased managed to walk up to his place of residence where he fell and lay face</w:t>
      </w:r>
      <w:r w:rsidR="00AB2FFE" w:rsidRPr="009C0960">
        <w:rPr>
          <w:szCs w:val="24"/>
        </w:rPr>
        <w:t xml:space="preserve"> </w:t>
      </w:r>
      <w:r w:rsidR="00295F1B" w:rsidRPr="009C0960">
        <w:rPr>
          <w:szCs w:val="24"/>
        </w:rPr>
        <w:t>down at the doorway.  He was ferried to Mpilo Hospital by ambulance but regrettably died on admission.</w:t>
      </w:r>
    </w:p>
    <w:p w:rsidR="00295F1B" w:rsidRPr="009C0960" w:rsidRDefault="00295F1B" w:rsidP="009C0960">
      <w:pPr>
        <w:jc w:val="both"/>
        <w:rPr>
          <w:szCs w:val="24"/>
        </w:rPr>
      </w:pPr>
      <w:r w:rsidRPr="009C0960">
        <w:rPr>
          <w:szCs w:val="24"/>
        </w:rPr>
        <w:tab/>
        <w:t>All the accused p</w:t>
      </w:r>
      <w:r w:rsidR="00AB2FFE" w:rsidRPr="009C0960">
        <w:rPr>
          <w:szCs w:val="24"/>
        </w:rPr>
        <w:t>e</w:t>
      </w:r>
      <w:r w:rsidRPr="009C0960">
        <w:rPr>
          <w:szCs w:val="24"/>
        </w:rPr>
        <w:t>rsons pleaded not gu</w:t>
      </w:r>
      <w:r w:rsidR="00AB2FFE" w:rsidRPr="009C0960">
        <w:rPr>
          <w:szCs w:val="24"/>
        </w:rPr>
        <w:t>i</w:t>
      </w:r>
      <w:r w:rsidRPr="009C0960">
        <w:rPr>
          <w:szCs w:val="24"/>
        </w:rPr>
        <w:t>lty to the charge of murder.  In eff</w:t>
      </w:r>
      <w:r w:rsidR="00AB2FFE" w:rsidRPr="009C0960">
        <w:rPr>
          <w:szCs w:val="24"/>
        </w:rPr>
        <w:t>e</w:t>
      </w:r>
      <w:r w:rsidRPr="009C0960">
        <w:rPr>
          <w:szCs w:val="24"/>
        </w:rPr>
        <w:t>ct, they all denied ev</w:t>
      </w:r>
      <w:r w:rsidR="00AB2FFE" w:rsidRPr="009C0960">
        <w:rPr>
          <w:szCs w:val="24"/>
        </w:rPr>
        <w:t>e</w:t>
      </w:r>
      <w:r w:rsidRPr="009C0960">
        <w:rPr>
          <w:szCs w:val="24"/>
        </w:rPr>
        <w:t xml:space="preserve">r being at the murder </w:t>
      </w:r>
      <w:r w:rsidR="00AB2FFE" w:rsidRPr="009C0960">
        <w:rPr>
          <w:szCs w:val="24"/>
        </w:rPr>
        <w:t>s</w:t>
      </w:r>
      <w:r w:rsidRPr="009C0960">
        <w:rPr>
          <w:szCs w:val="24"/>
        </w:rPr>
        <w:t>cene on the night in question or ever knowing the deceased before his death.  They all claimed to have been tortured by the police who wanted them to confess and make indications about a murder they did not commit.</w:t>
      </w:r>
    </w:p>
    <w:p w:rsidR="00295F1B" w:rsidRPr="009C0960" w:rsidRDefault="00295F1B" w:rsidP="009C0960">
      <w:pPr>
        <w:jc w:val="both"/>
        <w:rPr>
          <w:szCs w:val="24"/>
        </w:rPr>
      </w:pPr>
      <w:r w:rsidRPr="009C0960">
        <w:rPr>
          <w:szCs w:val="24"/>
        </w:rPr>
        <w:tab/>
        <w:t>From the onset</w:t>
      </w:r>
      <w:r w:rsidR="00A6007C">
        <w:rPr>
          <w:szCs w:val="24"/>
        </w:rPr>
        <w:t>,</w:t>
      </w:r>
      <w:r w:rsidRPr="009C0960">
        <w:rPr>
          <w:szCs w:val="24"/>
        </w:rPr>
        <w:t xml:space="preserve"> I must say that this matter is one that suffered still birth in many ways.</w:t>
      </w:r>
    </w:p>
    <w:p w:rsidR="00295F1B" w:rsidRPr="009C0960" w:rsidRDefault="00295F1B" w:rsidP="009C0960">
      <w:pPr>
        <w:jc w:val="both"/>
        <w:rPr>
          <w:szCs w:val="24"/>
        </w:rPr>
      </w:pPr>
      <w:r w:rsidRPr="009C0960">
        <w:rPr>
          <w:szCs w:val="24"/>
        </w:rPr>
        <w:tab/>
        <w:t>Firstly, the m</w:t>
      </w:r>
      <w:r w:rsidR="00A6007C">
        <w:rPr>
          <w:szCs w:val="24"/>
        </w:rPr>
        <w:t>urder</w:t>
      </w:r>
      <w:r w:rsidRPr="009C0960">
        <w:rPr>
          <w:szCs w:val="24"/>
        </w:rPr>
        <w:t>, as already shown above</w:t>
      </w:r>
      <w:r w:rsidR="00A6007C">
        <w:rPr>
          <w:szCs w:val="24"/>
        </w:rPr>
        <w:t>,</w:t>
      </w:r>
      <w:r w:rsidRPr="009C0960">
        <w:rPr>
          <w:szCs w:val="24"/>
        </w:rPr>
        <w:t xml:space="preserve"> was committed on 24 May 2010, here in Bulawayo, Makokoba,</w:t>
      </w:r>
      <w:r w:rsidR="00E070BB" w:rsidRPr="009C0960">
        <w:rPr>
          <w:szCs w:val="24"/>
        </w:rPr>
        <w:t xml:space="preserve"> </w:t>
      </w:r>
      <w:r w:rsidR="00A6007C">
        <w:rPr>
          <w:szCs w:val="24"/>
        </w:rPr>
        <w:t xml:space="preserve">and </w:t>
      </w:r>
      <w:r w:rsidR="00E070BB" w:rsidRPr="009C0960">
        <w:rPr>
          <w:szCs w:val="24"/>
        </w:rPr>
        <w:t>perhaps the near</w:t>
      </w:r>
      <w:r w:rsidR="00AB2FFE" w:rsidRPr="009C0960">
        <w:rPr>
          <w:szCs w:val="24"/>
        </w:rPr>
        <w:t>e</w:t>
      </w:r>
      <w:r w:rsidR="00E070BB" w:rsidRPr="009C0960">
        <w:rPr>
          <w:szCs w:val="24"/>
        </w:rPr>
        <w:t xml:space="preserve">st suburb to the courts.  Most of the witnesses and accused persons resided in Makokoba and Entumbane suburbs.  It however took more than nine (9) years before the trial started.  In the nine (9) years, the top four (4) state witnesses died and therefore could not be available to testify </w:t>
      </w:r>
      <w:r w:rsidR="00A6007C">
        <w:rPr>
          <w:szCs w:val="24"/>
        </w:rPr>
        <w:t>for</w:t>
      </w:r>
      <w:r w:rsidR="00E070BB" w:rsidRPr="009C0960">
        <w:rPr>
          <w:szCs w:val="24"/>
        </w:rPr>
        <w:t xml:space="preserve"> the state.</w:t>
      </w:r>
    </w:p>
    <w:p w:rsidR="00E070BB" w:rsidRPr="009C0960" w:rsidRDefault="00E070BB" w:rsidP="009C0960">
      <w:pPr>
        <w:jc w:val="both"/>
        <w:rPr>
          <w:szCs w:val="24"/>
        </w:rPr>
      </w:pPr>
      <w:r w:rsidRPr="009C0960">
        <w:rPr>
          <w:szCs w:val="24"/>
        </w:rPr>
        <w:tab/>
        <w:t>Further, the other witness Auxilia Ngwenya, who was said to be the</w:t>
      </w:r>
      <w:r w:rsidR="00AB2FFE" w:rsidRPr="009C0960">
        <w:rPr>
          <w:szCs w:val="24"/>
        </w:rPr>
        <w:t xml:space="preserve"> deceased’s customary law wife </w:t>
      </w:r>
      <w:r w:rsidRPr="009C0960">
        <w:rPr>
          <w:szCs w:val="24"/>
        </w:rPr>
        <w:t>and had been lis</w:t>
      </w:r>
      <w:r w:rsidR="00AB2FFE" w:rsidRPr="009C0960">
        <w:rPr>
          <w:szCs w:val="24"/>
        </w:rPr>
        <w:t>t</w:t>
      </w:r>
      <w:r w:rsidRPr="009C0960">
        <w:rPr>
          <w:szCs w:val="24"/>
        </w:rPr>
        <w:t>ed as the state’s second witness cannot be located and she too could not testify</w:t>
      </w:r>
      <w:r w:rsidR="00A6007C">
        <w:rPr>
          <w:szCs w:val="24"/>
        </w:rPr>
        <w:t>.  T</w:t>
      </w:r>
      <w:r w:rsidR="006A4E5E" w:rsidRPr="009C0960">
        <w:rPr>
          <w:szCs w:val="24"/>
        </w:rPr>
        <w:t xml:space="preserve">he top 5 witnesses </w:t>
      </w:r>
      <w:r w:rsidR="00A6007C">
        <w:rPr>
          <w:szCs w:val="24"/>
        </w:rPr>
        <w:t xml:space="preserve">could not </w:t>
      </w:r>
      <w:r w:rsidR="009A2603">
        <w:rPr>
          <w:szCs w:val="24"/>
        </w:rPr>
        <w:t xml:space="preserve">therefore </w:t>
      </w:r>
      <w:r w:rsidR="00A6007C">
        <w:rPr>
          <w:szCs w:val="24"/>
        </w:rPr>
        <w:t xml:space="preserve">be </w:t>
      </w:r>
      <w:r w:rsidR="006A4E5E" w:rsidRPr="009C0960">
        <w:rPr>
          <w:szCs w:val="24"/>
        </w:rPr>
        <w:t>available.  Further to that, of the accused persons, Nkosilathi Nyathi who was accused number 3 died awaiting trial.</w:t>
      </w:r>
    </w:p>
    <w:p w:rsidR="006A4E5E" w:rsidRPr="009C0960" w:rsidRDefault="006A4E5E" w:rsidP="009C0960">
      <w:pPr>
        <w:jc w:val="both"/>
        <w:rPr>
          <w:szCs w:val="24"/>
        </w:rPr>
      </w:pPr>
      <w:r w:rsidRPr="009C0960">
        <w:rPr>
          <w:szCs w:val="24"/>
        </w:rPr>
        <w:tab/>
        <w:t>This on its own greatly affects the state case.</w:t>
      </w:r>
    </w:p>
    <w:p w:rsidR="006A4E5E" w:rsidRPr="009C0960" w:rsidRDefault="00CB1F41" w:rsidP="009C0960">
      <w:pPr>
        <w:jc w:val="both"/>
        <w:rPr>
          <w:szCs w:val="24"/>
        </w:rPr>
      </w:pPr>
      <w:r w:rsidRPr="009C0960">
        <w:rPr>
          <w:szCs w:val="24"/>
        </w:rPr>
        <w:tab/>
        <w:t>Secondly, it should have been cle</w:t>
      </w:r>
      <w:r w:rsidR="00A6007C">
        <w:rPr>
          <w:szCs w:val="24"/>
        </w:rPr>
        <w:t>ar as anyone</w:t>
      </w:r>
      <w:r w:rsidRPr="009C0960">
        <w:rPr>
          <w:szCs w:val="24"/>
        </w:rPr>
        <w:t xml:space="preserve">’s nose on the face </w:t>
      </w:r>
      <w:r w:rsidR="007D3147">
        <w:rPr>
          <w:szCs w:val="24"/>
        </w:rPr>
        <w:t>,</w:t>
      </w:r>
      <w:r w:rsidRPr="009C0960">
        <w:rPr>
          <w:szCs w:val="24"/>
        </w:rPr>
        <w:t xml:space="preserve">that </w:t>
      </w:r>
      <w:r w:rsidR="003F2F80">
        <w:rPr>
          <w:szCs w:val="24"/>
        </w:rPr>
        <w:t>even in the presence of all the state witnesses, the state</w:t>
      </w:r>
      <w:r w:rsidRPr="009C0960">
        <w:rPr>
          <w:szCs w:val="24"/>
        </w:rPr>
        <w:t xml:space="preserve"> case would hin</w:t>
      </w:r>
      <w:r w:rsidR="00AB2FFE" w:rsidRPr="009C0960">
        <w:rPr>
          <w:szCs w:val="24"/>
        </w:rPr>
        <w:t>g</w:t>
      </w:r>
      <w:r w:rsidRPr="009C0960">
        <w:rPr>
          <w:szCs w:val="24"/>
        </w:rPr>
        <w:t>e on the exhibits in the form of the blood stained jacket and tennis shoes</w:t>
      </w:r>
      <w:r w:rsidR="003F2F80">
        <w:rPr>
          <w:szCs w:val="24"/>
        </w:rPr>
        <w:t>,</w:t>
      </w:r>
      <w:r w:rsidRPr="009C0960">
        <w:rPr>
          <w:szCs w:val="24"/>
        </w:rPr>
        <w:t xml:space="preserve"> together with a cap</w:t>
      </w:r>
      <w:r w:rsidR="003F2F80">
        <w:rPr>
          <w:szCs w:val="24"/>
        </w:rPr>
        <w:t>,</w:t>
      </w:r>
      <w:r w:rsidRPr="009C0960">
        <w:rPr>
          <w:szCs w:val="24"/>
        </w:rPr>
        <w:t xml:space="preserve"> all allegedly found in the possession of the accused p</w:t>
      </w:r>
      <w:r w:rsidR="00AB2FFE" w:rsidRPr="009C0960">
        <w:rPr>
          <w:szCs w:val="24"/>
        </w:rPr>
        <w:t>e</w:t>
      </w:r>
      <w:r w:rsidRPr="009C0960">
        <w:rPr>
          <w:szCs w:val="24"/>
        </w:rPr>
        <w:t>rsons after the deceased’s death.  The issue of these exhibits was not handled well at all.</w:t>
      </w:r>
    </w:p>
    <w:p w:rsidR="00CB1F41" w:rsidRPr="009C0960" w:rsidRDefault="00CB1F41" w:rsidP="009C0960">
      <w:pPr>
        <w:jc w:val="both"/>
        <w:rPr>
          <w:szCs w:val="24"/>
        </w:rPr>
      </w:pPr>
      <w:r w:rsidRPr="009C0960">
        <w:rPr>
          <w:szCs w:val="24"/>
        </w:rPr>
        <w:lastRenderedPageBreak/>
        <w:tab/>
        <w:t>Just as the issue of the blood stained exhibits, it al</w:t>
      </w:r>
      <w:r w:rsidR="00AB2FFE" w:rsidRPr="009C0960">
        <w:rPr>
          <w:szCs w:val="24"/>
        </w:rPr>
        <w:t>s</w:t>
      </w:r>
      <w:r w:rsidRPr="009C0960">
        <w:rPr>
          <w:szCs w:val="24"/>
        </w:rPr>
        <w:t>o should have been pertinently clear to any diligent police officer that the matter would also hinge on the identification of the suspects as like</w:t>
      </w:r>
      <w:r w:rsidR="00AB2FFE" w:rsidRPr="009C0960">
        <w:rPr>
          <w:szCs w:val="24"/>
        </w:rPr>
        <w:t>ne</w:t>
      </w:r>
      <w:r w:rsidRPr="009C0960">
        <w:rPr>
          <w:szCs w:val="24"/>
        </w:rPr>
        <w:t>d to the exhibits and ultimately to the deceased.  Again that crucial part was badly handled.</w:t>
      </w:r>
    </w:p>
    <w:p w:rsidR="00CB1F41" w:rsidRPr="009C0960" w:rsidRDefault="00CB1F41" w:rsidP="009C0960">
      <w:pPr>
        <w:jc w:val="both"/>
        <w:rPr>
          <w:szCs w:val="24"/>
        </w:rPr>
      </w:pPr>
      <w:r w:rsidRPr="009C0960">
        <w:rPr>
          <w:szCs w:val="24"/>
        </w:rPr>
        <w:tab/>
        <w:t>The court will come back to the two issues of exhibits and identification later in this judgment.  In the circumstances, the state the</w:t>
      </w:r>
      <w:r w:rsidR="00AB2FFE" w:rsidRPr="009C0960">
        <w:rPr>
          <w:szCs w:val="24"/>
        </w:rPr>
        <w:t>n</w:t>
      </w:r>
      <w:r w:rsidRPr="009C0960">
        <w:rPr>
          <w:szCs w:val="24"/>
        </w:rPr>
        <w:t xml:space="preserve"> called Eunice Tshabalala and Evans Tshuma, seemingly as its chief witness.</w:t>
      </w:r>
      <w:r w:rsidR="003F2F80">
        <w:rPr>
          <w:szCs w:val="24"/>
        </w:rPr>
        <w:t xml:space="preserve">  </w:t>
      </w:r>
      <w:r w:rsidRPr="009C0960">
        <w:rPr>
          <w:szCs w:val="24"/>
        </w:rPr>
        <w:t>The case suffered another stillbirth on the actual evidence led</w:t>
      </w:r>
    </w:p>
    <w:p w:rsidR="00CB1F41" w:rsidRPr="009C0960" w:rsidRDefault="00CB1F41" w:rsidP="009C0960">
      <w:pPr>
        <w:jc w:val="both"/>
        <w:rPr>
          <w:b/>
          <w:szCs w:val="24"/>
        </w:rPr>
      </w:pPr>
      <w:r w:rsidRPr="009C0960">
        <w:rPr>
          <w:b/>
          <w:szCs w:val="24"/>
        </w:rPr>
        <w:t>Eunice Tshabalala</w:t>
      </w:r>
    </w:p>
    <w:p w:rsidR="00CB1F41" w:rsidRPr="009C0960" w:rsidRDefault="00CB1F41" w:rsidP="009C0960">
      <w:pPr>
        <w:jc w:val="both"/>
        <w:rPr>
          <w:szCs w:val="24"/>
        </w:rPr>
      </w:pPr>
      <w:r w:rsidRPr="009C0960">
        <w:rPr>
          <w:szCs w:val="24"/>
        </w:rPr>
        <w:tab/>
      </w:r>
      <w:r w:rsidR="001C39A6" w:rsidRPr="009C0960">
        <w:rPr>
          <w:szCs w:val="24"/>
        </w:rPr>
        <w:t>The witness resided at number 239, 10</w:t>
      </w:r>
      <w:r w:rsidR="001C39A6" w:rsidRPr="009C0960">
        <w:rPr>
          <w:szCs w:val="24"/>
          <w:vertAlign w:val="superscript"/>
        </w:rPr>
        <w:t>th</w:t>
      </w:r>
      <w:r w:rsidR="001C39A6" w:rsidRPr="009C0960">
        <w:rPr>
          <w:szCs w:val="24"/>
        </w:rPr>
        <w:t xml:space="preserve"> Street, </w:t>
      </w:r>
      <w:r w:rsidR="00AB2FFE" w:rsidRPr="009C0960">
        <w:rPr>
          <w:szCs w:val="24"/>
        </w:rPr>
        <w:t>M</w:t>
      </w:r>
      <w:r w:rsidR="001C39A6" w:rsidRPr="009C0960">
        <w:rPr>
          <w:szCs w:val="24"/>
        </w:rPr>
        <w:t>akokoba and was a neighbour to the deceased.  She was woken up from her sleep by one Auxilia N</w:t>
      </w:r>
      <w:r w:rsidR="00AB2FFE" w:rsidRPr="009C0960">
        <w:rPr>
          <w:szCs w:val="24"/>
        </w:rPr>
        <w:t>dlovu</w:t>
      </w:r>
      <w:r w:rsidR="001C39A6" w:rsidRPr="009C0960">
        <w:rPr>
          <w:szCs w:val="24"/>
        </w:rPr>
        <w:t xml:space="preserve"> who resided at number 238 </w:t>
      </w:r>
      <w:r w:rsidR="003C5B32">
        <w:rPr>
          <w:szCs w:val="24"/>
        </w:rPr>
        <w:t>being</w:t>
      </w:r>
      <w:r w:rsidR="001C39A6" w:rsidRPr="009C0960">
        <w:rPr>
          <w:szCs w:val="24"/>
        </w:rPr>
        <w:t xml:space="preserve"> a co-tenant of the deceased.  The houses are just a few yards apart</w:t>
      </w:r>
      <w:r w:rsidR="003C5B32">
        <w:rPr>
          <w:szCs w:val="24"/>
        </w:rPr>
        <w:t xml:space="preserve"> Eunice</w:t>
      </w:r>
      <w:r w:rsidR="001C39A6" w:rsidRPr="009C0960">
        <w:rPr>
          <w:szCs w:val="24"/>
        </w:rPr>
        <w:t xml:space="preserve"> went out and noticed the deceased lying face down.  She asked from one Sharon, the deceased’s wife as to what had </w:t>
      </w:r>
      <w:r w:rsidR="00AB2FFE" w:rsidRPr="009C0960">
        <w:rPr>
          <w:szCs w:val="24"/>
        </w:rPr>
        <w:t>happened.  Sh</w:t>
      </w:r>
      <w:r w:rsidR="003C5B32">
        <w:rPr>
          <w:szCs w:val="24"/>
        </w:rPr>
        <w:t>aron</w:t>
      </w:r>
      <w:r w:rsidR="00AB2FFE" w:rsidRPr="009C0960">
        <w:rPr>
          <w:szCs w:val="24"/>
        </w:rPr>
        <w:t xml:space="preserve"> told her that</w:t>
      </w:r>
      <w:r w:rsidR="001C39A6" w:rsidRPr="009C0960">
        <w:rPr>
          <w:szCs w:val="24"/>
        </w:rPr>
        <w:t xml:space="preserve"> maybe the deceased was drunk but at that juncture the deceased responded that he was not drunk but had in fact been stabbed by four (4) assailants.  The witness lit her phone and observed that blood was oozing out from around the deceased’s thigh towards the groin area and freely flowing on the ground.  The deceased also reve</w:t>
      </w:r>
      <w:r w:rsidR="00AB2FFE" w:rsidRPr="009C0960">
        <w:rPr>
          <w:szCs w:val="24"/>
        </w:rPr>
        <w:t>a</w:t>
      </w:r>
      <w:r w:rsidR="001C39A6" w:rsidRPr="009C0960">
        <w:rPr>
          <w:szCs w:val="24"/>
        </w:rPr>
        <w:t xml:space="preserve">led that he did not know the attackers at all but they had pounced on him and robbed him of his jacket and cap.  He was also at the time clutching onto </w:t>
      </w:r>
      <w:r w:rsidR="00C06A99" w:rsidRPr="009C0960">
        <w:rPr>
          <w:szCs w:val="24"/>
        </w:rPr>
        <w:t>some $12,00 in his</w:t>
      </w:r>
      <w:r w:rsidR="00AB2FFE" w:rsidRPr="009C0960">
        <w:rPr>
          <w:szCs w:val="24"/>
        </w:rPr>
        <w:t xml:space="preserve"> </w:t>
      </w:r>
      <w:r w:rsidR="00C06A99" w:rsidRPr="009C0960">
        <w:rPr>
          <w:szCs w:val="24"/>
        </w:rPr>
        <w:t xml:space="preserve">hand.  The witness said at the material time, she knew the jacket and cap as the deceased would often put them on.  She later saw </w:t>
      </w:r>
      <w:r w:rsidR="003C5B32">
        <w:rPr>
          <w:szCs w:val="24"/>
        </w:rPr>
        <w:t>the clothing items</w:t>
      </w:r>
      <w:r w:rsidR="00C06A99" w:rsidRPr="009C0960">
        <w:rPr>
          <w:szCs w:val="24"/>
        </w:rPr>
        <w:t xml:space="preserve"> at the police station and identified them as belonging to the deceased.</w:t>
      </w:r>
    </w:p>
    <w:p w:rsidR="00C06A99" w:rsidRPr="009C0960" w:rsidRDefault="00C06A99" w:rsidP="009C0960">
      <w:pPr>
        <w:jc w:val="both"/>
        <w:rPr>
          <w:b/>
          <w:szCs w:val="24"/>
        </w:rPr>
      </w:pPr>
      <w:r w:rsidRPr="009C0960">
        <w:rPr>
          <w:b/>
          <w:szCs w:val="24"/>
        </w:rPr>
        <w:t>Evans Tshuma</w:t>
      </w:r>
    </w:p>
    <w:p w:rsidR="00C06A99" w:rsidRPr="009C0960" w:rsidRDefault="00C06A99" w:rsidP="009C0960">
      <w:pPr>
        <w:jc w:val="both"/>
        <w:rPr>
          <w:szCs w:val="24"/>
        </w:rPr>
      </w:pPr>
      <w:r w:rsidRPr="009C0960">
        <w:rPr>
          <w:szCs w:val="24"/>
        </w:rPr>
        <w:tab/>
        <w:t>This witness was a member of the Neighbourhood</w:t>
      </w:r>
      <w:r w:rsidR="007D0E19" w:rsidRPr="009C0960">
        <w:rPr>
          <w:szCs w:val="24"/>
        </w:rPr>
        <w:t xml:space="preserve"> Watch Committee (NWC) and resides at number 32477 Entumbane C.  He is currently employed as a caretaker by the Bulawayo </w:t>
      </w:r>
      <w:r w:rsidR="004517E9" w:rsidRPr="009C0960">
        <w:rPr>
          <w:szCs w:val="24"/>
        </w:rPr>
        <w:t>C</w:t>
      </w:r>
      <w:r w:rsidR="007D0E19" w:rsidRPr="009C0960">
        <w:rPr>
          <w:szCs w:val="24"/>
        </w:rPr>
        <w:t>ity Council.</w:t>
      </w:r>
    </w:p>
    <w:p w:rsidR="007D0E19" w:rsidRPr="009C0960" w:rsidRDefault="007D0E19" w:rsidP="009C0960">
      <w:pPr>
        <w:jc w:val="both"/>
        <w:rPr>
          <w:szCs w:val="24"/>
        </w:rPr>
      </w:pPr>
      <w:r w:rsidRPr="009C0960">
        <w:rPr>
          <w:szCs w:val="24"/>
        </w:rPr>
        <w:tab/>
        <w:t>On or about 24 may 2010, he gathered information from residents that people</w:t>
      </w:r>
      <w:r w:rsidR="003C5B32">
        <w:rPr>
          <w:szCs w:val="24"/>
        </w:rPr>
        <w:t>,</w:t>
      </w:r>
      <w:r w:rsidRPr="009C0960">
        <w:rPr>
          <w:szCs w:val="24"/>
        </w:rPr>
        <w:t xml:space="preserve"> especially women, had been assaulted at the Richmond area.  As a result he went to Entumbane shopping </w:t>
      </w:r>
      <w:r w:rsidRPr="009C0960">
        <w:rPr>
          <w:szCs w:val="24"/>
        </w:rPr>
        <w:lastRenderedPageBreak/>
        <w:t>centre with an investigative eye.  He says he saw 3 or 4 young men who looked uneas</w:t>
      </w:r>
      <w:r w:rsidR="009A2603">
        <w:rPr>
          <w:szCs w:val="24"/>
        </w:rPr>
        <w:t>y</w:t>
      </w:r>
      <w:r w:rsidRPr="009C0960">
        <w:rPr>
          <w:szCs w:val="24"/>
        </w:rPr>
        <w:t>, jittery and generally suspicious.  He called 2 of the</w:t>
      </w:r>
      <w:r w:rsidR="004517E9" w:rsidRPr="009C0960">
        <w:rPr>
          <w:szCs w:val="24"/>
        </w:rPr>
        <w:t>m</w:t>
      </w:r>
      <w:r w:rsidRPr="009C0960">
        <w:rPr>
          <w:szCs w:val="24"/>
        </w:rPr>
        <w:t xml:space="preserve"> and introduced himself as a poli</w:t>
      </w:r>
      <w:r w:rsidR="004517E9" w:rsidRPr="009C0960">
        <w:rPr>
          <w:szCs w:val="24"/>
        </w:rPr>
        <w:t>c</w:t>
      </w:r>
      <w:r w:rsidRPr="009C0960">
        <w:rPr>
          <w:szCs w:val="24"/>
        </w:rPr>
        <w:t xml:space="preserve">e officer.  He asked one of them, </w:t>
      </w:r>
      <w:r w:rsidR="003C5B32">
        <w:rPr>
          <w:szCs w:val="24"/>
        </w:rPr>
        <w:t>(</w:t>
      </w:r>
      <w:r w:rsidRPr="009C0960">
        <w:rPr>
          <w:szCs w:val="24"/>
        </w:rPr>
        <w:t>who</w:t>
      </w:r>
      <w:r w:rsidR="004517E9" w:rsidRPr="009C0960">
        <w:rPr>
          <w:szCs w:val="24"/>
        </w:rPr>
        <w:t>m</w:t>
      </w:r>
      <w:r w:rsidRPr="009C0960">
        <w:rPr>
          <w:szCs w:val="24"/>
        </w:rPr>
        <w:t xml:space="preserve"> he identified in court as the 4</w:t>
      </w:r>
      <w:r w:rsidRPr="009C0960">
        <w:rPr>
          <w:szCs w:val="24"/>
          <w:vertAlign w:val="superscript"/>
        </w:rPr>
        <w:t>th</w:t>
      </w:r>
      <w:r w:rsidRPr="009C0960">
        <w:rPr>
          <w:szCs w:val="24"/>
        </w:rPr>
        <w:t xml:space="preserve"> accused</w:t>
      </w:r>
      <w:r w:rsidR="003C5B32">
        <w:rPr>
          <w:szCs w:val="24"/>
        </w:rPr>
        <w:t>)</w:t>
      </w:r>
      <w:r w:rsidRPr="009C0960">
        <w:rPr>
          <w:szCs w:val="24"/>
        </w:rPr>
        <w:t>, why he had three (3) phones and why his tennis shoes were blood stained.  The young</w:t>
      </w:r>
      <w:r w:rsidR="004517E9" w:rsidRPr="009C0960">
        <w:rPr>
          <w:szCs w:val="24"/>
        </w:rPr>
        <w:t xml:space="preserve"> </w:t>
      </w:r>
      <w:r w:rsidRPr="009C0960">
        <w:rPr>
          <w:szCs w:val="24"/>
        </w:rPr>
        <w:t>man allegedly respon</w:t>
      </w:r>
      <w:r w:rsidR="004517E9" w:rsidRPr="009C0960">
        <w:rPr>
          <w:szCs w:val="24"/>
        </w:rPr>
        <w:t>d</w:t>
      </w:r>
      <w:r w:rsidRPr="009C0960">
        <w:rPr>
          <w:szCs w:val="24"/>
        </w:rPr>
        <w:t>ed that t</w:t>
      </w:r>
      <w:r w:rsidR="004517E9" w:rsidRPr="009C0960">
        <w:rPr>
          <w:szCs w:val="24"/>
        </w:rPr>
        <w:t>h</w:t>
      </w:r>
      <w:r w:rsidRPr="009C0960">
        <w:rPr>
          <w:szCs w:val="24"/>
        </w:rPr>
        <w:t>e phones belonged to him and that his tennis shoes were blood stained because he worked at an abattoir.  The witness said he was not convinced by the answers he got from the two young men, whom he identified from the dock as accused 1 and 4.</w:t>
      </w:r>
    </w:p>
    <w:p w:rsidR="007D0E19" w:rsidRPr="009C0960" w:rsidRDefault="007D0E19" w:rsidP="009C0960">
      <w:pPr>
        <w:jc w:val="both"/>
        <w:rPr>
          <w:szCs w:val="24"/>
        </w:rPr>
      </w:pPr>
      <w:r w:rsidRPr="009C0960">
        <w:rPr>
          <w:szCs w:val="24"/>
        </w:rPr>
        <w:tab/>
        <w:t xml:space="preserve">When asked by </w:t>
      </w:r>
      <w:r w:rsidRPr="009C0960">
        <w:rPr>
          <w:i/>
          <w:szCs w:val="24"/>
        </w:rPr>
        <w:t>Mr Jaravaza</w:t>
      </w:r>
      <w:r w:rsidRPr="009C0960">
        <w:rPr>
          <w:szCs w:val="24"/>
        </w:rPr>
        <w:t xml:space="preserve"> for the state if he would recognize the 3 or 4 young men if he saw them today, he said due to lapse of time, it would be difficult to recognize them.</w:t>
      </w:r>
      <w:r w:rsidR="00D94864" w:rsidRPr="009C0960">
        <w:rPr>
          <w:szCs w:val="24"/>
        </w:rPr>
        <w:t xml:space="preserve">  However, he later testified that inspite of the lapse of time, he believes he could still recognize accused 1 a</w:t>
      </w:r>
      <w:r w:rsidR="004517E9" w:rsidRPr="009C0960">
        <w:rPr>
          <w:szCs w:val="24"/>
        </w:rPr>
        <w:t xml:space="preserve">nd 4.  The court noted that the witness </w:t>
      </w:r>
      <w:r w:rsidR="00D94864" w:rsidRPr="009C0960">
        <w:rPr>
          <w:szCs w:val="24"/>
        </w:rPr>
        <w:t>was trying to stretch his eyes and</w:t>
      </w:r>
      <w:r w:rsidR="00AB5081" w:rsidRPr="009C0960">
        <w:rPr>
          <w:szCs w:val="24"/>
        </w:rPr>
        <w:t xml:space="preserve"> memory as he strenuously identified the 2 accused as they sat in </w:t>
      </w:r>
      <w:r w:rsidR="004517E9" w:rsidRPr="009C0960">
        <w:rPr>
          <w:szCs w:val="24"/>
        </w:rPr>
        <w:t>t</w:t>
      </w:r>
      <w:r w:rsidR="00AB5081" w:rsidRPr="009C0960">
        <w:rPr>
          <w:szCs w:val="24"/>
        </w:rPr>
        <w:t>he dock.  Further, he only said he believes it was them that he spoke to because of their dark complexion.  Because he was no</w:t>
      </w:r>
      <w:r w:rsidR="004517E9" w:rsidRPr="009C0960">
        <w:rPr>
          <w:szCs w:val="24"/>
        </w:rPr>
        <w:t>t</w:t>
      </w:r>
      <w:r w:rsidR="00AB5081" w:rsidRPr="009C0960">
        <w:rPr>
          <w:szCs w:val="24"/>
        </w:rPr>
        <w:t xml:space="preserve"> convinced by the </w:t>
      </w:r>
      <w:r w:rsidR="009A2603">
        <w:rPr>
          <w:szCs w:val="24"/>
        </w:rPr>
        <w:t>explan</w:t>
      </w:r>
      <w:r w:rsidR="00AB5081" w:rsidRPr="009C0960">
        <w:rPr>
          <w:szCs w:val="24"/>
        </w:rPr>
        <w:t>ation, he apprehended accused 4 and called members of the public who assisted him to put him into a shop.  Thereafter, his colleagues were also arrested.</w:t>
      </w:r>
    </w:p>
    <w:p w:rsidR="00AB5081" w:rsidRPr="009C0960" w:rsidRDefault="00AB5081" w:rsidP="009C0960">
      <w:pPr>
        <w:jc w:val="both"/>
        <w:rPr>
          <w:b/>
          <w:szCs w:val="24"/>
        </w:rPr>
      </w:pPr>
      <w:r w:rsidRPr="009C0960">
        <w:rPr>
          <w:b/>
          <w:szCs w:val="24"/>
        </w:rPr>
        <w:t>Nkosilathi Ncube</w:t>
      </w:r>
    </w:p>
    <w:p w:rsidR="00AB5081" w:rsidRPr="009C0960" w:rsidRDefault="00AB5081" w:rsidP="009C0960">
      <w:pPr>
        <w:jc w:val="both"/>
        <w:rPr>
          <w:szCs w:val="24"/>
        </w:rPr>
      </w:pPr>
      <w:r w:rsidRPr="009C0960">
        <w:rPr>
          <w:szCs w:val="24"/>
        </w:rPr>
        <w:tab/>
        <w:t>This witness’ evidence did not take the state case any fur</w:t>
      </w:r>
      <w:r w:rsidR="004517E9" w:rsidRPr="009C0960">
        <w:rPr>
          <w:szCs w:val="24"/>
        </w:rPr>
        <w:t>t</w:t>
      </w:r>
      <w:r w:rsidRPr="009C0960">
        <w:rPr>
          <w:szCs w:val="24"/>
        </w:rPr>
        <w:t>her.  He said he was allocated a murder docket way back in 2010 as the Investigating Officer.</w:t>
      </w:r>
      <w:r w:rsidR="002564CA" w:rsidRPr="009C0960">
        <w:rPr>
          <w:szCs w:val="24"/>
        </w:rPr>
        <w:t xml:space="preserve">  He was also told </w:t>
      </w:r>
      <w:r w:rsidR="003C5B32">
        <w:rPr>
          <w:szCs w:val="24"/>
        </w:rPr>
        <w:t xml:space="preserve">that </w:t>
      </w:r>
      <w:r w:rsidR="002564CA" w:rsidRPr="009C0960">
        <w:rPr>
          <w:szCs w:val="24"/>
        </w:rPr>
        <w:t>there were 3 accused persons in the police holding cells.  He then started working on the necessary documentation.  The witness kept on re</w:t>
      </w:r>
      <w:r w:rsidR="003C5B32">
        <w:rPr>
          <w:szCs w:val="24"/>
        </w:rPr>
        <w:t>peating</w:t>
      </w:r>
      <w:r w:rsidR="002564CA" w:rsidRPr="009C0960">
        <w:rPr>
          <w:szCs w:val="24"/>
        </w:rPr>
        <w:t xml:space="preserve"> that it has been long and </w:t>
      </w:r>
      <w:r w:rsidR="003C5B32">
        <w:rPr>
          <w:szCs w:val="24"/>
        </w:rPr>
        <w:t xml:space="preserve">so </w:t>
      </w:r>
      <w:r w:rsidR="002564CA" w:rsidRPr="009C0960">
        <w:rPr>
          <w:szCs w:val="24"/>
        </w:rPr>
        <w:t>he could no longer recall most of the events.  He remembers being taken to the Charge Office and being shown an exhib</w:t>
      </w:r>
      <w:r w:rsidR="004517E9" w:rsidRPr="009C0960">
        <w:rPr>
          <w:szCs w:val="24"/>
        </w:rPr>
        <w:t>it which “i</w:t>
      </w:r>
      <w:r w:rsidR="009A2603">
        <w:rPr>
          <w:szCs w:val="24"/>
        </w:rPr>
        <w:t>f</w:t>
      </w:r>
      <w:r w:rsidR="004517E9" w:rsidRPr="009C0960">
        <w:rPr>
          <w:szCs w:val="24"/>
        </w:rPr>
        <w:t xml:space="preserve"> his memory is not </w:t>
      </w:r>
      <w:r w:rsidR="002564CA" w:rsidRPr="009C0960">
        <w:rPr>
          <w:szCs w:val="24"/>
        </w:rPr>
        <w:t xml:space="preserve">failing him”, was a jacket.  He could not recall who showed him the jacket but believes it must have been a fellow police officer.  He remembers </w:t>
      </w:r>
      <w:r w:rsidR="003C5B32">
        <w:rPr>
          <w:szCs w:val="24"/>
        </w:rPr>
        <w:t xml:space="preserve">that </w:t>
      </w:r>
      <w:r w:rsidR="002564CA" w:rsidRPr="009C0960">
        <w:rPr>
          <w:szCs w:val="24"/>
        </w:rPr>
        <w:t>he took the docket from the officer in charge of crime and worked on what he believed were unsatisfactory area</w:t>
      </w:r>
      <w:r w:rsidR="003C5B32">
        <w:rPr>
          <w:szCs w:val="24"/>
        </w:rPr>
        <w:t>s</w:t>
      </w:r>
      <w:r w:rsidR="002564CA" w:rsidRPr="009C0960">
        <w:rPr>
          <w:szCs w:val="24"/>
        </w:rPr>
        <w:t xml:space="preserve"> to complete </w:t>
      </w:r>
      <w:r w:rsidR="003C5B32">
        <w:rPr>
          <w:szCs w:val="24"/>
        </w:rPr>
        <w:t>it</w:t>
      </w:r>
      <w:r w:rsidR="002564CA" w:rsidRPr="009C0960">
        <w:rPr>
          <w:szCs w:val="24"/>
        </w:rPr>
        <w:t xml:space="preserve"> before taking the accused for remand.</w:t>
      </w:r>
    </w:p>
    <w:p w:rsidR="002564CA" w:rsidRPr="009C0960" w:rsidRDefault="002564CA" w:rsidP="009C0960">
      <w:pPr>
        <w:jc w:val="both"/>
        <w:rPr>
          <w:szCs w:val="24"/>
        </w:rPr>
      </w:pPr>
      <w:r w:rsidRPr="009C0960">
        <w:rPr>
          <w:szCs w:val="24"/>
        </w:rPr>
        <w:tab/>
        <w:t>He said that, “since it app</w:t>
      </w:r>
      <w:r w:rsidR="003C5B32">
        <w:rPr>
          <w:szCs w:val="24"/>
        </w:rPr>
        <w:t>eared</w:t>
      </w:r>
      <w:r w:rsidRPr="009C0960">
        <w:rPr>
          <w:szCs w:val="24"/>
        </w:rPr>
        <w:t xml:space="preserve"> that they were</w:t>
      </w:r>
      <w:r w:rsidR="00042587" w:rsidRPr="009C0960">
        <w:rPr>
          <w:szCs w:val="24"/>
        </w:rPr>
        <w:t xml:space="preserve"> admitting the offence, I completed the docket much quicker before I took them for remand.”</w:t>
      </w:r>
    </w:p>
    <w:p w:rsidR="001F511E" w:rsidRPr="009C0960" w:rsidRDefault="00042587" w:rsidP="009C0960">
      <w:pPr>
        <w:ind w:firstLine="720"/>
        <w:jc w:val="both"/>
        <w:rPr>
          <w:szCs w:val="24"/>
        </w:rPr>
      </w:pPr>
      <w:r w:rsidRPr="009C0960">
        <w:rPr>
          <w:szCs w:val="24"/>
        </w:rPr>
        <w:lastRenderedPageBreak/>
        <w:t xml:space="preserve">When asked further about the jacket and its whereabouts, the witness said it was said it belonged to the deceased and he did not know what had happened to it whilst in police custody.  Thereafter, he went on a discourse stressing that exhibits are very important items and that police rules dictate that a proper handover </w:t>
      </w:r>
      <w:r w:rsidR="001F511E" w:rsidRPr="009C0960">
        <w:rPr>
          <w:szCs w:val="24"/>
        </w:rPr>
        <w:t>–</w:t>
      </w:r>
      <w:r w:rsidRPr="009C0960">
        <w:rPr>
          <w:szCs w:val="24"/>
        </w:rPr>
        <w:t xml:space="preserve"> takeover</w:t>
      </w:r>
      <w:r w:rsidR="001F511E" w:rsidRPr="009C0960">
        <w:rPr>
          <w:szCs w:val="24"/>
        </w:rPr>
        <w:t xml:space="preserve"> process be followed each time they changed hands.</w:t>
      </w:r>
      <w:r w:rsidR="009A2603">
        <w:rPr>
          <w:szCs w:val="24"/>
        </w:rPr>
        <w:t xml:space="preserve">  </w:t>
      </w:r>
      <w:r w:rsidR="001F511E" w:rsidRPr="009C0960">
        <w:rPr>
          <w:szCs w:val="24"/>
        </w:rPr>
        <w:t>It was only after being reminded by the court that all that narrati</w:t>
      </w:r>
      <w:r w:rsidR="004517E9" w:rsidRPr="009C0960">
        <w:rPr>
          <w:szCs w:val="24"/>
        </w:rPr>
        <w:t>v</w:t>
      </w:r>
      <w:r w:rsidR="001F511E" w:rsidRPr="009C0960">
        <w:rPr>
          <w:szCs w:val="24"/>
        </w:rPr>
        <w:t>e did not assist the court b</w:t>
      </w:r>
      <w:r w:rsidR="003C5B32">
        <w:rPr>
          <w:szCs w:val="24"/>
        </w:rPr>
        <w:t>ut the whereabouts of the jacke</w:t>
      </w:r>
      <w:r w:rsidR="00ED14C5">
        <w:rPr>
          <w:szCs w:val="24"/>
        </w:rPr>
        <w:t>t</w:t>
      </w:r>
      <w:r w:rsidR="009A2603">
        <w:rPr>
          <w:szCs w:val="24"/>
        </w:rPr>
        <w:t>,  that he</w:t>
      </w:r>
      <w:r w:rsidR="00ED14C5">
        <w:rPr>
          <w:szCs w:val="24"/>
        </w:rPr>
        <w:t xml:space="preserve"> then</w:t>
      </w:r>
      <w:r w:rsidR="001F511E" w:rsidRPr="009C0960">
        <w:rPr>
          <w:szCs w:val="24"/>
        </w:rPr>
        <w:t xml:space="preserve"> said he also did not know</w:t>
      </w:r>
      <w:r w:rsidR="004517E9" w:rsidRPr="009C0960">
        <w:rPr>
          <w:szCs w:val="24"/>
        </w:rPr>
        <w:t xml:space="preserve"> what happened to it.  In any c</w:t>
      </w:r>
      <w:r w:rsidR="001F511E" w:rsidRPr="009C0960">
        <w:rPr>
          <w:szCs w:val="24"/>
        </w:rPr>
        <w:t>ase, he had left that</w:t>
      </w:r>
      <w:r w:rsidR="004517E9" w:rsidRPr="009C0960">
        <w:rPr>
          <w:szCs w:val="24"/>
        </w:rPr>
        <w:t xml:space="preserve"> </w:t>
      </w:r>
      <w:r w:rsidR="001F511E" w:rsidRPr="009C0960">
        <w:rPr>
          <w:szCs w:val="24"/>
        </w:rPr>
        <w:t>stat</w:t>
      </w:r>
      <w:r w:rsidR="004517E9" w:rsidRPr="009C0960">
        <w:rPr>
          <w:szCs w:val="24"/>
        </w:rPr>
        <w:t>ion some seven (7) years ag</w:t>
      </w:r>
      <w:r w:rsidR="001F511E" w:rsidRPr="009C0960">
        <w:rPr>
          <w:szCs w:val="24"/>
        </w:rPr>
        <w:t>o.  Asked if he could recognize any of the accused in the dock, he answered that it had been long and he believed the accused had greatly changed to the extent that he could no longer match any name again</w:t>
      </w:r>
      <w:r w:rsidR="004517E9" w:rsidRPr="009C0960">
        <w:rPr>
          <w:szCs w:val="24"/>
        </w:rPr>
        <w:t>s</w:t>
      </w:r>
      <w:r w:rsidR="001F511E" w:rsidRPr="009C0960">
        <w:rPr>
          <w:szCs w:val="24"/>
        </w:rPr>
        <w:t>t a particular individual.</w:t>
      </w:r>
    </w:p>
    <w:p w:rsidR="001F511E" w:rsidRPr="009C0960" w:rsidRDefault="001F511E" w:rsidP="009C0960">
      <w:pPr>
        <w:ind w:firstLine="720"/>
        <w:jc w:val="both"/>
        <w:rPr>
          <w:szCs w:val="24"/>
        </w:rPr>
      </w:pPr>
      <w:r w:rsidRPr="009C0960">
        <w:rPr>
          <w:szCs w:val="24"/>
        </w:rPr>
        <w:t>About the alleged blood stained tennis shoes, he sai</w:t>
      </w:r>
      <w:r w:rsidR="00ED14C5">
        <w:rPr>
          <w:szCs w:val="24"/>
        </w:rPr>
        <w:t xml:space="preserve">d he was never told about them.  He </w:t>
      </w:r>
      <w:r w:rsidRPr="009C0960">
        <w:rPr>
          <w:szCs w:val="24"/>
        </w:rPr>
        <w:t>never saw them and was hearing about them for the first time in court.  It should be noted that no one asked him about the cap and he never spoke about it either.</w:t>
      </w:r>
    </w:p>
    <w:p w:rsidR="001F511E" w:rsidRPr="009C0960" w:rsidRDefault="001F511E" w:rsidP="009C0960">
      <w:pPr>
        <w:jc w:val="both"/>
        <w:rPr>
          <w:b/>
          <w:szCs w:val="24"/>
        </w:rPr>
      </w:pPr>
      <w:r w:rsidRPr="009C0960">
        <w:rPr>
          <w:b/>
          <w:szCs w:val="24"/>
        </w:rPr>
        <w:t>Clarkson Musa</w:t>
      </w:r>
    </w:p>
    <w:p w:rsidR="001F511E" w:rsidRPr="009C0960" w:rsidRDefault="001F511E" w:rsidP="009C0960">
      <w:pPr>
        <w:jc w:val="both"/>
        <w:rPr>
          <w:szCs w:val="24"/>
        </w:rPr>
      </w:pPr>
      <w:r w:rsidRPr="009C0960">
        <w:rPr>
          <w:szCs w:val="24"/>
        </w:rPr>
        <w:tab/>
        <w:t>He resides at Bulawayo’s Rose Camp but</w:t>
      </w:r>
      <w:r w:rsidR="00562742" w:rsidRPr="009C0960">
        <w:rPr>
          <w:szCs w:val="24"/>
        </w:rPr>
        <w:t xml:space="preserve"> he is no longer a police officer.  His evidence also did not assist the court in any way.  All he could remember is that he received instruction</w:t>
      </w:r>
      <w:r w:rsidR="00ED14C5">
        <w:rPr>
          <w:szCs w:val="24"/>
        </w:rPr>
        <w:t>s</w:t>
      </w:r>
      <w:r w:rsidR="00562742" w:rsidRPr="009C0960">
        <w:rPr>
          <w:szCs w:val="24"/>
        </w:rPr>
        <w:t xml:space="preserve"> to the effect that a man had been stabbed at Makokoba, carried to Mpilo and died on admission.  He and one Sergeant Maphosa went to </w:t>
      </w:r>
      <w:r w:rsidR="00ED14C5">
        <w:rPr>
          <w:szCs w:val="24"/>
        </w:rPr>
        <w:t>a</w:t>
      </w:r>
      <w:r w:rsidR="00562742" w:rsidRPr="009C0960">
        <w:rPr>
          <w:szCs w:val="24"/>
        </w:rPr>
        <w:t xml:space="preserve"> given address at Makokoba were the deceased allegedly resided.  There, they found and followed a trial of blood right up to the Econet booster in the same location.  They found one Khumalo, whom they asked and were told that he was alone and that he had indeed heard someone cry out as if some people were attacking him but he could do nothing and decided to stay aloof</w:t>
      </w:r>
      <w:r w:rsidR="00ED14C5">
        <w:rPr>
          <w:szCs w:val="24"/>
        </w:rPr>
        <w:t xml:space="preserve"> as it was at night and generally dangerous</w:t>
      </w:r>
      <w:r w:rsidR="00562742" w:rsidRPr="009C0960">
        <w:rPr>
          <w:szCs w:val="24"/>
        </w:rPr>
        <w:t>.</w:t>
      </w:r>
    </w:p>
    <w:p w:rsidR="00562742" w:rsidRPr="009C0960" w:rsidRDefault="00562742" w:rsidP="009C0960">
      <w:pPr>
        <w:jc w:val="both"/>
        <w:rPr>
          <w:szCs w:val="24"/>
        </w:rPr>
      </w:pPr>
      <w:r w:rsidRPr="009C0960">
        <w:rPr>
          <w:szCs w:val="24"/>
        </w:rPr>
        <w:tab/>
        <w:t xml:space="preserve">When asked if they had recovered any exhibits, he said it was a long time ago and he could not remember.  </w:t>
      </w:r>
      <w:r w:rsidR="00ED14C5">
        <w:rPr>
          <w:szCs w:val="24"/>
        </w:rPr>
        <w:t>A</w:t>
      </w:r>
      <w:r w:rsidRPr="009C0960">
        <w:rPr>
          <w:szCs w:val="24"/>
        </w:rPr>
        <w:t>sked if he had seen the accused at any stage after arrest, he again answered that he had been shown but due to time lapse, he could no longer remember or identify them.</w:t>
      </w:r>
    </w:p>
    <w:p w:rsidR="00562742" w:rsidRPr="009C0960" w:rsidRDefault="00562742" w:rsidP="009C0960">
      <w:pPr>
        <w:jc w:val="both"/>
        <w:rPr>
          <w:b/>
          <w:szCs w:val="24"/>
        </w:rPr>
      </w:pPr>
      <w:r w:rsidRPr="009C0960">
        <w:rPr>
          <w:b/>
          <w:szCs w:val="24"/>
        </w:rPr>
        <w:lastRenderedPageBreak/>
        <w:t>Butholezwe Moyo</w:t>
      </w:r>
    </w:p>
    <w:p w:rsidR="009B33A8" w:rsidRPr="009C0960" w:rsidRDefault="009B33A8" w:rsidP="009C0960">
      <w:pPr>
        <w:jc w:val="both"/>
        <w:rPr>
          <w:szCs w:val="24"/>
        </w:rPr>
      </w:pPr>
      <w:r w:rsidRPr="009C0960">
        <w:rPr>
          <w:szCs w:val="24"/>
        </w:rPr>
        <w:tab/>
        <w:t>This is a police witness who again could hardly remember anything in connection with this crime</w:t>
      </w:r>
      <w:r w:rsidR="00ED14C5">
        <w:rPr>
          <w:szCs w:val="24"/>
        </w:rPr>
        <w:t>. A</w:t>
      </w:r>
      <w:r w:rsidRPr="009C0960">
        <w:rPr>
          <w:szCs w:val="24"/>
        </w:rPr>
        <w:t>ll he remembers is that he and 2 other police officers got to the station and found 2 suspects in the holding cells.  Upon interviewing the suspects they incriminated another person and claimed they were 3 in number when they committed the offence.  They were told w</w:t>
      </w:r>
      <w:r w:rsidR="00ED14C5">
        <w:rPr>
          <w:szCs w:val="24"/>
        </w:rPr>
        <w:t>h</w:t>
      </w:r>
      <w:r w:rsidRPr="009C0960">
        <w:rPr>
          <w:szCs w:val="24"/>
        </w:rPr>
        <w:t>e</w:t>
      </w:r>
      <w:r w:rsidR="009A2603">
        <w:rPr>
          <w:szCs w:val="24"/>
        </w:rPr>
        <w:t>r</w:t>
      </w:r>
      <w:r w:rsidRPr="009C0960">
        <w:rPr>
          <w:szCs w:val="24"/>
        </w:rPr>
        <w:t>e to find the 3</w:t>
      </w:r>
      <w:r w:rsidRPr="009C0960">
        <w:rPr>
          <w:szCs w:val="24"/>
          <w:vertAlign w:val="superscript"/>
        </w:rPr>
        <w:t>rd</w:t>
      </w:r>
      <w:r w:rsidRPr="009C0960">
        <w:rPr>
          <w:szCs w:val="24"/>
        </w:rPr>
        <w:t xml:space="preserve"> person and they arrested him</w:t>
      </w:r>
      <w:r w:rsidR="004517E9" w:rsidRPr="009C0960">
        <w:rPr>
          <w:szCs w:val="24"/>
        </w:rPr>
        <w:t xml:space="preserve"> </w:t>
      </w:r>
      <w:r w:rsidRPr="009C0960">
        <w:rPr>
          <w:szCs w:val="24"/>
        </w:rPr>
        <w:t>at Vundu flats in Makokoba.  But unfortunately again, he could not recall or identify the two (2) suspect</w:t>
      </w:r>
      <w:r w:rsidR="004517E9" w:rsidRPr="009C0960">
        <w:rPr>
          <w:szCs w:val="24"/>
        </w:rPr>
        <w:t xml:space="preserve">s </w:t>
      </w:r>
      <w:r w:rsidRPr="009C0960">
        <w:rPr>
          <w:szCs w:val="24"/>
        </w:rPr>
        <w:t xml:space="preserve">he found in the cells.  He could not recall who implicated who and could </w:t>
      </w:r>
      <w:r w:rsidR="00ED14C5">
        <w:rPr>
          <w:szCs w:val="24"/>
        </w:rPr>
        <w:t xml:space="preserve">not </w:t>
      </w:r>
      <w:r w:rsidRPr="009C0960">
        <w:rPr>
          <w:szCs w:val="24"/>
        </w:rPr>
        <w:t>reca</w:t>
      </w:r>
      <w:r w:rsidR="004517E9" w:rsidRPr="009C0960">
        <w:rPr>
          <w:szCs w:val="24"/>
        </w:rPr>
        <w:t>l</w:t>
      </w:r>
      <w:r w:rsidRPr="009C0960">
        <w:rPr>
          <w:szCs w:val="24"/>
        </w:rPr>
        <w:t>l or identify who thy arrested at Vundu flats.</w:t>
      </w:r>
    </w:p>
    <w:p w:rsidR="009B33A8" w:rsidRPr="009C0960" w:rsidRDefault="009B33A8" w:rsidP="009C0960">
      <w:pPr>
        <w:jc w:val="both"/>
        <w:rPr>
          <w:b/>
          <w:szCs w:val="24"/>
        </w:rPr>
      </w:pPr>
      <w:r w:rsidRPr="009C0960">
        <w:rPr>
          <w:b/>
          <w:szCs w:val="24"/>
        </w:rPr>
        <w:t>The law</w:t>
      </w:r>
    </w:p>
    <w:p w:rsidR="00C26057" w:rsidRPr="009C0960" w:rsidRDefault="00E73924" w:rsidP="00ED14C5">
      <w:pPr>
        <w:jc w:val="both"/>
        <w:rPr>
          <w:rFonts w:cs="Times New Roman"/>
          <w:szCs w:val="24"/>
        </w:rPr>
      </w:pPr>
      <w:r w:rsidRPr="009C0960">
        <w:rPr>
          <w:szCs w:val="24"/>
        </w:rPr>
        <w:tab/>
        <w:t>At the close of the prosecution case, the 3 accused persons made applications for their discharge in terms of section 198 (3) of the Criminal Procedure and Evidence Act, [Chapter 9:07].</w:t>
      </w:r>
      <w:r w:rsidR="00ED14C5">
        <w:rPr>
          <w:szCs w:val="24"/>
        </w:rPr>
        <w:t xml:space="preserve">  </w:t>
      </w:r>
      <w:r w:rsidR="004517E9" w:rsidRPr="009C0960">
        <w:rPr>
          <w:rFonts w:cs="Times New Roman"/>
          <w:szCs w:val="24"/>
        </w:rPr>
        <w:t>Suf</w:t>
      </w:r>
      <w:r w:rsidR="00C26057" w:rsidRPr="009C0960">
        <w:rPr>
          <w:rFonts w:cs="Times New Roman"/>
          <w:szCs w:val="24"/>
        </w:rPr>
        <w:t>fices to point out that whilst the former section 188 (3) used the term “may” the current section 198 (3) uses the term “shall”- return a verdict of not guilty”</w:t>
      </w:r>
    </w:p>
    <w:p w:rsidR="00C26057" w:rsidRPr="009C0960" w:rsidRDefault="00C26057" w:rsidP="009C0960">
      <w:pPr>
        <w:contextualSpacing/>
        <w:jc w:val="both"/>
        <w:rPr>
          <w:rFonts w:cs="Times New Roman"/>
          <w:szCs w:val="24"/>
        </w:rPr>
      </w:pPr>
      <w:r w:rsidRPr="009C0960">
        <w:rPr>
          <w:rFonts w:cs="Times New Roman"/>
          <w:szCs w:val="24"/>
        </w:rPr>
        <w:tab/>
        <w:t>The following authorities are also pertinent</w:t>
      </w:r>
      <w:r w:rsidR="00ED14C5">
        <w:rPr>
          <w:rFonts w:cs="Times New Roman"/>
          <w:szCs w:val="24"/>
        </w:rPr>
        <w:t>,</w:t>
      </w:r>
      <w:r w:rsidRPr="009C0960">
        <w:rPr>
          <w:rFonts w:cs="Times New Roman"/>
          <w:szCs w:val="24"/>
        </w:rPr>
        <w:t xml:space="preserve"> </w:t>
      </w:r>
      <w:r w:rsidRPr="009C0960">
        <w:rPr>
          <w:rFonts w:cs="Times New Roman"/>
          <w:i/>
          <w:szCs w:val="24"/>
        </w:rPr>
        <w:t>S</w:t>
      </w:r>
      <w:r w:rsidRPr="009C0960">
        <w:rPr>
          <w:rFonts w:cs="Times New Roman"/>
          <w:szCs w:val="24"/>
        </w:rPr>
        <w:t xml:space="preserve"> v </w:t>
      </w:r>
      <w:r w:rsidRPr="009C0960">
        <w:rPr>
          <w:rFonts w:cs="Times New Roman"/>
          <w:i/>
          <w:szCs w:val="24"/>
        </w:rPr>
        <w:t>S Mpofu</w:t>
      </w:r>
      <w:r w:rsidRPr="009C0960">
        <w:rPr>
          <w:rFonts w:cs="Times New Roman"/>
          <w:szCs w:val="24"/>
        </w:rPr>
        <w:t xml:space="preserve"> 2012 (1) ZLR 384 HB 81-12, where it was held that the court has no discretion but to acquit at the end of the state case if there is no evidence upon which a reasonable court would convict the accused.   The state has a duty to place before the court, </w:t>
      </w:r>
      <w:r w:rsidRPr="009C0960">
        <w:rPr>
          <w:rFonts w:cs="Times New Roman"/>
          <w:szCs w:val="24"/>
          <w:u w:val="single"/>
        </w:rPr>
        <w:t>evidence of probative value to establish</w:t>
      </w:r>
      <w:r w:rsidR="004517E9" w:rsidRPr="009C0960">
        <w:rPr>
          <w:rFonts w:cs="Times New Roman"/>
          <w:szCs w:val="24"/>
          <w:u w:val="single"/>
        </w:rPr>
        <w:t xml:space="preserve"> </w:t>
      </w:r>
      <w:r w:rsidRPr="009C0960">
        <w:rPr>
          <w:rFonts w:cs="Times New Roman"/>
          <w:szCs w:val="24"/>
        </w:rPr>
        <w:t xml:space="preserve">a </w:t>
      </w:r>
      <w:r w:rsidRPr="009C0960">
        <w:rPr>
          <w:rFonts w:cs="Times New Roman"/>
          <w:i/>
          <w:szCs w:val="24"/>
        </w:rPr>
        <w:t>prima facie</w:t>
      </w:r>
      <w:r w:rsidRPr="009C0960">
        <w:rPr>
          <w:rFonts w:cs="Times New Roman"/>
          <w:szCs w:val="24"/>
        </w:rPr>
        <w:t>case, the evidence adduced by the prosecution should be of such a degree that it calls for an answer from the accused.</w:t>
      </w:r>
    </w:p>
    <w:p w:rsidR="00C26057" w:rsidRPr="009C0960" w:rsidRDefault="00C26057" w:rsidP="009C0960">
      <w:pPr>
        <w:contextualSpacing/>
        <w:jc w:val="both"/>
        <w:rPr>
          <w:rFonts w:cs="Times New Roman"/>
          <w:szCs w:val="24"/>
        </w:rPr>
      </w:pPr>
      <w:r w:rsidRPr="009C0960">
        <w:rPr>
          <w:rFonts w:cs="Times New Roman"/>
          <w:szCs w:val="24"/>
        </w:rPr>
        <w:tab/>
        <w:t xml:space="preserve">The state need not prove the commission of the offence at this stage but must have adduced evidence which will justify the transfer of the onus to the accused.  See also </w:t>
      </w:r>
      <w:r w:rsidRPr="009C0960">
        <w:rPr>
          <w:rFonts w:cs="Times New Roman"/>
          <w:i/>
          <w:szCs w:val="24"/>
        </w:rPr>
        <w:t>S</w:t>
      </w:r>
      <w:r w:rsidRPr="009C0960">
        <w:rPr>
          <w:rFonts w:cs="Times New Roman"/>
          <w:szCs w:val="24"/>
        </w:rPr>
        <w:t xml:space="preserve"> v </w:t>
      </w:r>
      <w:r w:rsidRPr="009C0960">
        <w:rPr>
          <w:rFonts w:cs="Times New Roman"/>
          <w:i/>
          <w:szCs w:val="24"/>
        </w:rPr>
        <w:t>Kachipare</w:t>
      </w:r>
      <w:r w:rsidRPr="009C0960">
        <w:rPr>
          <w:rFonts w:cs="Times New Roman"/>
          <w:szCs w:val="24"/>
        </w:rPr>
        <w:t xml:space="preserve"> – 1998 (2) ZLR 271 as compared with </w:t>
      </w:r>
      <w:r w:rsidRPr="009C0960">
        <w:rPr>
          <w:rFonts w:cs="Times New Roman"/>
          <w:i/>
          <w:szCs w:val="24"/>
        </w:rPr>
        <w:t>A G</w:t>
      </w:r>
      <w:r w:rsidRPr="009C0960">
        <w:rPr>
          <w:rFonts w:cs="Times New Roman"/>
          <w:szCs w:val="24"/>
        </w:rPr>
        <w:t xml:space="preserve"> v </w:t>
      </w:r>
      <w:r w:rsidRPr="009C0960">
        <w:rPr>
          <w:rFonts w:cs="Times New Roman"/>
          <w:i/>
          <w:szCs w:val="24"/>
        </w:rPr>
        <w:t>Bvuma and Another</w:t>
      </w:r>
      <w:r w:rsidRPr="009C0960">
        <w:rPr>
          <w:rFonts w:cs="Times New Roman"/>
          <w:szCs w:val="24"/>
        </w:rPr>
        <w:t xml:space="preserve"> 1987 (2) ZLR 96 (S) and earlier case </w:t>
      </w:r>
      <w:r w:rsidRPr="009C0960">
        <w:rPr>
          <w:rFonts w:cs="Times New Roman"/>
          <w:i/>
          <w:szCs w:val="24"/>
        </w:rPr>
        <w:t>S</w:t>
      </w:r>
      <w:r w:rsidRPr="009C0960">
        <w:rPr>
          <w:rFonts w:cs="Times New Roman"/>
          <w:szCs w:val="24"/>
        </w:rPr>
        <w:t xml:space="preserve"> v </w:t>
      </w:r>
      <w:r w:rsidRPr="009C0960">
        <w:rPr>
          <w:rFonts w:cs="Times New Roman"/>
          <w:i/>
          <w:szCs w:val="24"/>
        </w:rPr>
        <w:t xml:space="preserve">Hatlebury and another, </w:t>
      </w:r>
      <w:r w:rsidRPr="009C0960">
        <w:rPr>
          <w:rFonts w:cs="Times New Roman"/>
          <w:szCs w:val="24"/>
        </w:rPr>
        <w:t>1985 (</w:t>
      </w:r>
      <w:bookmarkStart w:id="0" w:name="_GoBack"/>
      <w:bookmarkEnd w:id="0"/>
      <w:r w:rsidRPr="009C0960">
        <w:rPr>
          <w:rFonts w:cs="Times New Roman"/>
          <w:szCs w:val="24"/>
        </w:rPr>
        <w:t>1) ZLR 1 (H).</w:t>
      </w:r>
    </w:p>
    <w:p w:rsidR="00C26057" w:rsidRPr="009C0960" w:rsidRDefault="00C26057" w:rsidP="009A2603">
      <w:pPr>
        <w:contextualSpacing/>
        <w:jc w:val="both"/>
        <w:rPr>
          <w:rFonts w:cs="Times New Roman"/>
          <w:szCs w:val="24"/>
        </w:rPr>
      </w:pPr>
      <w:r w:rsidRPr="009C0960">
        <w:rPr>
          <w:rFonts w:cs="Times New Roman"/>
          <w:szCs w:val="24"/>
        </w:rPr>
        <w:tab/>
        <w:t xml:space="preserve">In </w:t>
      </w:r>
      <w:r w:rsidRPr="009C0960">
        <w:rPr>
          <w:rFonts w:cs="Times New Roman"/>
          <w:i/>
          <w:szCs w:val="24"/>
        </w:rPr>
        <w:t>S</w:t>
      </w:r>
      <w:r w:rsidRPr="009C0960">
        <w:rPr>
          <w:rFonts w:cs="Times New Roman"/>
          <w:szCs w:val="24"/>
        </w:rPr>
        <w:t xml:space="preserve"> v </w:t>
      </w:r>
      <w:r w:rsidRPr="009C0960">
        <w:rPr>
          <w:rFonts w:cs="Times New Roman"/>
          <w:i/>
          <w:szCs w:val="24"/>
        </w:rPr>
        <w:t>Noormohamed</w:t>
      </w:r>
      <w:r w:rsidRPr="009C0960">
        <w:rPr>
          <w:rFonts w:cs="Times New Roman"/>
          <w:szCs w:val="24"/>
        </w:rPr>
        <w:t xml:space="preserve"> – 2012 (1) ZLR 367 (H) it was held that section 198 (3) of the Criminal Procedure and Evidence Act is clear that if at the close of the state case, the court considers that there is no evidence that the accused committed the offence charged or any other offence of which he might be convicted of thereon, it has no discretion but it shall retain a </w:t>
      </w:r>
      <w:r w:rsidRPr="009C0960">
        <w:rPr>
          <w:rFonts w:cs="Times New Roman"/>
          <w:szCs w:val="24"/>
        </w:rPr>
        <w:lastRenderedPageBreak/>
        <w:t>verdict of not guilty. There is no longer any controversy in our law as to whether in the exercise of its discretion, the court may not discharge the accused if it has reason to suppose that the inadequate evidence adduced by the state might be supplemented by the defence evidence.  That discretion was taken away.</w:t>
      </w:r>
      <w:r w:rsidR="004517E9" w:rsidRPr="009C0960">
        <w:rPr>
          <w:rFonts w:cs="Times New Roman"/>
          <w:szCs w:val="24"/>
        </w:rPr>
        <w:t xml:space="preserve"> </w:t>
      </w:r>
      <w:r w:rsidRPr="009C0960">
        <w:rPr>
          <w:rFonts w:cs="Times New Roman"/>
          <w:szCs w:val="24"/>
        </w:rPr>
        <w:t>Once the court considers that;</w:t>
      </w:r>
    </w:p>
    <w:p w:rsidR="00C26057" w:rsidRPr="009C0960" w:rsidRDefault="00C26057" w:rsidP="009C0960">
      <w:pPr>
        <w:contextualSpacing/>
        <w:jc w:val="both"/>
        <w:rPr>
          <w:rFonts w:cs="Times New Roman"/>
          <w:szCs w:val="24"/>
        </w:rPr>
      </w:pPr>
      <w:r w:rsidRPr="009C0960">
        <w:rPr>
          <w:rFonts w:cs="Times New Roman"/>
          <w:szCs w:val="24"/>
        </w:rPr>
        <w:t>a)</w:t>
      </w:r>
      <w:r w:rsidRPr="009C0960">
        <w:rPr>
          <w:rFonts w:cs="Times New Roman"/>
          <w:szCs w:val="24"/>
        </w:rPr>
        <w:tab/>
        <w:t>There is no evidence to prove an essential element of the offence,</w:t>
      </w:r>
    </w:p>
    <w:p w:rsidR="00C26057" w:rsidRPr="009C0960" w:rsidRDefault="00C26057" w:rsidP="009C0960">
      <w:pPr>
        <w:ind w:left="720" w:hanging="720"/>
        <w:contextualSpacing/>
        <w:jc w:val="both"/>
        <w:rPr>
          <w:rFonts w:cs="Times New Roman"/>
          <w:szCs w:val="24"/>
        </w:rPr>
      </w:pPr>
      <w:r w:rsidRPr="009C0960">
        <w:rPr>
          <w:rFonts w:cs="Times New Roman"/>
          <w:szCs w:val="24"/>
        </w:rPr>
        <w:t>b)</w:t>
      </w:r>
      <w:r w:rsidRPr="009C0960">
        <w:rPr>
          <w:rFonts w:cs="Times New Roman"/>
          <w:szCs w:val="24"/>
        </w:rPr>
        <w:tab/>
        <w:t>There is no evidence upon which a reasonable court acting carefully and judiciously</w:t>
      </w:r>
      <w:r w:rsidR="00ED14C5">
        <w:rPr>
          <w:rFonts w:cs="Times New Roman"/>
          <w:szCs w:val="24"/>
        </w:rPr>
        <w:t>,</w:t>
      </w:r>
      <w:r w:rsidRPr="009C0960">
        <w:rPr>
          <w:rFonts w:cs="Times New Roman"/>
          <w:szCs w:val="24"/>
        </w:rPr>
        <w:t xml:space="preserve"> might properly convict, and </w:t>
      </w:r>
    </w:p>
    <w:p w:rsidR="00C26057" w:rsidRPr="009C0960" w:rsidRDefault="00C26057" w:rsidP="00ED14C5">
      <w:pPr>
        <w:ind w:left="720" w:hanging="720"/>
        <w:contextualSpacing/>
        <w:jc w:val="both"/>
        <w:rPr>
          <w:rFonts w:cs="Times New Roman"/>
          <w:szCs w:val="24"/>
        </w:rPr>
      </w:pPr>
      <w:r w:rsidRPr="009C0960">
        <w:rPr>
          <w:rFonts w:cs="Times New Roman"/>
          <w:szCs w:val="24"/>
        </w:rPr>
        <w:t>c)</w:t>
      </w:r>
      <w:r w:rsidRPr="009C0960">
        <w:rPr>
          <w:rFonts w:cs="Times New Roman"/>
          <w:szCs w:val="24"/>
        </w:rPr>
        <w:tab/>
        <w:t>The evidence adduced on behalf of the state is so manifestly unreliable that no reasonable court could safely act on it.</w:t>
      </w:r>
      <w:r w:rsidR="00ED14C5">
        <w:rPr>
          <w:rFonts w:cs="Times New Roman"/>
          <w:szCs w:val="24"/>
        </w:rPr>
        <w:t xml:space="preserve"> </w:t>
      </w:r>
      <w:r w:rsidRPr="009C0960">
        <w:rPr>
          <w:rFonts w:cs="Times New Roman"/>
          <w:szCs w:val="24"/>
        </w:rPr>
        <w:t>The court is obliged in terms of section 198 (3) to acquit.</w:t>
      </w:r>
    </w:p>
    <w:p w:rsidR="00C26057" w:rsidRPr="009C0960" w:rsidRDefault="00C26057" w:rsidP="00ED14C5">
      <w:pPr>
        <w:contextualSpacing/>
        <w:jc w:val="both"/>
        <w:rPr>
          <w:rFonts w:cs="Times New Roman"/>
          <w:szCs w:val="24"/>
        </w:rPr>
      </w:pPr>
      <w:r w:rsidRPr="009C0960">
        <w:rPr>
          <w:rFonts w:cs="Times New Roman"/>
          <w:szCs w:val="24"/>
        </w:rPr>
        <w:tab/>
        <w:t xml:space="preserve">See also </w:t>
      </w:r>
      <w:r w:rsidRPr="009C0960">
        <w:rPr>
          <w:rFonts w:cs="Times New Roman"/>
          <w:i/>
          <w:szCs w:val="24"/>
        </w:rPr>
        <w:t>Attorney General</w:t>
      </w:r>
      <w:r w:rsidR="004517E9" w:rsidRPr="009C0960">
        <w:rPr>
          <w:rFonts w:cs="Times New Roman"/>
          <w:i/>
          <w:szCs w:val="24"/>
        </w:rPr>
        <w:t xml:space="preserve"> </w:t>
      </w:r>
      <w:r w:rsidRPr="009C0960">
        <w:rPr>
          <w:rFonts w:cs="Times New Roman"/>
          <w:szCs w:val="24"/>
        </w:rPr>
        <w:t>v</w:t>
      </w:r>
      <w:r w:rsidR="004517E9" w:rsidRPr="009C0960">
        <w:rPr>
          <w:rFonts w:cs="Times New Roman"/>
          <w:szCs w:val="24"/>
        </w:rPr>
        <w:t xml:space="preserve"> </w:t>
      </w:r>
      <w:r w:rsidRPr="009C0960">
        <w:rPr>
          <w:rFonts w:cs="Times New Roman"/>
          <w:i/>
          <w:szCs w:val="24"/>
        </w:rPr>
        <w:t>Makamba</w:t>
      </w:r>
      <w:r w:rsidRPr="009C0960">
        <w:rPr>
          <w:rFonts w:cs="Times New Roman"/>
          <w:szCs w:val="24"/>
        </w:rPr>
        <w:t xml:space="preserve"> 2005 (2) ZLR 54 (S)</w:t>
      </w:r>
      <w:r w:rsidR="00ED14C5">
        <w:rPr>
          <w:rFonts w:cs="Times New Roman"/>
          <w:szCs w:val="24"/>
        </w:rPr>
        <w:t>, w</w:t>
      </w:r>
      <w:r w:rsidRPr="009C0960">
        <w:rPr>
          <w:rFonts w:cs="Times New Roman"/>
          <w:szCs w:val="24"/>
        </w:rPr>
        <w:t>here it was held that in dealing with applications for discharge at the closure of the state case, there is a sound basis for granting such an application where the above 3 considerations are shown.</w:t>
      </w:r>
      <w:r w:rsidR="00ED14C5">
        <w:rPr>
          <w:rFonts w:cs="Times New Roman"/>
          <w:szCs w:val="24"/>
        </w:rPr>
        <w:t xml:space="preserve"> </w:t>
      </w:r>
      <w:r w:rsidRPr="009C0960">
        <w:rPr>
          <w:rFonts w:cs="Times New Roman"/>
          <w:szCs w:val="24"/>
        </w:rPr>
        <w:t xml:space="preserve">Where in his application, the accused has managed to show the above requirements, he </w:t>
      </w:r>
      <w:r w:rsidRPr="009C0960">
        <w:rPr>
          <w:rFonts w:cs="Times New Roman"/>
          <w:szCs w:val="24"/>
          <w:u w:val="single"/>
        </w:rPr>
        <w:t>shall</w:t>
      </w:r>
      <w:r w:rsidRPr="009C0960">
        <w:rPr>
          <w:rFonts w:cs="Times New Roman"/>
          <w:szCs w:val="24"/>
        </w:rPr>
        <w:t xml:space="preserve"> be entitled to his discharge.   However, where it is reasonably argued for the state that the evidence so far adduced was sufficiently probative of the essential elements of the offence charged, for a reasonable court acting carefully to convict, the accused would not be entitled to such discharge.  The position at the close of the state case should be one where there is evidence of essential elements of the commission of the offence having been established</w:t>
      </w:r>
      <w:r w:rsidR="00ED14C5">
        <w:rPr>
          <w:rFonts w:cs="Times New Roman"/>
          <w:szCs w:val="24"/>
        </w:rPr>
        <w:t>.</w:t>
      </w:r>
    </w:p>
    <w:p w:rsidR="00C26057" w:rsidRPr="009C0960" w:rsidRDefault="00C26057" w:rsidP="009C0960">
      <w:pPr>
        <w:ind w:firstLine="720"/>
        <w:contextualSpacing/>
        <w:jc w:val="both"/>
        <w:rPr>
          <w:rFonts w:cs="Times New Roman"/>
          <w:szCs w:val="24"/>
        </w:rPr>
      </w:pPr>
      <w:r w:rsidRPr="009C0960">
        <w:rPr>
          <w:rFonts w:cs="Times New Roman"/>
          <w:szCs w:val="24"/>
        </w:rPr>
        <w:t>Though rare, there surely have been exceptional cases wherein the court has to discharge the accused to avoid grave injustice that may occur if the accused is not discharged.  In some c</w:t>
      </w:r>
      <w:r w:rsidR="00ED14C5">
        <w:rPr>
          <w:rFonts w:cs="Times New Roman"/>
          <w:szCs w:val="24"/>
        </w:rPr>
        <w:t>ases</w:t>
      </w:r>
      <w:r w:rsidRPr="009C0960">
        <w:rPr>
          <w:rFonts w:cs="Times New Roman"/>
          <w:szCs w:val="24"/>
        </w:rPr>
        <w:t xml:space="preserve">, the Superior Courts, when such matters are finally brought on appeal, have shown their displeasure and outrage, such as in </w:t>
      </w:r>
      <w:r w:rsidRPr="009C0960">
        <w:rPr>
          <w:rFonts w:cs="Times New Roman"/>
          <w:i/>
          <w:szCs w:val="24"/>
        </w:rPr>
        <w:t>Isaura Masinga</w:t>
      </w:r>
      <w:r w:rsidRPr="009C0960">
        <w:rPr>
          <w:rFonts w:cs="Times New Roman"/>
          <w:szCs w:val="24"/>
        </w:rPr>
        <w:t xml:space="preserve"> vs </w:t>
      </w:r>
      <w:r w:rsidRPr="009C0960">
        <w:rPr>
          <w:rFonts w:cs="Times New Roman"/>
          <w:i/>
          <w:szCs w:val="24"/>
        </w:rPr>
        <w:t>Ms Sande (NO) and</w:t>
      </w:r>
      <w:r w:rsidR="005973B1" w:rsidRPr="009C0960">
        <w:rPr>
          <w:rFonts w:cs="Times New Roman"/>
          <w:i/>
          <w:szCs w:val="24"/>
        </w:rPr>
        <w:t xml:space="preserve"> Prosecutor General</w:t>
      </w:r>
      <w:r w:rsidR="005973B1" w:rsidRPr="009C0960">
        <w:rPr>
          <w:rFonts w:cs="Times New Roman"/>
          <w:szCs w:val="24"/>
        </w:rPr>
        <w:t xml:space="preserve"> HH-372-19.</w:t>
      </w:r>
    </w:p>
    <w:p w:rsidR="005973B1" w:rsidRPr="009C0960" w:rsidRDefault="005973B1" w:rsidP="009C0960">
      <w:pPr>
        <w:ind w:firstLine="720"/>
        <w:contextualSpacing/>
        <w:jc w:val="both"/>
        <w:rPr>
          <w:rFonts w:cs="Times New Roman"/>
          <w:szCs w:val="24"/>
        </w:rPr>
      </w:pPr>
      <w:r w:rsidRPr="009C0960">
        <w:rPr>
          <w:rFonts w:cs="Times New Roman"/>
          <w:szCs w:val="24"/>
        </w:rPr>
        <w:t xml:space="preserve">In </w:t>
      </w:r>
      <w:r w:rsidRPr="009C0960">
        <w:rPr>
          <w:rFonts w:cs="Times New Roman"/>
          <w:i/>
          <w:szCs w:val="24"/>
        </w:rPr>
        <w:t>Isaura Masinga’s</w:t>
      </w:r>
      <w:r w:rsidRPr="009C0960">
        <w:rPr>
          <w:rFonts w:cs="Times New Roman"/>
          <w:szCs w:val="24"/>
        </w:rPr>
        <w:t xml:space="preserve"> case, the court showed extreme outrage at the grave injustice that had resulted from the failure to discharge the accused at the closure of the state case, given the somewhat “</w:t>
      </w:r>
      <w:r w:rsidR="009C0960" w:rsidRPr="009C0960">
        <w:rPr>
          <w:rFonts w:cs="Times New Roman"/>
          <w:szCs w:val="24"/>
        </w:rPr>
        <w:t>a</w:t>
      </w:r>
      <w:r w:rsidRPr="009C0960">
        <w:rPr>
          <w:rFonts w:cs="Times New Roman"/>
          <w:szCs w:val="24"/>
        </w:rPr>
        <w:t xml:space="preserve">bsurd” circumstances of that case.  It was held to be a “typical example of exceptional circumstances or compelling reasons for a superior court to intervene </w:t>
      </w:r>
      <w:r w:rsidR="00ED14C5">
        <w:rPr>
          <w:rFonts w:cs="Times New Roman"/>
          <w:szCs w:val="24"/>
        </w:rPr>
        <w:t>and</w:t>
      </w:r>
      <w:r w:rsidRPr="009C0960">
        <w:rPr>
          <w:rFonts w:cs="Times New Roman"/>
          <w:szCs w:val="24"/>
        </w:rPr>
        <w:t xml:space="preserve"> stop a harmful trial.”</w:t>
      </w:r>
    </w:p>
    <w:p w:rsidR="005973B1" w:rsidRPr="009C0960" w:rsidRDefault="005973B1" w:rsidP="009C0960">
      <w:pPr>
        <w:contextualSpacing/>
        <w:jc w:val="both"/>
        <w:rPr>
          <w:rFonts w:cs="Times New Roman"/>
          <w:szCs w:val="24"/>
        </w:rPr>
      </w:pPr>
      <w:r w:rsidRPr="009C0960">
        <w:rPr>
          <w:rFonts w:cs="Times New Roman"/>
          <w:szCs w:val="24"/>
        </w:rPr>
        <w:tab/>
        <w:t>Even in those circumstances, the court still had the mind to caution as follows:</w:t>
      </w:r>
    </w:p>
    <w:p w:rsidR="005973B1" w:rsidRPr="009C0960" w:rsidRDefault="005973B1" w:rsidP="009C0960">
      <w:pPr>
        <w:spacing w:line="240" w:lineRule="auto"/>
        <w:ind w:left="720"/>
        <w:contextualSpacing/>
        <w:jc w:val="both"/>
        <w:rPr>
          <w:rFonts w:cs="Times New Roman"/>
          <w:szCs w:val="24"/>
        </w:rPr>
      </w:pPr>
      <w:r w:rsidRPr="009C0960">
        <w:rPr>
          <w:rFonts w:cs="Times New Roman"/>
          <w:szCs w:val="24"/>
        </w:rPr>
        <w:lastRenderedPageBreak/>
        <w:t>“This court will ordinarily not sit in judgment over a matter before an inferior court except in very rare circumstances where a grave injustice would occur if it does not intervene.  While it is correct that this court has review jurisdiction over unterminated proceedings it is always slow to intervene in unterminated proceedings of an inferior c</w:t>
      </w:r>
      <w:r w:rsidR="00ED14C5">
        <w:rPr>
          <w:rFonts w:cs="Times New Roman"/>
          <w:szCs w:val="24"/>
        </w:rPr>
        <w:t>o</w:t>
      </w:r>
      <w:r w:rsidRPr="009C0960">
        <w:rPr>
          <w:rFonts w:cs="Times New Roman"/>
          <w:szCs w:val="24"/>
        </w:rPr>
        <w:t>urt except in cases of gross irregularities in the proceedings or where it is apparent that justice may not be attained by any other means.”</w:t>
      </w:r>
    </w:p>
    <w:p w:rsidR="005973B1" w:rsidRPr="009C0960" w:rsidRDefault="005973B1" w:rsidP="009C0960">
      <w:pPr>
        <w:contextualSpacing/>
        <w:jc w:val="both"/>
        <w:rPr>
          <w:rFonts w:cs="Times New Roman"/>
          <w:szCs w:val="24"/>
        </w:rPr>
      </w:pPr>
    </w:p>
    <w:p w:rsidR="007B0C04" w:rsidRDefault="005973B1" w:rsidP="009C0960">
      <w:pPr>
        <w:contextualSpacing/>
        <w:jc w:val="both"/>
        <w:rPr>
          <w:szCs w:val="24"/>
        </w:rPr>
      </w:pPr>
      <w:r w:rsidRPr="009C0960">
        <w:rPr>
          <w:rFonts w:cs="Times New Roman"/>
          <w:szCs w:val="24"/>
        </w:rPr>
        <w:tab/>
      </w:r>
      <w:r w:rsidR="007B0C04" w:rsidRPr="009C0960">
        <w:rPr>
          <w:i/>
          <w:szCs w:val="24"/>
        </w:rPr>
        <w:t>In casu</w:t>
      </w:r>
      <w:r w:rsidR="007B0C04" w:rsidRPr="009C0960">
        <w:rPr>
          <w:szCs w:val="24"/>
        </w:rPr>
        <w:t>, and as already stated elsewhere in this judgment, the state case just could “not</w:t>
      </w:r>
      <w:r w:rsidR="00F16298" w:rsidRPr="009C0960">
        <w:rPr>
          <w:szCs w:val="24"/>
        </w:rPr>
        <w:t xml:space="preserve"> </w:t>
      </w:r>
      <w:r w:rsidR="00ED14C5">
        <w:rPr>
          <w:szCs w:val="24"/>
        </w:rPr>
        <w:t>walk</w:t>
      </w:r>
      <w:r w:rsidR="00F16298" w:rsidRPr="009C0960">
        <w:rPr>
          <w:szCs w:val="24"/>
        </w:rPr>
        <w:t>” right from the beginning, even</w:t>
      </w:r>
      <w:r w:rsidR="009C0960" w:rsidRPr="009C0960">
        <w:rPr>
          <w:szCs w:val="24"/>
        </w:rPr>
        <w:t xml:space="preserve"> </w:t>
      </w:r>
      <w:r w:rsidR="00F16298" w:rsidRPr="009C0960">
        <w:rPr>
          <w:szCs w:val="24"/>
        </w:rPr>
        <w:t xml:space="preserve">baring the death and non availability of five (5) state witnesses and </w:t>
      </w:r>
      <w:r w:rsidR="00ED14C5">
        <w:rPr>
          <w:szCs w:val="24"/>
        </w:rPr>
        <w:t>one</w:t>
      </w:r>
      <w:r w:rsidR="00F16298" w:rsidRPr="009C0960">
        <w:rPr>
          <w:szCs w:val="24"/>
        </w:rPr>
        <w:t xml:space="preserve"> accused person</w:t>
      </w:r>
      <w:r w:rsidR="00ED14C5">
        <w:rPr>
          <w:szCs w:val="24"/>
        </w:rPr>
        <w:t>.  T</w:t>
      </w:r>
      <w:r w:rsidR="00F16298" w:rsidRPr="009C0960">
        <w:rPr>
          <w:szCs w:val="24"/>
        </w:rPr>
        <w:t xml:space="preserve">he </w:t>
      </w:r>
      <w:r w:rsidR="008F485B">
        <w:rPr>
          <w:szCs w:val="24"/>
        </w:rPr>
        <w:t xml:space="preserve">forensic </w:t>
      </w:r>
      <w:r w:rsidR="00F16298" w:rsidRPr="009C0960">
        <w:rPr>
          <w:szCs w:val="24"/>
        </w:rPr>
        <w:t xml:space="preserve">evidence of </w:t>
      </w:r>
      <w:r w:rsidR="008F485B">
        <w:rPr>
          <w:szCs w:val="24"/>
        </w:rPr>
        <w:t xml:space="preserve">a </w:t>
      </w:r>
      <w:r w:rsidR="00F16298" w:rsidRPr="009C0960">
        <w:rPr>
          <w:szCs w:val="24"/>
        </w:rPr>
        <w:t xml:space="preserve">blood stained jacket and tennis shoes as well as a cap would </w:t>
      </w:r>
      <w:r w:rsidR="008F485B">
        <w:rPr>
          <w:szCs w:val="24"/>
        </w:rPr>
        <w:t xml:space="preserve">have </w:t>
      </w:r>
      <w:r w:rsidR="00F16298" w:rsidRPr="009C0960">
        <w:rPr>
          <w:szCs w:val="24"/>
        </w:rPr>
        <w:t>b</w:t>
      </w:r>
      <w:r w:rsidR="008F485B">
        <w:rPr>
          <w:szCs w:val="24"/>
        </w:rPr>
        <w:t>een</w:t>
      </w:r>
      <w:r w:rsidR="00F16298" w:rsidRPr="009C0960">
        <w:rPr>
          <w:szCs w:val="24"/>
        </w:rPr>
        <w:t xml:space="preserve"> very crucial to link the arrested persons to the deceased’s death.  Even with the now advanced technology, including DNA testing</w:t>
      </w:r>
      <w:r w:rsidR="008F485B">
        <w:rPr>
          <w:szCs w:val="24"/>
        </w:rPr>
        <w:t>,</w:t>
      </w:r>
      <w:r w:rsidR="00F16298" w:rsidRPr="009C0960">
        <w:rPr>
          <w:szCs w:val="24"/>
        </w:rPr>
        <w:t xml:space="preserve"> that can be done almost a stone throw away at the University of Science and Technology</w:t>
      </w:r>
      <w:r w:rsidR="008F485B">
        <w:rPr>
          <w:szCs w:val="24"/>
        </w:rPr>
        <w:t xml:space="preserve"> (NUST)</w:t>
      </w:r>
      <w:r w:rsidR="00F16298" w:rsidRPr="009C0960">
        <w:rPr>
          <w:szCs w:val="24"/>
        </w:rPr>
        <w:t>, the blood stained exhibits were not properly preserved as evidence, let alone sent for DNA</w:t>
      </w:r>
      <w:r w:rsidR="001C5737" w:rsidRPr="009C0960">
        <w:rPr>
          <w:szCs w:val="24"/>
        </w:rPr>
        <w:t xml:space="preserve"> testing.  Surely the test results, would have almost certainly secured the state case</w:t>
      </w:r>
      <w:r w:rsidR="009C0960" w:rsidRPr="009C0960">
        <w:rPr>
          <w:szCs w:val="24"/>
        </w:rPr>
        <w:t xml:space="preserve"> </w:t>
      </w:r>
      <w:r w:rsidR="001C5737" w:rsidRPr="009C0960">
        <w:rPr>
          <w:szCs w:val="24"/>
        </w:rPr>
        <w:t>and made the state burden</w:t>
      </w:r>
      <w:r w:rsidR="009C0960" w:rsidRPr="009C0960">
        <w:rPr>
          <w:szCs w:val="24"/>
        </w:rPr>
        <w:t xml:space="preserve"> </w:t>
      </w:r>
      <w:r w:rsidR="001C5737" w:rsidRPr="009C0960">
        <w:rPr>
          <w:szCs w:val="24"/>
        </w:rPr>
        <w:t xml:space="preserve">much </w:t>
      </w:r>
      <w:r w:rsidR="00AC0F0E">
        <w:rPr>
          <w:szCs w:val="24"/>
        </w:rPr>
        <w:t>lighter</w:t>
      </w:r>
      <w:r w:rsidR="008F485B">
        <w:rPr>
          <w:szCs w:val="24"/>
        </w:rPr>
        <w:t>.</w:t>
      </w:r>
      <w:r w:rsidR="001C5737" w:rsidRPr="009C0960">
        <w:rPr>
          <w:szCs w:val="24"/>
        </w:rPr>
        <w:t xml:space="preserve"> </w:t>
      </w:r>
      <w:r w:rsidR="008F485B">
        <w:rPr>
          <w:szCs w:val="24"/>
        </w:rPr>
        <w:t>O</w:t>
      </w:r>
      <w:r w:rsidR="001C5737" w:rsidRPr="009C0960">
        <w:rPr>
          <w:szCs w:val="24"/>
        </w:rPr>
        <w:t>n the other hand</w:t>
      </w:r>
      <w:r w:rsidR="008F485B">
        <w:rPr>
          <w:szCs w:val="24"/>
        </w:rPr>
        <w:t>, it</w:t>
      </w:r>
      <w:r w:rsidR="001C5737" w:rsidRPr="009C0960">
        <w:rPr>
          <w:szCs w:val="24"/>
        </w:rPr>
        <w:t xml:space="preserve"> could have quickly assisted the accused leading to an earlier release.  Society is getting advanced and sophisticated at a fast pace.  For Investigating Officers to continue relying on the indications </w:t>
      </w:r>
      <w:r w:rsidR="009C0960" w:rsidRPr="009C0960">
        <w:rPr>
          <w:szCs w:val="24"/>
        </w:rPr>
        <w:t>t</w:t>
      </w:r>
      <w:r w:rsidR="001C5737" w:rsidRPr="009C0960">
        <w:rPr>
          <w:szCs w:val="24"/>
        </w:rPr>
        <w:t xml:space="preserve">hat an accused is admitting an offence or that certain </w:t>
      </w:r>
      <w:r w:rsidR="008F485B">
        <w:rPr>
          <w:szCs w:val="24"/>
        </w:rPr>
        <w:t>witnesses</w:t>
      </w:r>
      <w:r w:rsidR="001C5737" w:rsidRPr="009C0960">
        <w:rPr>
          <w:szCs w:val="24"/>
        </w:rPr>
        <w:t xml:space="preserve"> would go to court and tell it orally that certain clothes held as exhibits inde</w:t>
      </w:r>
      <w:r w:rsidR="002A7049" w:rsidRPr="009C0960">
        <w:rPr>
          <w:szCs w:val="24"/>
        </w:rPr>
        <w:t>ed belong</w:t>
      </w:r>
      <w:r w:rsidR="009A2603">
        <w:rPr>
          <w:szCs w:val="24"/>
        </w:rPr>
        <w:t>ed</w:t>
      </w:r>
      <w:r w:rsidR="002A7049" w:rsidRPr="009C0960">
        <w:rPr>
          <w:szCs w:val="24"/>
        </w:rPr>
        <w:t xml:space="preserve"> to the deceased with nothing more to it is jus</w:t>
      </w:r>
      <w:r w:rsidR="009C0960" w:rsidRPr="009C0960">
        <w:rPr>
          <w:szCs w:val="24"/>
        </w:rPr>
        <w:t>t but su</w:t>
      </w:r>
      <w:r w:rsidR="008F485B">
        <w:rPr>
          <w:szCs w:val="24"/>
        </w:rPr>
        <w:t>icidal</w:t>
      </w:r>
      <w:r w:rsidR="002A7049" w:rsidRPr="009C0960">
        <w:rPr>
          <w:szCs w:val="24"/>
        </w:rPr>
        <w:t xml:space="preserve">.  Those should by now be considered as   </w:t>
      </w:r>
      <w:r w:rsidR="008F485B">
        <w:rPr>
          <w:szCs w:val="24"/>
        </w:rPr>
        <w:t>lame</w:t>
      </w:r>
      <w:r w:rsidR="00946520" w:rsidRPr="009C0960">
        <w:rPr>
          <w:szCs w:val="24"/>
        </w:rPr>
        <w:t xml:space="preserve"> and archaic investigative skills.</w:t>
      </w:r>
    </w:p>
    <w:p w:rsidR="00AC0F0E" w:rsidRPr="009C0960" w:rsidRDefault="00AC0F0E" w:rsidP="009C0960">
      <w:pPr>
        <w:jc w:val="both"/>
        <w:rPr>
          <w:szCs w:val="24"/>
        </w:rPr>
      </w:pPr>
      <w:r>
        <w:rPr>
          <w:szCs w:val="24"/>
        </w:rPr>
        <w:tab/>
        <w:t xml:space="preserve">As it stand in this case, the Investigating Officer and other state witnesses hardly recall the now missing blood stained </w:t>
      </w:r>
      <w:r w:rsidR="009A2603">
        <w:rPr>
          <w:szCs w:val="24"/>
        </w:rPr>
        <w:t xml:space="preserve">jacket </w:t>
      </w:r>
      <w:r>
        <w:rPr>
          <w:szCs w:val="24"/>
        </w:rPr>
        <w:t>and did not even see the blood stained tennis shoes or the cap.</w:t>
      </w:r>
    </w:p>
    <w:p w:rsidR="00946520" w:rsidRPr="009C0960" w:rsidRDefault="00946520" w:rsidP="009C0960">
      <w:pPr>
        <w:jc w:val="both"/>
        <w:rPr>
          <w:szCs w:val="24"/>
        </w:rPr>
      </w:pPr>
      <w:r w:rsidRPr="009C0960">
        <w:rPr>
          <w:szCs w:val="24"/>
        </w:rPr>
        <w:tab/>
        <w:t>As for the identity of the suspects, it is not ev</w:t>
      </w:r>
      <w:r w:rsidR="008F485B">
        <w:rPr>
          <w:szCs w:val="24"/>
        </w:rPr>
        <w:t>en clear how many were con</w:t>
      </w:r>
      <w:r w:rsidR="009A2603">
        <w:rPr>
          <w:szCs w:val="24"/>
        </w:rPr>
        <w:t>ne</w:t>
      </w:r>
      <w:r w:rsidR="008F485B">
        <w:rPr>
          <w:szCs w:val="24"/>
        </w:rPr>
        <w:t>cted</w:t>
      </w:r>
      <w:r w:rsidRPr="009C0960">
        <w:rPr>
          <w:szCs w:val="24"/>
        </w:rPr>
        <w:t xml:space="preserve"> to the Makokoba murder</w:t>
      </w:r>
      <w:r w:rsidR="00AC0F0E">
        <w:rPr>
          <w:szCs w:val="24"/>
        </w:rPr>
        <w:t xml:space="preserve"> at the time of arrest</w:t>
      </w:r>
      <w:r w:rsidRPr="009C0960">
        <w:rPr>
          <w:szCs w:val="24"/>
        </w:rPr>
        <w:t>.   Even the clever</w:t>
      </w:r>
      <w:r w:rsidR="009A2603">
        <w:rPr>
          <w:szCs w:val="24"/>
        </w:rPr>
        <w:t>est</w:t>
      </w:r>
      <w:r w:rsidRPr="009C0960">
        <w:rPr>
          <w:szCs w:val="24"/>
        </w:rPr>
        <w:t xml:space="preserve"> of the state witnesses, Evans Tshuma, said he never mentioned any name </w:t>
      </w:r>
      <w:r w:rsidR="009A2603">
        <w:rPr>
          <w:szCs w:val="24"/>
        </w:rPr>
        <w:t>of</w:t>
      </w:r>
      <w:r w:rsidRPr="009C0960">
        <w:rPr>
          <w:szCs w:val="24"/>
        </w:rPr>
        <w:t xml:space="preserve"> any suspect at the time of the recording of his statement by the police.  He could only assume that the police inserted the names themselves because he knew no one.  In fact after being shown that the statement he admitted making and signing</w:t>
      </w:r>
      <w:r w:rsidR="00AC0F0E">
        <w:rPr>
          <w:szCs w:val="24"/>
        </w:rPr>
        <w:t>,</w:t>
      </w:r>
      <w:r w:rsidRPr="009C0960">
        <w:rPr>
          <w:szCs w:val="24"/>
        </w:rPr>
        <w:t xml:space="preserve"> and wh</w:t>
      </w:r>
      <w:r w:rsidR="00AC0F0E">
        <w:rPr>
          <w:szCs w:val="24"/>
        </w:rPr>
        <w:t>ich</w:t>
      </w:r>
      <w:r w:rsidRPr="009C0960">
        <w:rPr>
          <w:szCs w:val="24"/>
        </w:rPr>
        <w:t xml:space="preserve"> he adhered to in court, revealed that the people he spoke to were in fact </w:t>
      </w:r>
      <w:r w:rsidRPr="009C0960">
        <w:rPr>
          <w:szCs w:val="24"/>
        </w:rPr>
        <w:lastRenderedPageBreak/>
        <w:t xml:space="preserve">accused 1 and 2, not accused 4 as he stated in court, he came clean and said he therefore was not sure and could not remember </w:t>
      </w:r>
      <w:r w:rsidR="00AC0F0E">
        <w:rPr>
          <w:szCs w:val="24"/>
        </w:rPr>
        <w:t>“who wa</w:t>
      </w:r>
      <w:r w:rsidRPr="009C0960">
        <w:rPr>
          <w:szCs w:val="24"/>
        </w:rPr>
        <w:t>s who</w:t>
      </w:r>
      <w:r w:rsidR="00AC0F0E">
        <w:rPr>
          <w:szCs w:val="24"/>
        </w:rPr>
        <w:t>?”</w:t>
      </w:r>
    </w:p>
    <w:p w:rsidR="00946520" w:rsidRPr="009C0960" w:rsidRDefault="00946520" w:rsidP="009C0960">
      <w:pPr>
        <w:jc w:val="both"/>
        <w:rPr>
          <w:szCs w:val="24"/>
        </w:rPr>
      </w:pPr>
      <w:r w:rsidRPr="009C0960">
        <w:rPr>
          <w:szCs w:val="24"/>
        </w:rPr>
        <w:tab/>
        <w:t>As for the rest of the state witness</w:t>
      </w:r>
      <w:r w:rsidR="009A2603">
        <w:rPr>
          <w:szCs w:val="24"/>
        </w:rPr>
        <w:t>es</w:t>
      </w:r>
      <w:r w:rsidRPr="009C0960">
        <w:rPr>
          <w:szCs w:val="24"/>
        </w:rPr>
        <w:t xml:space="preserve"> they were emphatic that they could not </w:t>
      </w:r>
      <w:r w:rsidR="00C22532">
        <w:rPr>
          <w:szCs w:val="24"/>
        </w:rPr>
        <w:t>match</w:t>
      </w:r>
      <w:r w:rsidR="00F640D2" w:rsidRPr="009C0960">
        <w:rPr>
          <w:szCs w:val="24"/>
        </w:rPr>
        <w:t xml:space="preserve"> the </w:t>
      </w:r>
      <w:r w:rsidR="00C22532">
        <w:rPr>
          <w:szCs w:val="24"/>
        </w:rPr>
        <w:t>names</w:t>
      </w:r>
      <w:r w:rsidR="00F640D2" w:rsidRPr="009C0960">
        <w:rPr>
          <w:szCs w:val="24"/>
        </w:rPr>
        <w:t xml:space="preserve"> and </w:t>
      </w:r>
      <w:r w:rsidR="00C22532">
        <w:rPr>
          <w:szCs w:val="24"/>
        </w:rPr>
        <w:t xml:space="preserve">the </w:t>
      </w:r>
      <w:r w:rsidR="00F640D2" w:rsidRPr="009C0960">
        <w:rPr>
          <w:szCs w:val="24"/>
        </w:rPr>
        <w:t>bodies of the accused, neither could they identify them now as they s</w:t>
      </w:r>
      <w:r w:rsidR="00C22532">
        <w:rPr>
          <w:szCs w:val="24"/>
        </w:rPr>
        <w:t>tand</w:t>
      </w:r>
      <w:r w:rsidR="00F640D2" w:rsidRPr="009C0960">
        <w:rPr>
          <w:szCs w:val="24"/>
        </w:rPr>
        <w:t xml:space="preserve"> in the dock.</w:t>
      </w:r>
    </w:p>
    <w:p w:rsidR="00F640D2" w:rsidRPr="009C0960" w:rsidRDefault="00F640D2" w:rsidP="009C0960">
      <w:pPr>
        <w:jc w:val="both"/>
        <w:rPr>
          <w:szCs w:val="24"/>
        </w:rPr>
      </w:pPr>
      <w:r w:rsidRPr="009C0960">
        <w:rPr>
          <w:szCs w:val="24"/>
        </w:rPr>
        <w:tab/>
        <w:t>This was a clear case again</w:t>
      </w:r>
      <w:r w:rsidR="00C22532">
        <w:rPr>
          <w:szCs w:val="24"/>
        </w:rPr>
        <w:t>,</w:t>
      </w:r>
      <w:r w:rsidRPr="009C0960">
        <w:rPr>
          <w:szCs w:val="24"/>
        </w:rPr>
        <w:t xml:space="preserve"> wh</w:t>
      </w:r>
      <w:r w:rsidR="00C22532">
        <w:rPr>
          <w:szCs w:val="24"/>
        </w:rPr>
        <w:t>ere</w:t>
      </w:r>
      <w:r w:rsidRPr="009C0960">
        <w:rPr>
          <w:szCs w:val="24"/>
        </w:rPr>
        <w:t xml:space="preserve"> an identification parade was required at the time.  The procedure and requirements of an identification parade have been repeatedly outline</w:t>
      </w:r>
      <w:r w:rsidR="00C22532">
        <w:rPr>
          <w:szCs w:val="24"/>
        </w:rPr>
        <w:t>d</w:t>
      </w:r>
      <w:r w:rsidRPr="009C0960">
        <w:rPr>
          <w:szCs w:val="24"/>
        </w:rPr>
        <w:t xml:space="preserve"> in case authorities for time immemorial.  It is procedure very crucial in some cases, and yet so simple that any diligent investigator can easily follow even from a reading of decided cases.  Surprisingly, and regrettably many investigating officers avoid it and </w:t>
      </w:r>
      <w:r w:rsidR="00C22532">
        <w:rPr>
          <w:szCs w:val="24"/>
        </w:rPr>
        <w:t>c</w:t>
      </w:r>
      <w:r w:rsidRPr="009C0960">
        <w:rPr>
          <w:szCs w:val="24"/>
        </w:rPr>
        <w:t>rip</w:t>
      </w:r>
      <w:r w:rsidR="009C0960" w:rsidRPr="009C0960">
        <w:rPr>
          <w:szCs w:val="24"/>
        </w:rPr>
        <w:t>p</w:t>
      </w:r>
      <w:r w:rsidRPr="009C0960">
        <w:rPr>
          <w:szCs w:val="24"/>
        </w:rPr>
        <w:t>le their cases in the process.  It was clear that the witnesses</w:t>
      </w:r>
      <w:r w:rsidR="00C22532">
        <w:rPr>
          <w:szCs w:val="24"/>
        </w:rPr>
        <w:t>,</w:t>
      </w:r>
      <w:r w:rsidRPr="009C0960">
        <w:rPr>
          <w:szCs w:val="24"/>
        </w:rPr>
        <w:t xml:space="preserve"> including Tshuma</w:t>
      </w:r>
      <w:r w:rsidR="00C22532">
        <w:rPr>
          <w:szCs w:val="24"/>
        </w:rPr>
        <w:t>,</w:t>
      </w:r>
      <w:r w:rsidRPr="009C0960">
        <w:rPr>
          <w:szCs w:val="24"/>
        </w:rPr>
        <w:t xml:space="preserve"> never knew the accused in person or by names at the time of their respective arrests and at th</w:t>
      </w:r>
      <w:r w:rsidR="009C0960" w:rsidRPr="009C0960">
        <w:rPr>
          <w:szCs w:val="24"/>
        </w:rPr>
        <w:t>e time statement</w:t>
      </w:r>
      <w:r w:rsidR="00C22532">
        <w:rPr>
          <w:szCs w:val="24"/>
        </w:rPr>
        <w:t>s</w:t>
      </w:r>
      <w:r w:rsidR="009C0960" w:rsidRPr="009C0960">
        <w:rPr>
          <w:szCs w:val="24"/>
        </w:rPr>
        <w:t xml:space="preserve"> were </w:t>
      </w:r>
      <w:r w:rsidRPr="009C0960">
        <w:rPr>
          <w:szCs w:val="24"/>
        </w:rPr>
        <w:t>recorded.</w:t>
      </w:r>
    </w:p>
    <w:p w:rsidR="00F640D2" w:rsidRPr="009C0960" w:rsidRDefault="00F640D2" w:rsidP="009C0960">
      <w:pPr>
        <w:jc w:val="both"/>
        <w:rPr>
          <w:szCs w:val="24"/>
        </w:rPr>
      </w:pPr>
      <w:r w:rsidRPr="009C0960">
        <w:rPr>
          <w:szCs w:val="24"/>
        </w:rPr>
        <w:tab/>
        <w:t xml:space="preserve">I am satisfied that this is one case where the state case was nowhere near a </w:t>
      </w:r>
      <w:r w:rsidRPr="009C0960">
        <w:rPr>
          <w:i/>
          <w:szCs w:val="24"/>
        </w:rPr>
        <w:t>prima facie</w:t>
      </w:r>
      <w:r w:rsidRPr="009C0960">
        <w:rPr>
          <w:szCs w:val="24"/>
        </w:rPr>
        <w:t xml:space="preserve"> case.  I am satisfied</w:t>
      </w:r>
      <w:r w:rsidR="00BB1DDE" w:rsidRPr="009C0960">
        <w:rPr>
          <w:szCs w:val="24"/>
        </w:rPr>
        <w:t xml:space="preserve"> also that though usually slow to discharge the accused at the closure of the state case</w:t>
      </w:r>
      <w:r w:rsidR="003F4C20">
        <w:rPr>
          <w:szCs w:val="24"/>
        </w:rPr>
        <w:t>,</w:t>
      </w:r>
      <w:r w:rsidR="00BB1DDE" w:rsidRPr="009C0960">
        <w:rPr>
          <w:szCs w:val="24"/>
        </w:rPr>
        <w:t xml:space="preserve"> </w:t>
      </w:r>
      <w:r w:rsidR="003F4C20">
        <w:rPr>
          <w:szCs w:val="24"/>
        </w:rPr>
        <w:t>t</w:t>
      </w:r>
      <w:r w:rsidR="00BB1DDE" w:rsidRPr="009C0960">
        <w:rPr>
          <w:szCs w:val="24"/>
        </w:rPr>
        <w:t>he court at the same</w:t>
      </w:r>
      <w:r w:rsidR="009C0960" w:rsidRPr="009C0960">
        <w:rPr>
          <w:szCs w:val="24"/>
        </w:rPr>
        <w:t xml:space="preserve"> </w:t>
      </w:r>
      <w:r w:rsidR="00BB1DDE" w:rsidRPr="009C0960">
        <w:rPr>
          <w:szCs w:val="24"/>
        </w:rPr>
        <w:t>time has a legal duty to avoid a possible gross miscarriage of justice and serious prejudice to the rights of the same accused.</w:t>
      </w:r>
    </w:p>
    <w:p w:rsidR="00BB1DDE" w:rsidRPr="009C0960" w:rsidRDefault="00BB1DDE" w:rsidP="009C0960">
      <w:pPr>
        <w:jc w:val="both"/>
        <w:rPr>
          <w:szCs w:val="24"/>
        </w:rPr>
      </w:pPr>
      <w:r w:rsidRPr="009C0960">
        <w:rPr>
          <w:szCs w:val="24"/>
        </w:rPr>
        <w:tab/>
        <w:t>Accordingly, and as conceded even by the state, all 3 accused persons are found not guilty and discharged at the close of the state case.</w:t>
      </w:r>
    </w:p>
    <w:p w:rsidR="00BB1DDE" w:rsidRPr="009C0960" w:rsidRDefault="00BB1DDE" w:rsidP="009C0960">
      <w:pPr>
        <w:jc w:val="both"/>
        <w:rPr>
          <w:szCs w:val="24"/>
        </w:rPr>
      </w:pPr>
    </w:p>
    <w:p w:rsidR="009A2603" w:rsidRDefault="009A2603" w:rsidP="009C0960">
      <w:pPr>
        <w:pStyle w:val="NoSpacing"/>
        <w:jc w:val="both"/>
        <w:rPr>
          <w:i/>
          <w:szCs w:val="24"/>
        </w:rPr>
      </w:pPr>
    </w:p>
    <w:p w:rsidR="009A2603" w:rsidRDefault="009A2603" w:rsidP="009C0960">
      <w:pPr>
        <w:pStyle w:val="NoSpacing"/>
        <w:jc w:val="both"/>
        <w:rPr>
          <w:i/>
          <w:szCs w:val="24"/>
        </w:rPr>
      </w:pPr>
    </w:p>
    <w:p w:rsidR="009A2603" w:rsidRDefault="009A2603" w:rsidP="009C0960">
      <w:pPr>
        <w:pStyle w:val="NoSpacing"/>
        <w:jc w:val="both"/>
        <w:rPr>
          <w:i/>
          <w:szCs w:val="24"/>
        </w:rPr>
      </w:pPr>
    </w:p>
    <w:p w:rsidR="00BB1DDE" w:rsidRPr="009C0960" w:rsidRDefault="00BB1DDE" w:rsidP="009C0960">
      <w:pPr>
        <w:pStyle w:val="NoSpacing"/>
        <w:jc w:val="both"/>
        <w:rPr>
          <w:szCs w:val="24"/>
        </w:rPr>
      </w:pPr>
      <w:r w:rsidRPr="009C0960">
        <w:rPr>
          <w:i/>
          <w:szCs w:val="24"/>
        </w:rPr>
        <w:t>National Prosecuting Authority</w:t>
      </w:r>
      <w:r w:rsidRPr="009C0960">
        <w:rPr>
          <w:szCs w:val="24"/>
        </w:rPr>
        <w:t>, state’s legal practitioners</w:t>
      </w:r>
    </w:p>
    <w:p w:rsidR="00BB1DDE" w:rsidRPr="009C0960" w:rsidRDefault="00BB1DDE" w:rsidP="009C0960">
      <w:pPr>
        <w:pStyle w:val="NoSpacing"/>
        <w:jc w:val="both"/>
        <w:rPr>
          <w:szCs w:val="24"/>
        </w:rPr>
      </w:pPr>
      <w:r w:rsidRPr="009C0960">
        <w:rPr>
          <w:i/>
          <w:szCs w:val="24"/>
        </w:rPr>
        <w:t>Ndove &amp; Associates</w:t>
      </w:r>
      <w:r w:rsidRPr="009C0960">
        <w:rPr>
          <w:szCs w:val="24"/>
        </w:rPr>
        <w:t>, 1</w:t>
      </w:r>
      <w:r w:rsidRPr="009C0960">
        <w:rPr>
          <w:szCs w:val="24"/>
          <w:vertAlign w:val="superscript"/>
        </w:rPr>
        <w:t>st</w:t>
      </w:r>
      <w:r w:rsidRPr="009C0960">
        <w:rPr>
          <w:szCs w:val="24"/>
        </w:rPr>
        <w:t xml:space="preserve"> accused’s legal practitioners</w:t>
      </w:r>
    </w:p>
    <w:p w:rsidR="00BB1DDE" w:rsidRPr="009C0960" w:rsidRDefault="00BB1DDE" w:rsidP="009C0960">
      <w:pPr>
        <w:pStyle w:val="NoSpacing"/>
        <w:jc w:val="both"/>
        <w:rPr>
          <w:szCs w:val="24"/>
        </w:rPr>
      </w:pPr>
      <w:r w:rsidRPr="009C0960">
        <w:rPr>
          <w:i/>
          <w:szCs w:val="24"/>
        </w:rPr>
        <w:t>Majoko &amp; Majoko</w:t>
      </w:r>
      <w:r w:rsidRPr="009C0960">
        <w:rPr>
          <w:szCs w:val="24"/>
        </w:rPr>
        <w:t>, 2</w:t>
      </w:r>
      <w:r w:rsidRPr="009C0960">
        <w:rPr>
          <w:szCs w:val="24"/>
          <w:vertAlign w:val="superscript"/>
        </w:rPr>
        <w:t>nd</w:t>
      </w:r>
      <w:r w:rsidRPr="009C0960">
        <w:rPr>
          <w:szCs w:val="24"/>
        </w:rPr>
        <w:t xml:space="preserve"> accused’s legal practitioners</w:t>
      </w:r>
    </w:p>
    <w:p w:rsidR="00C4499C" w:rsidRPr="009C0960" w:rsidRDefault="0082689E" w:rsidP="009C0960">
      <w:pPr>
        <w:pStyle w:val="NoSpacing"/>
        <w:jc w:val="both"/>
        <w:rPr>
          <w:b/>
          <w:szCs w:val="24"/>
        </w:rPr>
      </w:pPr>
      <w:r w:rsidRPr="009C0960">
        <w:rPr>
          <w:i/>
          <w:szCs w:val="24"/>
        </w:rPr>
        <w:t>Joel Pincus Konsson &amp; Wolhuter</w:t>
      </w:r>
      <w:r w:rsidRPr="009C0960">
        <w:rPr>
          <w:szCs w:val="24"/>
        </w:rPr>
        <w:t>, 4</w:t>
      </w:r>
      <w:r w:rsidRPr="009C0960">
        <w:rPr>
          <w:szCs w:val="24"/>
          <w:vertAlign w:val="superscript"/>
        </w:rPr>
        <w:t>th</w:t>
      </w:r>
      <w:r w:rsidRPr="009C0960">
        <w:rPr>
          <w:szCs w:val="24"/>
        </w:rPr>
        <w:t xml:space="preserve"> accused’s legal practitioners</w:t>
      </w:r>
    </w:p>
    <w:sectPr w:rsidR="00C4499C" w:rsidRPr="009C0960"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1E7" w:rsidRDefault="00BB71E7" w:rsidP="00A6007C">
      <w:pPr>
        <w:spacing w:before="0" w:after="0" w:line="240" w:lineRule="auto"/>
      </w:pPr>
      <w:r>
        <w:separator/>
      </w:r>
    </w:p>
  </w:endnote>
  <w:endnote w:type="continuationSeparator" w:id="1">
    <w:p w:rsidR="00BB71E7" w:rsidRDefault="00BB71E7" w:rsidP="00A6007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1E7" w:rsidRDefault="00BB71E7" w:rsidP="00A6007C">
      <w:pPr>
        <w:spacing w:before="0" w:after="0" w:line="240" w:lineRule="auto"/>
      </w:pPr>
      <w:r>
        <w:separator/>
      </w:r>
    </w:p>
  </w:footnote>
  <w:footnote w:type="continuationSeparator" w:id="1">
    <w:p w:rsidR="00BB71E7" w:rsidRDefault="00BB71E7" w:rsidP="00A6007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7664"/>
      <w:docPartObj>
        <w:docPartGallery w:val="Page Numbers (Top of Page)"/>
        <w:docPartUnique/>
      </w:docPartObj>
    </w:sdtPr>
    <w:sdtContent>
      <w:p w:rsidR="00A6007C" w:rsidRDefault="00683F36">
        <w:pPr>
          <w:pStyle w:val="Header"/>
          <w:jc w:val="right"/>
        </w:pPr>
        <w:fldSimple w:instr=" PAGE   \* MERGEFORMAT ">
          <w:r w:rsidR="009A2603">
            <w:rPr>
              <w:noProof/>
            </w:rPr>
            <w:t>9</w:t>
          </w:r>
        </w:fldSimple>
      </w:p>
      <w:p w:rsidR="00A6007C" w:rsidRDefault="00A6007C" w:rsidP="00A6007C">
        <w:pPr>
          <w:pStyle w:val="NoSpacing"/>
          <w:ind w:left="7200" w:firstLine="720"/>
        </w:pPr>
        <w:r>
          <w:t xml:space="preserve">     HB 175/19</w:t>
        </w:r>
      </w:p>
      <w:p w:rsidR="00A6007C" w:rsidRDefault="00A6007C" w:rsidP="00A6007C">
        <w:pPr>
          <w:pStyle w:val="NoSpacing"/>
          <w:ind w:left="7200"/>
        </w:pPr>
        <w:r>
          <w:t xml:space="preserve">        HC (CRB) 16/18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99C"/>
    <w:rsid w:val="00042587"/>
    <w:rsid w:val="000F7F0C"/>
    <w:rsid w:val="001C39A6"/>
    <w:rsid w:val="001C5737"/>
    <w:rsid w:val="001D126B"/>
    <w:rsid w:val="001F511E"/>
    <w:rsid w:val="002564CA"/>
    <w:rsid w:val="00295F1B"/>
    <w:rsid w:val="002A7049"/>
    <w:rsid w:val="002C7F8A"/>
    <w:rsid w:val="00384F2E"/>
    <w:rsid w:val="003A3365"/>
    <w:rsid w:val="003C5B32"/>
    <w:rsid w:val="003E5BAA"/>
    <w:rsid w:val="003F2F80"/>
    <w:rsid w:val="003F4C20"/>
    <w:rsid w:val="004517E9"/>
    <w:rsid w:val="00454D91"/>
    <w:rsid w:val="004675CC"/>
    <w:rsid w:val="00477B02"/>
    <w:rsid w:val="00514FF1"/>
    <w:rsid w:val="0054317D"/>
    <w:rsid w:val="00562742"/>
    <w:rsid w:val="005973B1"/>
    <w:rsid w:val="005A7D77"/>
    <w:rsid w:val="00680046"/>
    <w:rsid w:val="00683F36"/>
    <w:rsid w:val="0068662E"/>
    <w:rsid w:val="006A03C9"/>
    <w:rsid w:val="006A4E5E"/>
    <w:rsid w:val="006D039E"/>
    <w:rsid w:val="006E580E"/>
    <w:rsid w:val="00701C30"/>
    <w:rsid w:val="007111AD"/>
    <w:rsid w:val="007239B3"/>
    <w:rsid w:val="007B0C04"/>
    <w:rsid w:val="007B49A6"/>
    <w:rsid w:val="007D0B26"/>
    <w:rsid w:val="007D0E19"/>
    <w:rsid w:val="007D2790"/>
    <w:rsid w:val="007D3147"/>
    <w:rsid w:val="0082689E"/>
    <w:rsid w:val="00867C44"/>
    <w:rsid w:val="008A7672"/>
    <w:rsid w:val="008C3209"/>
    <w:rsid w:val="008C51E3"/>
    <w:rsid w:val="008F485B"/>
    <w:rsid w:val="00946520"/>
    <w:rsid w:val="009910DC"/>
    <w:rsid w:val="009A2603"/>
    <w:rsid w:val="009B33A8"/>
    <w:rsid w:val="009C0960"/>
    <w:rsid w:val="009E5C1A"/>
    <w:rsid w:val="00A50BC8"/>
    <w:rsid w:val="00A6007C"/>
    <w:rsid w:val="00AB2FFE"/>
    <w:rsid w:val="00AB5081"/>
    <w:rsid w:val="00AC0F0E"/>
    <w:rsid w:val="00AF5109"/>
    <w:rsid w:val="00B66499"/>
    <w:rsid w:val="00BB1DDE"/>
    <w:rsid w:val="00BB71E7"/>
    <w:rsid w:val="00BF34E6"/>
    <w:rsid w:val="00C06A99"/>
    <w:rsid w:val="00C22532"/>
    <w:rsid w:val="00C26057"/>
    <w:rsid w:val="00C42B6A"/>
    <w:rsid w:val="00C4499C"/>
    <w:rsid w:val="00C51D1E"/>
    <w:rsid w:val="00C61900"/>
    <w:rsid w:val="00C82B0F"/>
    <w:rsid w:val="00CB1F41"/>
    <w:rsid w:val="00D20B4C"/>
    <w:rsid w:val="00D94864"/>
    <w:rsid w:val="00E070BB"/>
    <w:rsid w:val="00E10C27"/>
    <w:rsid w:val="00E73924"/>
    <w:rsid w:val="00ED14C5"/>
    <w:rsid w:val="00F16298"/>
    <w:rsid w:val="00F64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6007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007C"/>
    <w:rPr>
      <w:rFonts w:ascii="Times New Roman" w:hAnsi="Times New Roman"/>
      <w:sz w:val="24"/>
    </w:rPr>
  </w:style>
  <w:style w:type="paragraph" w:styleId="Footer">
    <w:name w:val="footer"/>
    <w:basedOn w:val="Normal"/>
    <w:link w:val="FooterChar"/>
    <w:uiPriority w:val="99"/>
    <w:semiHidden/>
    <w:unhideWhenUsed/>
    <w:rsid w:val="00A6007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6007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sabawu</cp:lastModifiedBy>
  <cp:revision>29</cp:revision>
  <cp:lastPrinted>2019-12-05T12:41:00Z</cp:lastPrinted>
  <dcterms:created xsi:type="dcterms:W3CDTF">2019-11-11T06:58:00Z</dcterms:created>
  <dcterms:modified xsi:type="dcterms:W3CDTF">2019-12-05T12:51:00Z</dcterms:modified>
</cp:coreProperties>
</file>