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1B063" w14:textId="051A0206" w:rsidR="008924E1" w:rsidRDefault="008924E1" w:rsidP="008924E1">
      <w:pPr>
        <w:rPr>
          <w:rFonts w:ascii="Times New Roman" w:hAnsi="Times New Roman" w:cs="Times New Roman"/>
          <w:sz w:val="24"/>
          <w:szCs w:val="24"/>
        </w:rPr>
      </w:pPr>
      <w:r>
        <w:rPr>
          <w:rFonts w:ascii="Times New Roman" w:hAnsi="Times New Roman" w:cs="Times New Roman"/>
          <w:sz w:val="24"/>
          <w:szCs w:val="24"/>
        </w:rPr>
        <w:t xml:space="preserve">THE STATE </w:t>
      </w:r>
      <w:r>
        <w:rPr>
          <w:rFonts w:ascii="Times New Roman" w:hAnsi="Times New Roman" w:cs="Times New Roman"/>
          <w:sz w:val="24"/>
          <w:szCs w:val="24"/>
        </w:rPr>
        <w:br/>
        <w:t>versus</w:t>
      </w:r>
      <w:r>
        <w:rPr>
          <w:rFonts w:ascii="Times New Roman" w:hAnsi="Times New Roman" w:cs="Times New Roman"/>
          <w:sz w:val="24"/>
          <w:szCs w:val="24"/>
        </w:rPr>
        <w:br/>
        <w:t>MALVIN GANDUKA</w:t>
      </w:r>
    </w:p>
    <w:p w14:paraId="297B05A2" w14:textId="44672517" w:rsidR="008924E1" w:rsidRDefault="008924E1" w:rsidP="008924E1">
      <w:pPr>
        <w:rPr>
          <w:rFonts w:ascii="Times New Roman" w:hAnsi="Times New Roman" w:cs="Times New Roman"/>
          <w:sz w:val="24"/>
          <w:szCs w:val="24"/>
        </w:rPr>
      </w:pPr>
      <w:r>
        <w:rPr>
          <w:rFonts w:ascii="Times New Roman" w:hAnsi="Times New Roman" w:cs="Times New Roman"/>
          <w:sz w:val="24"/>
          <w:szCs w:val="24"/>
        </w:rPr>
        <w:t>HIGH COURT OF ZIMBABWE</w:t>
      </w:r>
      <w:r>
        <w:rPr>
          <w:rFonts w:ascii="Times New Roman" w:hAnsi="Times New Roman" w:cs="Times New Roman"/>
          <w:sz w:val="24"/>
          <w:szCs w:val="24"/>
        </w:rPr>
        <w:br/>
        <w:t>BACH MZAWAZI J</w:t>
      </w:r>
      <w:r>
        <w:rPr>
          <w:rFonts w:ascii="Times New Roman" w:hAnsi="Times New Roman" w:cs="Times New Roman"/>
          <w:sz w:val="24"/>
          <w:szCs w:val="24"/>
        </w:rPr>
        <w:br/>
        <w:t>Chinhoyi, 30 September 2025</w:t>
      </w:r>
    </w:p>
    <w:p w14:paraId="532766BB" w14:textId="24DEDB7D" w:rsidR="008924E1" w:rsidRDefault="008924E1" w:rsidP="008924E1">
      <w:pPr>
        <w:rPr>
          <w:rFonts w:ascii="Times New Roman" w:hAnsi="Times New Roman" w:cs="Times New Roman"/>
          <w:b/>
          <w:bCs/>
          <w:sz w:val="24"/>
          <w:szCs w:val="24"/>
        </w:rPr>
      </w:pPr>
      <w:r w:rsidRPr="008924E1">
        <w:rPr>
          <w:rFonts w:ascii="Times New Roman" w:hAnsi="Times New Roman" w:cs="Times New Roman"/>
          <w:b/>
          <w:bCs/>
          <w:sz w:val="24"/>
          <w:szCs w:val="24"/>
        </w:rPr>
        <w:t>Criminal Review</w:t>
      </w:r>
    </w:p>
    <w:p w14:paraId="4B09D253" w14:textId="77777777" w:rsidR="005129BC" w:rsidRPr="006059EE" w:rsidRDefault="008924E1" w:rsidP="005129BC">
      <w:pPr>
        <w:spacing w:line="360" w:lineRule="auto"/>
        <w:rPr>
          <w:rFonts w:ascii="Times New Roman" w:hAnsi="Times New Roman" w:cs="Times New Roman"/>
          <w:b/>
          <w:bCs/>
          <w:sz w:val="24"/>
          <w:szCs w:val="24"/>
        </w:rPr>
      </w:pPr>
      <w:r w:rsidRPr="006059EE">
        <w:rPr>
          <w:rFonts w:ascii="Times New Roman" w:hAnsi="Times New Roman" w:cs="Times New Roman"/>
          <w:b/>
          <w:bCs/>
          <w:sz w:val="24"/>
          <w:szCs w:val="24"/>
        </w:rPr>
        <w:t xml:space="preserve">BACHI MZAWAZI J: </w:t>
      </w:r>
    </w:p>
    <w:p w14:paraId="586D20C5" w14:textId="2FF69228" w:rsidR="005129BC" w:rsidRPr="005129BC" w:rsidRDefault="00D52FF5" w:rsidP="005129BC">
      <w:p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Introduction</w:t>
      </w:r>
      <w:r w:rsidR="006F1DD4" w:rsidRPr="006F1DD4">
        <w:rPr>
          <w:rFonts w:ascii="Times New Roman" w:hAnsi="Times New Roman" w:cs="Times New Roman"/>
          <w:sz w:val="24"/>
          <w:szCs w:val="24"/>
        </w:rPr>
        <w:t xml:space="preserve"> </w:t>
      </w:r>
    </w:p>
    <w:p w14:paraId="7FB93D95" w14:textId="346B3163" w:rsidR="008924E1" w:rsidRDefault="004A1959" w:rsidP="005129BC">
      <w:pPr>
        <w:spacing w:line="360" w:lineRule="auto"/>
        <w:rPr>
          <w:rFonts w:ascii="Times New Roman" w:hAnsi="Times New Roman" w:cs="Times New Roman"/>
          <w:sz w:val="24"/>
          <w:szCs w:val="24"/>
        </w:rPr>
      </w:pPr>
      <w:r>
        <w:rPr>
          <w:rFonts w:ascii="Times New Roman" w:hAnsi="Times New Roman" w:cs="Times New Roman"/>
          <w:sz w:val="24"/>
          <w:szCs w:val="24"/>
        </w:rPr>
        <w:t>This is an automatic review matter. In</w:t>
      </w:r>
      <w:r w:rsidR="00037E33">
        <w:rPr>
          <w:rFonts w:ascii="Times New Roman" w:hAnsi="Times New Roman" w:cs="Times New Roman"/>
          <w:sz w:val="24"/>
          <w:szCs w:val="24"/>
        </w:rPr>
        <w:t xml:space="preserve"> a contested trial, the accused denied both the physical abuse and the malicious damage to property charges proffered against him. Nevertheless, he was convicted on two counts of contravening two different provisions of sections 3 as read with s 4 of the Domestic Violence Act, [Chapter 5:16]. Subsequently, he was sentenced</w:t>
      </w:r>
      <w:r w:rsidR="008924E1">
        <w:rPr>
          <w:rFonts w:ascii="Times New Roman" w:hAnsi="Times New Roman" w:cs="Times New Roman"/>
          <w:sz w:val="24"/>
          <w:szCs w:val="24"/>
        </w:rPr>
        <w:t xml:space="preserve"> to an effective 9 months </w:t>
      </w:r>
      <w:r w:rsidR="006F1DD4">
        <w:rPr>
          <w:rFonts w:ascii="Times New Roman" w:hAnsi="Times New Roman" w:cs="Times New Roman"/>
          <w:sz w:val="24"/>
          <w:szCs w:val="24"/>
        </w:rPr>
        <w:t>from a tota</w:t>
      </w:r>
      <w:r w:rsidR="008924E1">
        <w:rPr>
          <w:rFonts w:ascii="Times New Roman" w:hAnsi="Times New Roman" w:cs="Times New Roman"/>
          <w:sz w:val="24"/>
          <w:szCs w:val="24"/>
        </w:rPr>
        <w:t>l</w:t>
      </w:r>
      <w:r w:rsidR="006F1DD4">
        <w:rPr>
          <w:rFonts w:ascii="Times New Roman" w:hAnsi="Times New Roman" w:cs="Times New Roman"/>
          <w:sz w:val="24"/>
          <w:szCs w:val="24"/>
        </w:rPr>
        <w:t xml:space="preserve"> jail term of 12 months</w:t>
      </w:r>
      <w:r w:rsidR="00037E33">
        <w:rPr>
          <w:rFonts w:ascii="Times New Roman" w:hAnsi="Times New Roman" w:cs="Times New Roman"/>
          <w:sz w:val="24"/>
          <w:szCs w:val="24"/>
        </w:rPr>
        <w:t xml:space="preserve"> for the physical abuse offence. For the second count he was sentenced to a fine of USD150.00, in default of payment two months imprisonment.</w:t>
      </w:r>
    </w:p>
    <w:p w14:paraId="0274E091" w14:textId="5B86F333" w:rsidR="00925936" w:rsidRPr="00925936" w:rsidRDefault="00925936" w:rsidP="005129BC">
      <w:pPr>
        <w:spacing w:line="360" w:lineRule="auto"/>
        <w:rPr>
          <w:rFonts w:ascii="Times New Roman" w:hAnsi="Times New Roman" w:cs="Times New Roman"/>
          <w:sz w:val="24"/>
          <w:szCs w:val="24"/>
          <w:u w:val="single"/>
        </w:rPr>
      </w:pPr>
      <w:r w:rsidRPr="00925936">
        <w:rPr>
          <w:rFonts w:ascii="Times New Roman" w:hAnsi="Times New Roman" w:cs="Times New Roman"/>
          <w:sz w:val="24"/>
          <w:szCs w:val="24"/>
          <w:u w:val="single"/>
        </w:rPr>
        <w:t>Proceedings In the Trial Court</w:t>
      </w:r>
    </w:p>
    <w:p w14:paraId="0BCF1556" w14:textId="64E0C2A8" w:rsidR="00D33E54" w:rsidRDefault="00D33E54" w:rsidP="005129BC">
      <w:pPr>
        <w:spacing w:line="360" w:lineRule="auto"/>
        <w:rPr>
          <w:rFonts w:ascii="Times New Roman" w:hAnsi="Times New Roman" w:cs="Times New Roman"/>
          <w:sz w:val="24"/>
          <w:szCs w:val="24"/>
        </w:rPr>
      </w:pPr>
      <w:r w:rsidRPr="005129BC">
        <w:rPr>
          <w:rFonts w:ascii="Times New Roman" w:hAnsi="Times New Roman" w:cs="Times New Roman"/>
          <w:sz w:val="24"/>
          <w:szCs w:val="24"/>
          <w:u w:val="single"/>
        </w:rPr>
        <w:t>Background Facts</w:t>
      </w:r>
      <w:r>
        <w:rPr>
          <w:rFonts w:ascii="Times New Roman" w:hAnsi="Times New Roman" w:cs="Times New Roman"/>
          <w:sz w:val="24"/>
          <w:szCs w:val="24"/>
        </w:rPr>
        <w:br/>
        <w:t>The accused aged 24 and the complainant aged 19</w:t>
      </w:r>
      <w:r w:rsidR="00037E33">
        <w:rPr>
          <w:rFonts w:ascii="Times New Roman" w:hAnsi="Times New Roman" w:cs="Times New Roman"/>
          <w:sz w:val="24"/>
          <w:szCs w:val="24"/>
        </w:rPr>
        <w:t>,</w:t>
      </w:r>
      <w:r>
        <w:rPr>
          <w:rFonts w:ascii="Times New Roman" w:hAnsi="Times New Roman" w:cs="Times New Roman"/>
          <w:sz w:val="24"/>
          <w:szCs w:val="24"/>
        </w:rPr>
        <w:t xml:space="preserve"> are a customarily married couple as reflected on the record. The duration of their marital union was not established on the papers nor the existence of any offsprings from that relationship. What is evident is that, given the considerable household property they had accumulated against the background of their ages and surrounding circumstances they may have stayed together for a </w:t>
      </w:r>
      <w:r w:rsidR="00037E33">
        <w:rPr>
          <w:rFonts w:ascii="Times New Roman" w:hAnsi="Times New Roman" w:cs="Times New Roman"/>
          <w:sz w:val="24"/>
          <w:szCs w:val="24"/>
        </w:rPr>
        <w:t>substantial</w:t>
      </w:r>
      <w:r>
        <w:rPr>
          <w:rFonts w:ascii="Times New Roman" w:hAnsi="Times New Roman" w:cs="Times New Roman"/>
          <w:sz w:val="24"/>
          <w:szCs w:val="24"/>
        </w:rPr>
        <w:t xml:space="preserve"> period.  From the record of proceedings, their relationship showed that it was marred by trust and </w:t>
      </w:r>
      <w:r w:rsidR="004A1959">
        <w:rPr>
          <w:rFonts w:ascii="Times New Roman" w:hAnsi="Times New Roman" w:cs="Times New Roman"/>
          <w:sz w:val="24"/>
          <w:szCs w:val="24"/>
        </w:rPr>
        <w:t>dis</w:t>
      </w:r>
      <w:r>
        <w:rPr>
          <w:rFonts w:ascii="Times New Roman" w:hAnsi="Times New Roman" w:cs="Times New Roman"/>
          <w:sz w:val="24"/>
          <w:szCs w:val="24"/>
        </w:rPr>
        <w:t>honest</w:t>
      </w:r>
      <w:r w:rsidR="004A1959">
        <w:rPr>
          <w:rFonts w:ascii="Times New Roman" w:hAnsi="Times New Roman" w:cs="Times New Roman"/>
          <w:sz w:val="24"/>
          <w:szCs w:val="24"/>
        </w:rPr>
        <w:t>y</w:t>
      </w:r>
      <w:r>
        <w:rPr>
          <w:rFonts w:ascii="Times New Roman" w:hAnsi="Times New Roman" w:cs="Times New Roman"/>
          <w:sz w:val="24"/>
          <w:szCs w:val="24"/>
        </w:rPr>
        <w:t xml:space="preserve"> issues.</w:t>
      </w:r>
    </w:p>
    <w:p w14:paraId="30A3C54E" w14:textId="5E574217" w:rsidR="00D33E54" w:rsidRDefault="00D33E54" w:rsidP="005129BC">
      <w:pPr>
        <w:spacing w:line="360" w:lineRule="auto"/>
        <w:rPr>
          <w:rFonts w:ascii="Times New Roman" w:hAnsi="Times New Roman" w:cs="Times New Roman"/>
          <w:sz w:val="24"/>
          <w:szCs w:val="24"/>
        </w:rPr>
      </w:pPr>
      <w:r>
        <w:rPr>
          <w:rFonts w:ascii="Times New Roman" w:hAnsi="Times New Roman" w:cs="Times New Roman"/>
          <w:sz w:val="24"/>
          <w:szCs w:val="24"/>
        </w:rPr>
        <w:t xml:space="preserve"> What triggered the allegations</w:t>
      </w:r>
      <w:r w:rsidR="00AD6E96">
        <w:rPr>
          <w:rFonts w:ascii="Times New Roman" w:hAnsi="Times New Roman" w:cs="Times New Roman"/>
          <w:sz w:val="24"/>
          <w:szCs w:val="24"/>
        </w:rPr>
        <w:t>,</w:t>
      </w:r>
      <w:r>
        <w:rPr>
          <w:rFonts w:ascii="Times New Roman" w:hAnsi="Times New Roman" w:cs="Times New Roman"/>
          <w:sz w:val="24"/>
          <w:szCs w:val="24"/>
        </w:rPr>
        <w:t xml:space="preserve"> giving rise to the offence</w:t>
      </w:r>
      <w:r w:rsidR="00AD6E96">
        <w:rPr>
          <w:rFonts w:ascii="Times New Roman" w:hAnsi="Times New Roman" w:cs="Times New Roman"/>
          <w:sz w:val="24"/>
          <w:szCs w:val="24"/>
        </w:rPr>
        <w:t>,</w:t>
      </w:r>
      <w:r>
        <w:rPr>
          <w:rFonts w:ascii="Times New Roman" w:hAnsi="Times New Roman" w:cs="Times New Roman"/>
          <w:sz w:val="24"/>
          <w:szCs w:val="24"/>
        </w:rPr>
        <w:t xml:space="preserve"> is an unfamiliar cell phone</w:t>
      </w:r>
      <w:r w:rsidR="00AD6E96">
        <w:rPr>
          <w:rFonts w:ascii="Times New Roman" w:hAnsi="Times New Roman" w:cs="Times New Roman"/>
          <w:sz w:val="24"/>
          <w:szCs w:val="24"/>
        </w:rPr>
        <w:t>,</w:t>
      </w:r>
      <w:r>
        <w:rPr>
          <w:rFonts w:ascii="Times New Roman" w:hAnsi="Times New Roman" w:cs="Times New Roman"/>
          <w:sz w:val="24"/>
          <w:szCs w:val="24"/>
        </w:rPr>
        <w:t xml:space="preserve"> which was in the possession of the complainant but had been concealed from the accused</w:t>
      </w:r>
      <w:r w:rsidR="00AD6E96">
        <w:rPr>
          <w:rFonts w:ascii="Times New Roman" w:hAnsi="Times New Roman" w:cs="Times New Roman"/>
          <w:sz w:val="24"/>
          <w:szCs w:val="24"/>
        </w:rPr>
        <w:t>, that is the</w:t>
      </w:r>
      <w:r>
        <w:rPr>
          <w:rFonts w:ascii="Times New Roman" w:hAnsi="Times New Roman" w:cs="Times New Roman"/>
          <w:sz w:val="24"/>
          <w:szCs w:val="24"/>
        </w:rPr>
        <w:t>, husband’s sight and knowledge.</w:t>
      </w:r>
      <w:r w:rsidR="00F465F5">
        <w:rPr>
          <w:rFonts w:ascii="Times New Roman" w:hAnsi="Times New Roman" w:cs="Times New Roman"/>
          <w:sz w:val="24"/>
          <w:szCs w:val="24"/>
        </w:rPr>
        <w:t xml:space="preserve"> Upon viewing suspicious indicators of the presence of the phone and the </w:t>
      </w:r>
      <w:r w:rsidR="00A821EE">
        <w:rPr>
          <w:rFonts w:ascii="Times New Roman" w:hAnsi="Times New Roman" w:cs="Times New Roman"/>
          <w:sz w:val="24"/>
          <w:szCs w:val="24"/>
        </w:rPr>
        <w:t>ensuing</w:t>
      </w:r>
      <w:r w:rsidR="00F465F5">
        <w:rPr>
          <w:rFonts w:ascii="Times New Roman" w:hAnsi="Times New Roman" w:cs="Times New Roman"/>
          <w:sz w:val="24"/>
          <w:szCs w:val="24"/>
        </w:rPr>
        <w:t xml:space="preserve"> discovery after an unsatisfactory explanation, an altercation ensued between the parties.</w:t>
      </w:r>
    </w:p>
    <w:p w14:paraId="2B3431C9" w14:textId="557760C7" w:rsidR="005129BC" w:rsidRPr="00B50EFA" w:rsidRDefault="005129BC" w:rsidP="005129BC">
      <w:pPr>
        <w:spacing w:line="360" w:lineRule="auto"/>
        <w:rPr>
          <w:rFonts w:ascii="Times New Roman" w:hAnsi="Times New Roman" w:cs="Times New Roman"/>
          <w:sz w:val="24"/>
          <w:szCs w:val="24"/>
          <w:u w:val="single"/>
        </w:rPr>
      </w:pPr>
      <w:r w:rsidRPr="00B50EFA">
        <w:rPr>
          <w:rFonts w:ascii="Times New Roman" w:hAnsi="Times New Roman" w:cs="Times New Roman"/>
          <w:sz w:val="24"/>
          <w:szCs w:val="24"/>
          <w:u w:val="single"/>
        </w:rPr>
        <w:lastRenderedPageBreak/>
        <w:t>Complainant’s version</w:t>
      </w:r>
    </w:p>
    <w:p w14:paraId="73CB0EAC" w14:textId="7F972A5A" w:rsidR="00F465F5" w:rsidRDefault="00F465F5" w:rsidP="005129BC">
      <w:pPr>
        <w:spacing w:line="360" w:lineRule="auto"/>
        <w:rPr>
          <w:rFonts w:ascii="Times New Roman" w:hAnsi="Times New Roman" w:cs="Times New Roman"/>
          <w:sz w:val="24"/>
          <w:szCs w:val="24"/>
        </w:rPr>
      </w:pPr>
      <w:r>
        <w:rPr>
          <w:rFonts w:ascii="Times New Roman" w:hAnsi="Times New Roman" w:cs="Times New Roman"/>
          <w:sz w:val="24"/>
          <w:szCs w:val="24"/>
        </w:rPr>
        <w:t xml:space="preserve">The complainant’s version was that the accused attacked and assaulted her using fists and several kitchen utensils. She did not deny that she was in possession of a strange phone but gave an explanation as </w:t>
      </w:r>
      <w:r w:rsidR="00A821EE">
        <w:rPr>
          <w:rFonts w:ascii="Times New Roman" w:hAnsi="Times New Roman" w:cs="Times New Roman"/>
          <w:sz w:val="24"/>
          <w:szCs w:val="24"/>
        </w:rPr>
        <w:t>to the</w:t>
      </w:r>
      <w:r>
        <w:rPr>
          <w:rFonts w:ascii="Times New Roman" w:hAnsi="Times New Roman" w:cs="Times New Roman"/>
          <w:sz w:val="24"/>
          <w:szCs w:val="24"/>
        </w:rPr>
        <w:t xml:space="preserve"> non-disclosure of its existence to her husband. A medical affidavit was produced indicating that she suffered facial injuries, in particular</w:t>
      </w:r>
      <w:r w:rsidR="004A1959">
        <w:rPr>
          <w:rFonts w:ascii="Times New Roman" w:hAnsi="Times New Roman" w:cs="Times New Roman"/>
          <w:sz w:val="24"/>
          <w:szCs w:val="24"/>
        </w:rPr>
        <w:t xml:space="preserve"> to</w:t>
      </w:r>
      <w:r>
        <w:rPr>
          <w:rFonts w:ascii="Times New Roman" w:hAnsi="Times New Roman" w:cs="Times New Roman"/>
          <w:sz w:val="24"/>
          <w:szCs w:val="24"/>
        </w:rPr>
        <w:t xml:space="preserve"> one of her eyes. The medical report indicated the likelihood of </w:t>
      </w:r>
      <w:r w:rsidR="009B60F4">
        <w:rPr>
          <w:rFonts w:ascii="Times New Roman" w:hAnsi="Times New Roman" w:cs="Times New Roman"/>
          <w:sz w:val="24"/>
          <w:szCs w:val="24"/>
        </w:rPr>
        <w:t>permanent impairment.</w:t>
      </w:r>
    </w:p>
    <w:p w14:paraId="6D81ACBF" w14:textId="15FAA862" w:rsidR="009B60F4" w:rsidRPr="00B50EFA" w:rsidRDefault="009B60F4" w:rsidP="005129BC">
      <w:pPr>
        <w:spacing w:line="360" w:lineRule="auto"/>
        <w:rPr>
          <w:rFonts w:ascii="Times New Roman" w:hAnsi="Times New Roman" w:cs="Times New Roman"/>
          <w:sz w:val="24"/>
          <w:szCs w:val="24"/>
        </w:rPr>
      </w:pPr>
      <w:r>
        <w:rPr>
          <w:rFonts w:ascii="Times New Roman" w:hAnsi="Times New Roman" w:cs="Times New Roman"/>
          <w:sz w:val="24"/>
          <w:szCs w:val="24"/>
        </w:rPr>
        <w:t xml:space="preserve">It was the complainant’s evidence that several of the parties’ furniture was deliberately </w:t>
      </w:r>
      <w:r w:rsidRPr="00B50EFA">
        <w:rPr>
          <w:rFonts w:ascii="Times New Roman" w:hAnsi="Times New Roman" w:cs="Times New Roman"/>
          <w:sz w:val="24"/>
          <w:szCs w:val="24"/>
        </w:rPr>
        <w:t>destroyed by the accused who vented his anger on the inanimate objects.</w:t>
      </w:r>
    </w:p>
    <w:p w14:paraId="1CD6B8B7" w14:textId="75F590B8" w:rsidR="00B50EFA" w:rsidRPr="00B50EFA" w:rsidRDefault="00B50EFA" w:rsidP="005129BC">
      <w:pPr>
        <w:spacing w:line="360" w:lineRule="auto"/>
        <w:rPr>
          <w:rFonts w:ascii="Times New Roman" w:hAnsi="Times New Roman" w:cs="Times New Roman"/>
          <w:sz w:val="24"/>
          <w:szCs w:val="24"/>
          <w:u w:val="single"/>
        </w:rPr>
      </w:pPr>
      <w:r w:rsidRPr="00B50EFA">
        <w:rPr>
          <w:rFonts w:ascii="Times New Roman" w:hAnsi="Times New Roman" w:cs="Times New Roman"/>
          <w:sz w:val="24"/>
          <w:szCs w:val="24"/>
          <w:u w:val="single"/>
        </w:rPr>
        <w:t>Accused</w:t>
      </w:r>
      <w:r w:rsidR="00A821EE">
        <w:rPr>
          <w:rFonts w:ascii="Times New Roman" w:hAnsi="Times New Roman" w:cs="Times New Roman"/>
          <w:sz w:val="24"/>
          <w:szCs w:val="24"/>
          <w:u w:val="single"/>
        </w:rPr>
        <w:t>’s</w:t>
      </w:r>
      <w:r w:rsidRPr="00B50EFA">
        <w:rPr>
          <w:rFonts w:ascii="Times New Roman" w:hAnsi="Times New Roman" w:cs="Times New Roman"/>
          <w:sz w:val="24"/>
          <w:szCs w:val="24"/>
          <w:u w:val="single"/>
        </w:rPr>
        <w:t xml:space="preserve"> case</w:t>
      </w:r>
    </w:p>
    <w:p w14:paraId="3EB21FD6" w14:textId="3DD58158" w:rsidR="00AD6E96" w:rsidRDefault="009B60F4" w:rsidP="005129BC">
      <w:pPr>
        <w:spacing w:line="360" w:lineRule="auto"/>
        <w:rPr>
          <w:rFonts w:ascii="Times New Roman" w:hAnsi="Times New Roman" w:cs="Times New Roman"/>
          <w:sz w:val="24"/>
          <w:szCs w:val="24"/>
        </w:rPr>
      </w:pPr>
      <w:r>
        <w:rPr>
          <w:rFonts w:ascii="Times New Roman" w:hAnsi="Times New Roman" w:cs="Times New Roman"/>
          <w:sz w:val="24"/>
          <w:szCs w:val="24"/>
        </w:rPr>
        <w:t>In his defence the accused vehemently denied assaulting the complainant in any manner or as alleged. He told the court that the discovery of the hidden phone</w:t>
      </w:r>
      <w:r w:rsidR="00A821EE">
        <w:rPr>
          <w:rFonts w:ascii="Times New Roman" w:hAnsi="Times New Roman" w:cs="Times New Roman"/>
          <w:sz w:val="24"/>
          <w:szCs w:val="24"/>
        </w:rPr>
        <w:t>,</w:t>
      </w:r>
      <w:r>
        <w:rPr>
          <w:rFonts w:ascii="Times New Roman" w:hAnsi="Times New Roman" w:cs="Times New Roman"/>
          <w:sz w:val="24"/>
          <w:szCs w:val="24"/>
        </w:rPr>
        <w:t xml:space="preserve"> after being given a</w:t>
      </w:r>
      <w:r w:rsidR="00AD6E96">
        <w:rPr>
          <w:rFonts w:ascii="Times New Roman" w:hAnsi="Times New Roman" w:cs="Times New Roman"/>
          <w:sz w:val="24"/>
          <w:szCs w:val="24"/>
        </w:rPr>
        <w:t>n</w:t>
      </w:r>
      <w:r>
        <w:rPr>
          <w:rFonts w:ascii="Times New Roman" w:hAnsi="Times New Roman" w:cs="Times New Roman"/>
          <w:sz w:val="24"/>
          <w:szCs w:val="24"/>
        </w:rPr>
        <w:t xml:space="preserve"> impression that the complainant no longer had a handset disturbed him. Especially</w:t>
      </w:r>
      <w:r w:rsidR="00AD6E96">
        <w:rPr>
          <w:rFonts w:ascii="Times New Roman" w:hAnsi="Times New Roman" w:cs="Times New Roman"/>
          <w:sz w:val="24"/>
          <w:szCs w:val="24"/>
        </w:rPr>
        <w:t>,</w:t>
      </w:r>
      <w:r>
        <w:rPr>
          <w:rFonts w:ascii="Times New Roman" w:hAnsi="Times New Roman" w:cs="Times New Roman"/>
          <w:sz w:val="24"/>
          <w:szCs w:val="24"/>
        </w:rPr>
        <w:t xml:space="preserve"> when he had bought and brought home a surprise phone</w:t>
      </w:r>
      <w:r w:rsidR="00AD6E96">
        <w:rPr>
          <w:rFonts w:ascii="Times New Roman" w:hAnsi="Times New Roman" w:cs="Times New Roman"/>
          <w:sz w:val="24"/>
          <w:szCs w:val="24"/>
        </w:rPr>
        <w:t xml:space="preserve"> as a</w:t>
      </w:r>
      <w:r>
        <w:rPr>
          <w:rFonts w:ascii="Times New Roman" w:hAnsi="Times New Roman" w:cs="Times New Roman"/>
          <w:sz w:val="24"/>
          <w:szCs w:val="24"/>
        </w:rPr>
        <w:t xml:space="preserve"> gift</w:t>
      </w:r>
      <w:r w:rsidR="00AD6E96">
        <w:rPr>
          <w:rFonts w:ascii="Times New Roman" w:hAnsi="Times New Roman" w:cs="Times New Roman"/>
          <w:sz w:val="24"/>
          <w:szCs w:val="24"/>
        </w:rPr>
        <w:t xml:space="preserve"> the same night</w:t>
      </w:r>
      <w:r w:rsidR="00A821EE">
        <w:rPr>
          <w:rFonts w:ascii="Times New Roman" w:hAnsi="Times New Roman" w:cs="Times New Roman"/>
          <w:sz w:val="24"/>
          <w:szCs w:val="24"/>
        </w:rPr>
        <w:t>.</w:t>
      </w:r>
      <w:r>
        <w:rPr>
          <w:rFonts w:ascii="Times New Roman" w:hAnsi="Times New Roman" w:cs="Times New Roman"/>
          <w:sz w:val="24"/>
          <w:szCs w:val="24"/>
        </w:rPr>
        <w:t xml:space="preserve"> What provoked the situation</w:t>
      </w:r>
      <w:r w:rsidR="00AD6E96">
        <w:rPr>
          <w:rFonts w:ascii="Times New Roman" w:hAnsi="Times New Roman" w:cs="Times New Roman"/>
          <w:sz w:val="24"/>
          <w:szCs w:val="24"/>
        </w:rPr>
        <w:t>,</w:t>
      </w:r>
      <w:r>
        <w:rPr>
          <w:rFonts w:ascii="Times New Roman" w:hAnsi="Times New Roman" w:cs="Times New Roman"/>
          <w:sz w:val="24"/>
          <w:szCs w:val="24"/>
        </w:rPr>
        <w:t xml:space="preserve"> is the concealment and lack of admission </w:t>
      </w:r>
      <w:r w:rsidR="00A821EE">
        <w:rPr>
          <w:rFonts w:ascii="Times New Roman" w:hAnsi="Times New Roman" w:cs="Times New Roman"/>
          <w:sz w:val="24"/>
          <w:szCs w:val="24"/>
        </w:rPr>
        <w:t xml:space="preserve">by the complainant, </w:t>
      </w:r>
      <w:r>
        <w:rPr>
          <w:rFonts w:ascii="Times New Roman" w:hAnsi="Times New Roman" w:cs="Times New Roman"/>
          <w:sz w:val="24"/>
          <w:szCs w:val="24"/>
        </w:rPr>
        <w:t>when asked about the</w:t>
      </w:r>
      <w:r w:rsidR="00A821EE">
        <w:rPr>
          <w:rFonts w:ascii="Times New Roman" w:hAnsi="Times New Roman" w:cs="Times New Roman"/>
          <w:sz w:val="24"/>
          <w:szCs w:val="24"/>
        </w:rPr>
        <w:t xml:space="preserve"> presence of a foreign</w:t>
      </w:r>
      <w:r>
        <w:rPr>
          <w:rFonts w:ascii="Times New Roman" w:hAnsi="Times New Roman" w:cs="Times New Roman"/>
          <w:sz w:val="24"/>
          <w:szCs w:val="24"/>
        </w:rPr>
        <w:t xml:space="preserve"> phone</w:t>
      </w:r>
      <w:r w:rsidR="00AD6E96">
        <w:rPr>
          <w:rFonts w:ascii="Times New Roman" w:hAnsi="Times New Roman" w:cs="Times New Roman"/>
          <w:sz w:val="24"/>
          <w:szCs w:val="24"/>
        </w:rPr>
        <w:t xml:space="preserve"> by the </w:t>
      </w:r>
      <w:r w:rsidR="00A821EE">
        <w:rPr>
          <w:rFonts w:ascii="Times New Roman" w:hAnsi="Times New Roman" w:cs="Times New Roman"/>
          <w:sz w:val="24"/>
          <w:szCs w:val="24"/>
        </w:rPr>
        <w:t xml:space="preserve">accused. Accused’s suspicions had been triggered by the discovery of plugged </w:t>
      </w:r>
      <w:r>
        <w:rPr>
          <w:rFonts w:ascii="Times New Roman" w:hAnsi="Times New Roman" w:cs="Times New Roman"/>
          <w:sz w:val="24"/>
          <w:szCs w:val="24"/>
        </w:rPr>
        <w:t>unfamiliar chargers indicating the presence of a phone in their home</w:t>
      </w:r>
      <w:r w:rsidR="00A821EE">
        <w:rPr>
          <w:rFonts w:ascii="Times New Roman" w:hAnsi="Times New Roman" w:cs="Times New Roman"/>
          <w:sz w:val="24"/>
          <w:szCs w:val="24"/>
        </w:rPr>
        <w:t xml:space="preserve"> when his wife had no known cell phone.</w:t>
      </w:r>
      <w:r>
        <w:rPr>
          <w:rFonts w:ascii="Times New Roman" w:hAnsi="Times New Roman" w:cs="Times New Roman"/>
          <w:sz w:val="24"/>
          <w:szCs w:val="24"/>
        </w:rPr>
        <w:t xml:space="preserve"> </w:t>
      </w:r>
    </w:p>
    <w:p w14:paraId="7D0922F3" w14:textId="3E38D050" w:rsidR="009B60F4" w:rsidRDefault="00A821EE" w:rsidP="005129BC">
      <w:pPr>
        <w:spacing w:line="360" w:lineRule="auto"/>
        <w:rPr>
          <w:rFonts w:ascii="Times New Roman" w:hAnsi="Times New Roman" w:cs="Times New Roman"/>
          <w:sz w:val="24"/>
          <w:szCs w:val="24"/>
        </w:rPr>
      </w:pPr>
      <w:r>
        <w:rPr>
          <w:rFonts w:ascii="Times New Roman" w:hAnsi="Times New Roman" w:cs="Times New Roman"/>
          <w:sz w:val="24"/>
          <w:szCs w:val="24"/>
        </w:rPr>
        <w:t xml:space="preserve">It was the accused’s defence that an altercation did ensue over the issue but he neither physically assaulted the complainant or throw any kitchen </w:t>
      </w:r>
      <w:r w:rsidR="008E233E">
        <w:rPr>
          <w:rFonts w:ascii="Times New Roman" w:hAnsi="Times New Roman" w:cs="Times New Roman"/>
          <w:sz w:val="24"/>
          <w:szCs w:val="24"/>
        </w:rPr>
        <w:t>paraphernalia</w:t>
      </w:r>
      <w:r>
        <w:rPr>
          <w:rFonts w:ascii="Times New Roman" w:hAnsi="Times New Roman" w:cs="Times New Roman"/>
          <w:sz w:val="24"/>
          <w:szCs w:val="24"/>
        </w:rPr>
        <w:t xml:space="preserve"> at her. His evidence was to the effect that the search and discovery of the hidden phone led to some struggle and the </w:t>
      </w:r>
      <w:r w:rsidR="00501C9C">
        <w:rPr>
          <w:rFonts w:ascii="Times New Roman" w:hAnsi="Times New Roman" w:cs="Times New Roman"/>
          <w:sz w:val="24"/>
          <w:szCs w:val="24"/>
        </w:rPr>
        <w:t>complainant bumped into a mirror and some of the household property in the process of exiting the room.</w:t>
      </w:r>
      <w:r w:rsidR="009B60F4">
        <w:rPr>
          <w:rFonts w:ascii="Times New Roman" w:hAnsi="Times New Roman" w:cs="Times New Roman"/>
          <w:sz w:val="24"/>
          <w:szCs w:val="24"/>
        </w:rPr>
        <w:t xml:space="preserve"> </w:t>
      </w:r>
      <w:r w:rsidR="00501C9C">
        <w:rPr>
          <w:rFonts w:ascii="Times New Roman" w:hAnsi="Times New Roman" w:cs="Times New Roman"/>
          <w:sz w:val="24"/>
          <w:szCs w:val="24"/>
        </w:rPr>
        <w:t xml:space="preserve"> </w:t>
      </w:r>
      <w:r w:rsidR="009B60F4">
        <w:rPr>
          <w:rFonts w:ascii="Times New Roman" w:hAnsi="Times New Roman" w:cs="Times New Roman"/>
          <w:sz w:val="24"/>
          <w:szCs w:val="24"/>
        </w:rPr>
        <w:t>As a result</w:t>
      </w:r>
      <w:r w:rsidR="00715AFA">
        <w:rPr>
          <w:rFonts w:ascii="Times New Roman" w:hAnsi="Times New Roman" w:cs="Times New Roman"/>
          <w:sz w:val="24"/>
          <w:szCs w:val="24"/>
        </w:rPr>
        <w:t xml:space="preserve">, </w:t>
      </w:r>
      <w:r w:rsidR="009B60F4">
        <w:rPr>
          <w:rFonts w:ascii="Times New Roman" w:hAnsi="Times New Roman" w:cs="Times New Roman"/>
          <w:sz w:val="24"/>
          <w:szCs w:val="24"/>
        </w:rPr>
        <w:t xml:space="preserve">any injuries sustained may be as a result of that accidental collision. </w:t>
      </w:r>
      <w:r w:rsidR="008E233E">
        <w:rPr>
          <w:rFonts w:ascii="Times New Roman" w:hAnsi="Times New Roman" w:cs="Times New Roman"/>
          <w:sz w:val="24"/>
          <w:szCs w:val="24"/>
        </w:rPr>
        <w:t xml:space="preserve"> </w:t>
      </w:r>
    </w:p>
    <w:p w14:paraId="5AD41D10" w14:textId="010D821D" w:rsidR="00715AFA" w:rsidRDefault="00715AFA" w:rsidP="005129BC">
      <w:pPr>
        <w:spacing w:line="360" w:lineRule="auto"/>
        <w:rPr>
          <w:rFonts w:ascii="Times New Roman" w:hAnsi="Times New Roman" w:cs="Times New Roman"/>
          <w:sz w:val="24"/>
          <w:szCs w:val="24"/>
        </w:rPr>
      </w:pPr>
      <w:r>
        <w:rPr>
          <w:rFonts w:ascii="Times New Roman" w:hAnsi="Times New Roman" w:cs="Times New Roman"/>
          <w:sz w:val="24"/>
          <w:szCs w:val="24"/>
        </w:rPr>
        <w:t>In respect to count two, the accused stated that the complain</w:t>
      </w:r>
      <w:r w:rsidR="004A1959">
        <w:rPr>
          <w:rFonts w:ascii="Times New Roman" w:hAnsi="Times New Roman" w:cs="Times New Roman"/>
          <w:sz w:val="24"/>
          <w:szCs w:val="24"/>
        </w:rPr>
        <w:t>an</w:t>
      </w:r>
      <w:r>
        <w:rPr>
          <w:rFonts w:ascii="Times New Roman" w:hAnsi="Times New Roman" w:cs="Times New Roman"/>
          <w:sz w:val="24"/>
          <w:szCs w:val="24"/>
        </w:rPr>
        <w:t>t, when she exi</w:t>
      </w:r>
      <w:r w:rsidR="00AD6E96">
        <w:rPr>
          <w:rFonts w:ascii="Times New Roman" w:hAnsi="Times New Roman" w:cs="Times New Roman"/>
          <w:sz w:val="24"/>
          <w:szCs w:val="24"/>
        </w:rPr>
        <w:t>ted</w:t>
      </w:r>
      <w:r>
        <w:rPr>
          <w:rFonts w:ascii="Times New Roman" w:hAnsi="Times New Roman" w:cs="Times New Roman"/>
          <w:sz w:val="24"/>
          <w:szCs w:val="24"/>
        </w:rPr>
        <w:t xml:space="preserve"> their home</w:t>
      </w:r>
      <w:r w:rsidR="00AD6E96">
        <w:rPr>
          <w:rFonts w:ascii="Times New Roman" w:hAnsi="Times New Roman" w:cs="Times New Roman"/>
          <w:sz w:val="24"/>
          <w:szCs w:val="24"/>
        </w:rPr>
        <w:t>, returned a while later in the company of her</w:t>
      </w:r>
      <w:r>
        <w:rPr>
          <w:rFonts w:ascii="Times New Roman" w:hAnsi="Times New Roman" w:cs="Times New Roman"/>
          <w:sz w:val="24"/>
          <w:szCs w:val="24"/>
        </w:rPr>
        <w:t xml:space="preserve"> family</w:t>
      </w:r>
      <w:r w:rsidR="00AD6E96">
        <w:rPr>
          <w:rFonts w:ascii="Times New Roman" w:hAnsi="Times New Roman" w:cs="Times New Roman"/>
          <w:sz w:val="24"/>
          <w:szCs w:val="24"/>
        </w:rPr>
        <w:t xml:space="preserve"> members. The family members</w:t>
      </w:r>
      <w:r>
        <w:rPr>
          <w:rFonts w:ascii="Times New Roman" w:hAnsi="Times New Roman" w:cs="Times New Roman"/>
          <w:sz w:val="24"/>
          <w:szCs w:val="24"/>
        </w:rPr>
        <w:t xml:space="preserve"> then assaulted him</w:t>
      </w:r>
      <w:r w:rsidR="00AD6E96">
        <w:rPr>
          <w:rFonts w:ascii="Times New Roman" w:hAnsi="Times New Roman" w:cs="Times New Roman"/>
          <w:sz w:val="24"/>
          <w:szCs w:val="24"/>
        </w:rPr>
        <w:t xml:space="preserve"> in that constricted environment,</w:t>
      </w:r>
      <w:r>
        <w:rPr>
          <w:rFonts w:ascii="Times New Roman" w:hAnsi="Times New Roman" w:cs="Times New Roman"/>
          <w:sz w:val="24"/>
          <w:szCs w:val="24"/>
        </w:rPr>
        <w:t xml:space="preserve"> </w:t>
      </w:r>
      <w:r w:rsidR="00AD6E96">
        <w:rPr>
          <w:rFonts w:ascii="Times New Roman" w:hAnsi="Times New Roman" w:cs="Times New Roman"/>
          <w:sz w:val="24"/>
          <w:szCs w:val="24"/>
        </w:rPr>
        <w:t>thereby damaging the</w:t>
      </w:r>
      <w:r>
        <w:rPr>
          <w:rFonts w:ascii="Times New Roman" w:hAnsi="Times New Roman" w:cs="Times New Roman"/>
          <w:sz w:val="24"/>
          <w:szCs w:val="24"/>
        </w:rPr>
        <w:t xml:space="preserve"> property </w:t>
      </w:r>
      <w:r w:rsidR="00AD6E96">
        <w:rPr>
          <w:rFonts w:ascii="Times New Roman" w:hAnsi="Times New Roman" w:cs="Times New Roman"/>
          <w:sz w:val="24"/>
          <w:szCs w:val="24"/>
        </w:rPr>
        <w:t>in issue.</w:t>
      </w:r>
    </w:p>
    <w:p w14:paraId="1E83BDE2" w14:textId="7E454E2D" w:rsidR="00715AFA" w:rsidRDefault="00715AFA" w:rsidP="005129BC">
      <w:pPr>
        <w:spacing w:line="360" w:lineRule="auto"/>
        <w:rPr>
          <w:rFonts w:ascii="Times New Roman" w:hAnsi="Times New Roman" w:cs="Times New Roman"/>
          <w:sz w:val="24"/>
          <w:szCs w:val="24"/>
        </w:rPr>
      </w:pPr>
      <w:r>
        <w:rPr>
          <w:rFonts w:ascii="Times New Roman" w:hAnsi="Times New Roman" w:cs="Times New Roman"/>
          <w:sz w:val="24"/>
          <w:szCs w:val="24"/>
        </w:rPr>
        <w:t xml:space="preserve">The accused led evidence from two witnesses. One </w:t>
      </w:r>
      <w:r w:rsidR="00AD6E96">
        <w:rPr>
          <w:rFonts w:ascii="Times New Roman" w:hAnsi="Times New Roman" w:cs="Times New Roman"/>
          <w:sz w:val="24"/>
          <w:szCs w:val="24"/>
        </w:rPr>
        <w:t xml:space="preserve">of them </w:t>
      </w:r>
      <w:r>
        <w:rPr>
          <w:rFonts w:ascii="Times New Roman" w:hAnsi="Times New Roman" w:cs="Times New Roman"/>
          <w:sz w:val="24"/>
          <w:szCs w:val="24"/>
        </w:rPr>
        <w:t>stated that</w:t>
      </w:r>
      <w:r w:rsidR="00AD6E96">
        <w:rPr>
          <w:rFonts w:ascii="Times New Roman" w:hAnsi="Times New Roman" w:cs="Times New Roman"/>
          <w:sz w:val="24"/>
          <w:szCs w:val="24"/>
        </w:rPr>
        <w:t>,</w:t>
      </w:r>
      <w:r>
        <w:rPr>
          <w:rFonts w:ascii="Times New Roman" w:hAnsi="Times New Roman" w:cs="Times New Roman"/>
          <w:sz w:val="24"/>
          <w:szCs w:val="24"/>
        </w:rPr>
        <w:t xml:space="preserve"> though she did not witness the actual altercation, she heard a commotion indicating a fight in the accused and </w:t>
      </w:r>
      <w:r>
        <w:rPr>
          <w:rFonts w:ascii="Times New Roman" w:hAnsi="Times New Roman" w:cs="Times New Roman"/>
          <w:sz w:val="24"/>
          <w:szCs w:val="24"/>
        </w:rPr>
        <w:lastRenderedPageBreak/>
        <w:t xml:space="preserve">complainant’s homestead. She could neither confirm </w:t>
      </w:r>
      <w:r w:rsidR="004A1959">
        <w:rPr>
          <w:rFonts w:ascii="Times New Roman" w:hAnsi="Times New Roman" w:cs="Times New Roman"/>
          <w:sz w:val="24"/>
          <w:szCs w:val="24"/>
        </w:rPr>
        <w:t>n</w:t>
      </w:r>
      <w:r>
        <w:rPr>
          <w:rFonts w:ascii="Times New Roman" w:hAnsi="Times New Roman" w:cs="Times New Roman"/>
          <w:sz w:val="24"/>
          <w:szCs w:val="24"/>
        </w:rPr>
        <w:t xml:space="preserve">or deny the presence or involvement of the complainant’s family in the fight she heard. </w:t>
      </w:r>
    </w:p>
    <w:p w14:paraId="77286C2D" w14:textId="6584CCC0" w:rsidR="00715AFA" w:rsidRDefault="00715AFA" w:rsidP="005129BC">
      <w:pPr>
        <w:spacing w:line="360" w:lineRule="auto"/>
        <w:rPr>
          <w:rFonts w:ascii="Times New Roman" w:hAnsi="Times New Roman" w:cs="Times New Roman"/>
          <w:sz w:val="24"/>
          <w:szCs w:val="24"/>
        </w:rPr>
      </w:pPr>
      <w:r>
        <w:rPr>
          <w:rFonts w:ascii="Times New Roman" w:hAnsi="Times New Roman" w:cs="Times New Roman"/>
          <w:sz w:val="24"/>
          <w:szCs w:val="24"/>
        </w:rPr>
        <w:t>The second witness’s evidence revealed that, firstly the television which had been included by the complainant</w:t>
      </w:r>
      <w:r w:rsidR="00AD6E96">
        <w:rPr>
          <w:rFonts w:ascii="Times New Roman" w:hAnsi="Times New Roman" w:cs="Times New Roman"/>
          <w:sz w:val="24"/>
          <w:szCs w:val="24"/>
        </w:rPr>
        <w:t>,</w:t>
      </w:r>
      <w:r>
        <w:rPr>
          <w:rFonts w:ascii="Times New Roman" w:hAnsi="Times New Roman" w:cs="Times New Roman"/>
          <w:sz w:val="24"/>
          <w:szCs w:val="24"/>
        </w:rPr>
        <w:t xml:space="preserve"> as amongst the property the accused had destroyed</w:t>
      </w:r>
      <w:r w:rsidR="00AD6E96">
        <w:rPr>
          <w:rFonts w:ascii="Times New Roman" w:hAnsi="Times New Roman" w:cs="Times New Roman"/>
          <w:sz w:val="24"/>
          <w:szCs w:val="24"/>
        </w:rPr>
        <w:t>,</w:t>
      </w:r>
      <w:r>
        <w:rPr>
          <w:rFonts w:ascii="Times New Roman" w:hAnsi="Times New Roman" w:cs="Times New Roman"/>
          <w:sz w:val="24"/>
          <w:szCs w:val="24"/>
        </w:rPr>
        <w:t xml:space="preserve"> was not destroyed on the night of the fracas nor by the accused. This witness stated that it was the complainant herself who had in an undisclosed incident destroyed the television set. This evidence stood unchallenged and was accepted by the trial court.</w:t>
      </w:r>
    </w:p>
    <w:p w14:paraId="05F96EE7" w14:textId="4ABF0AD7" w:rsidR="00B50EFA" w:rsidRPr="00B50EFA" w:rsidRDefault="00B50EFA" w:rsidP="005129BC">
      <w:pPr>
        <w:spacing w:line="360" w:lineRule="auto"/>
        <w:rPr>
          <w:rFonts w:ascii="Times New Roman" w:hAnsi="Times New Roman" w:cs="Times New Roman"/>
          <w:sz w:val="24"/>
          <w:szCs w:val="24"/>
          <w:u w:val="single"/>
        </w:rPr>
      </w:pPr>
      <w:r w:rsidRPr="00B50EFA">
        <w:rPr>
          <w:rFonts w:ascii="Times New Roman" w:hAnsi="Times New Roman" w:cs="Times New Roman"/>
          <w:sz w:val="24"/>
          <w:szCs w:val="24"/>
          <w:u w:val="single"/>
        </w:rPr>
        <w:t xml:space="preserve">The </w:t>
      </w:r>
      <w:r w:rsidR="00925936">
        <w:rPr>
          <w:rFonts w:ascii="Times New Roman" w:hAnsi="Times New Roman" w:cs="Times New Roman"/>
          <w:sz w:val="24"/>
          <w:szCs w:val="24"/>
          <w:u w:val="single"/>
        </w:rPr>
        <w:t>T</w:t>
      </w:r>
      <w:r w:rsidRPr="00B50EFA">
        <w:rPr>
          <w:rFonts w:ascii="Times New Roman" w:hAnsi="Times New Roman" w:cs="Times New Roman"/>
          <w:sz w:val="24"/>
          <w:szCs w:val="24"/>
          <w:u w:val="single"/>
        </w:rPr>
        <w:t xml:space="preserve">rial </w:t>
      </w:r>
      <w:r w:rsidR="00925936">
        <w:rPr>
          <w:rFonts w:ascii="Times New Roman" w:hAnsi="Times New Roman" w:cs="Times New Roman"/>
          <w:sz w:val="24"/>
          <w:szCs w:val="24"/>
          <w:u w:val="single"/>
        </w:rPr>
        <w:t>C</w:t>
      </w:r>
      <w:r w:rsidRPr="00B50EFA">
        <w:rPr>
          <w:rFonts w:ascii="Times New Roman" w:hAnsi="Times New Roman" w:cs="Times New Roman"/>
          <w:sz w:val="24"/>
          <w:szCs w:val="24"/>
          <w:u w:val="single"/>
        </w:rPr>
        <w:t>ourt’s finding</w:t>
      </w:r>
      <w:r w:rsidR="00925936">
        <w:rPr>
          <w:rFonts w:ascii="Times New Roman" w:hAnsi="Times New Roman" w:cs="Times New Roman"/>
          <w:sz w:val="24"/>
          <w:szCs w:val="24"/>
          <w:u w:val="single"/>
        </w:rPr>
        <w:t>s</w:t>
      </w:r>
    </w:p>
    <w:p w14:paraId="0EF17D85" w14:textId="0E863A0C" w:rsidR="00715AFA" w:rsidRDefault="00715AFA" w:rsidP="005129BC">
      <w:pPr>
        <w:spacing w:line="360" w:lineRule="auto"/>
        <w:rPr>
          <w:rFonts w:ascii="Times New Roman" w:hAnsi="Times New Roman" w:cs="Times New Roman"/>
          <w:sz w:val="24"/>
          <w:szCs w:val="24"/>
        </w:rPr>
      </w:pPr>
      <w:r>
        <w:rPr>
          <w:rFonts w:ascii="Times New Roman" w:hAnsi="Times New Roman" w:cs="Times New Roman"/>
          <w:sz w:val="24"/>
          <w:szCs w:val="24"/>
        </w:rPr>
        <w:t>After hearing evidence, the trial court admittedly</w:t>
      </w:r>
      <w:r w:rsidR="00B50EFA">
        <w:rPr>
          <w:rFonts w:ascii="Times New Roman" w:hAnsi="Times New Roman" w:cs="Times New Roman"/>
          <w:sz w:val="24"/>
          <w:szCs w:val="24"/>
        </w:rPr>
        <w:t>, based her</w:t>
      </w:r>
      <w:r>
        <w:rPr>
          <w:rFonts w:ascii="Times New Roman" w:hAnsi="Times New Roman" w:cs="Times New Roman"/>
          <w:sz w:val="24"/>
          <w:szCs w:val="24"/>
        </w:rPr>
        <w:t xml:space="preserve"> conviction on single witness evidence. She elected to believe the complainant’s word against that of the accused. She convicted the accused on both counts</w:t>
      </w:r>
      <w:r w:rsidR="007B0D12">
        <w:rPr>
          <w:rFonts w:ascii="Times New Roman" w:hAnsi="Times New Roman" w:cs="Times New Roman"/>
          <w:sz w:val="24"/>
          <w:szCs w:val="24"/>
        </w:rPr>
        <w:t>, relying mainly on the medical affidavit. She explicitly stated that the injuries found and supported by the medical affidavit disprove the accused’s version in that the complainant could not have inflicted such injuries on herself.</w:t>
      </w:r>
    </w:p>
    <w:p w14:paraId="49296186" w14:textId="22CEBFFA" w:rsidR="007B0D12" w:rsidRDefault="007B0D12" w:rsidP="005129BC">
      <w:pPr>
        <w:spacing w:line="360" w:lineRule="auto"/>
        <w:rPr>
          <w:rFonts w:ascii="Times New Roman" w:hAnsi="Times New Roman" w:cs="Times New Roman"/>
          <w:sz w:val="24"/>
          <w:szCs w:val="24"/>
        </w:rPr>
      </w:pPr>
      <w:r>
        <w:rPr>
          <w:rFonts w:ascii="Times New Roman" w:hAnsi="Times New Roman" w:cs="Times New Roman"/>
          <w:sz w:val="24"/>
          <w:szCs w:val="24"/>
        </w:rPr>
        <w:t>In a beautifully penned sentencing judgment</w:t>
      </w:r>
      <w:r w:rsidR="00826689">
        <w:rPr>
          <w:rFonts w:ascii="Times New Roman" w:hAnsi="Times New Roman" w:cs="Times New Roman"/>
          <w:sz w:val="24"/>
          <w:szCs w:val="24"/>
        </w:rPr>
        <w:t>,</w:t>
      </w:r>
      <w:r>
        <w:rPr>
          <w:rFonts w:ascii="Times New Roman" w:hAnsi="Times New Roman" w:cs="Times New Roman"/>
          <w:sz w:val="24"/>
          <w:szCs w:val="24"/>
        </w:rPr>
        <w:t xml:space="preserve"> the primary court correctly acknowledged that the spirit behind the Domestic Violence Act, as pronounced by the courts</w:t>
      </w:r>
      <w:r w:rsidR="00B50EFA">
        <w:rPr>
          <w:rFonts w:ascii="Times New Roman" w:hAnsi="Times New Roman" w:cs="Times New Roman"/>
          <w:sz w:val="24"/>
          <w:szCs w:val="24"/>
        </w:rPr>
        <w:t>,</w:t>
      </w:r>
      <w:r>
        <w:rPr>
          <w:rFonts w:ascii="Times New Roman" w:hAnsi="Times New Roman" w:cs="Times New Roman"/>
          <w:sz w:val="24"/>
          <w:szCs w:val="24"/>
        </w:rPr>
        <w:t xml:space="preserve"> is the preservation of the family unit whilst curbing </w:t>
      </w:r>
      <w:r w:rsidR="00826689">
        <w:rPr>
          <w:rFonts w:ascii="Times New Roman" w:hAnsi="Times New Roman" w:cs="Times New Roman"/>
          <w:sz w:val="24"/>
          <w:szCs w:val="24"/>
        </w:rPr>
        <w:t>gender-based</w:t>
      </w:r>
      <w:r>
        <w:rPr>
          <w:rFonts w:ascii="Times New Roman" w:hAnsi="Times New Roman" w:cs="Times New Roman"/>
          <w:sz w:val="24"/>
          <w:szCs w:val="24"/>
        </w:rPr>
        <w:t xml:space="preserve"> violence. The court was of the view that although case law</w:t>
      </w:r>
      <w:r w:rsidR="00826689">
        <w:rPr>
          <w:rFonts w:ascii="Times New Roman" w:hAnsi="Times New Roman" w:cs="Times New Roman"/>
          <w:sz w:val="24"/>
          <w:szCs w:val="24"/>
        </w:rPr>
        <w:t xml:space="preserve"> shows that imprisonment should be of the last resort because of the injury sustained by complainant a jail term was from her considered view appropriate.</w:t>
      </w:r>
      <w:r w:rsidR="00B50EFA">
        <w:rPr>
          <w:rStyle w:val="FootnoteReference"/>
          <w:rFonts w:ascii="Times New Roman" w:hAnsi="Times New Roman" w:cs="Times New Roman"/>
          <w:sz w:val="24"/>
          <w:szCs w:val="24"/>
        </w:rPr>
        <w:footnoteReference w:id="1"/>
      </w:r>
    </w:p>
    <w:p w14:paraId="7776AF07" w14:textId="585D8AA9" w:rsidR="00D33E54" w:rsidRPr="0036750C" w:rsidRDefault="00826689" w:rsidP="005129BC">
      <w:pPr>
        <w:spacing w:line="360" w:lineRule="auto"/>
        <w:rPr>
          <w:rFonts w:ascii="Times New Roman" w:hAnsi="Times New Roman" w:cs="Times New Roman"/>
          <w:sz w:val="24"/>
          <w:szCs w:val="24"/>
          <w:u w:val="single"/>
        </w:rPr>
      </w:pPr>
      <w:r w:rsidRPr="0036750C">
        <w:rPr>
          <w:rFonts w:ascii="Times New Roman" w:hAnsi="Times New Roman" w:cs="Times New Roman"/>
          <w:sz w:val="24"/>
          <w:szCs w:val="24"/>
          <w:u w:val="single"/>
        </w:rPr>
        <w:t>Analysis</w:t>
      </w:r>
    </w:p>
    <w:p w14:paraId="59E90B58" w14:textId="1E0FB140" w:rsidR="008924E1" w:rsidRDefault="0036750C" w:rsidP="005129BC">
      <w:pPr>
        <w:spacing w:line="360" w:lineRule="auto"/>
        <w:rPr>
          <w:rFonts w:ascii="Times New Roman" w:hAnsi="Times New Roman" w:cs="Times New Roman"/>
          <w:sz w:val="24"/>
          <w:szCs w:val="24"/>
        </w:rPr>
      </w:pPr>
      <w:r>
        <w:rPr>
          <w:rFonts w:ascii="Times New Roman" w:hAnsi="Times New Roman" w:cs="Times New Roman"/>
          <w:sz w:val="24"/>
          <w:szCs w:val="24"/>
        </w:rPr>
        <w:t>The starting point is that</w:t>
      </w:r>
      <w:r w:rsidR="00925936">
        <w:rPr>
          <w:rFonts w:ascii="Times New Roman" w:hAnsi="Times New Roman" w:cs="Times New Roman"/>
          <w:sz w:val="24"/>
          <w:szCs w:val="24"/>
        </w:rPr>
        <w:t>,</w:t>
      </w:r>
      <w:r>
        <w:rPr>
          <w:rFonts w:ascii="Times New Roman" w:hAnsi="Times New Roman" w:cs="Times New Roman"/>
          <w:sz w:val="24"/>
          <w:szCs w:val="24"/>
        </w:rPr>
        <w:t xml:space="preserve"> superior courts </w:t>
      </w:r>
      <w:r w:rsidR="00B50EFA">
        <w:rPr>
          <w:rFonts w:ascii="Times New Roman" w:hAnsi="Times New Roman" w:cs="Times New Roman"/>
          <w:sz w:val="24"/>
          <w:szCs w:val="24"/>
        </w:rPr>
        <w:t>despise and guard against the</w:t>
      </w:r>
      <w:r>
        <w:rPr>
          <w:rFonts w:ascii="Times New Roman" w:hAnsi="Times New Roman" w:cs="Times New Roman"/>
          <w:sz w:val="24"/>
          <w:szCs w:val="24"/>
        </w:rPr>
        <w:t xml:space="preserve"> interfere</w:t>
      </w:r>
      <w:r w:rsidR="00B50EFA">
        <w:rPr>
          <w:rFonts w:ascii="Times New Roman" w:hAnsi="Times New Roman" w:cs="Times New Roman"/>
          <w:sz w:val="24"/>
          <w:szCs w:val="24"/>
        </w:rPr>
        <w:t>nce</w:t>
      </w:r>
      <w:r>
        <w:rPr>
          <w:rFonts w:ascii="Times New Roman" w:hAnsi="Times New Roman" w:cs="Times New Roman"/>
          <w:sz w:val="24"/>
          <w:szCs w:val="24"/>
        </w:rPr>
        <w:t xml:space="preserve"> with both the factual and credibility findings of a presiding court. </w:t>
      </w:r>
      <w:r w:rsidR="00B50EFA">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Further, it is only when there is gross irregularity or irrationality that an upper court can interfere with</w:t>
      </w:r>
      <w:r w:rsidR="00E3483E">
        <w:rPr>
          <w:rFonts w:ascii="Times New Roman" w:hAnsi="Times New Roman" w:cs="Times New Roman"/>
          <w:sz w:val="24"/>
          <w:szCs w:val="24"/>
        </w:rPr>
        <w:t xml:space="preserve"> a</w:t>
      </w:r>
      <w:r>
        <w:rPr>
          <w:rFonts w:ascii="Times New Roman" w:hAnsi="Times New Roman" w:cs="Times New Roman"/>
          <w:sz w:val="24"/>
          <w:szCs w:val="24"/>
        </w:rPr>
        <w:t xml:space="preserve"> lower court’s </w:t>
      </w:r>
      <w:r w:rsidR="00E3483E">
        <w:rPr>
          <w:rFonts w:ascii="Times New Roman" w:hAnsi="Times New Roman" w:cs="Times New Roman"/>
          <w:sz w:val="24"/>
          <w:szCs w:val="24"/>
        </w:rPr>
        <w:t xml:space="preserve">factual </w:t>
      </w:r>
      <w:r>
        <w:rPr>
          <w:rFonts w:ascii="Times New Roman" w:hAnsi="Times New Roman" w:cs="Times New Roman"/>
          <w:sz w:val="24"/>
          <w:szCs w:val="24"/>
        </w:rPr>
        <w:t>findings.</w:t>
      </w:r>
      <w:r w:rsidR="00B50EFA">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In addition, the sentencing discretion of a subordinate court is also immune to interference save when the discretion has not been exercised judiciously. That is</w:t>
      </w:r>
      <w:r w:rsidR="00B50EFA">
        <w:rPr>
          <w:rFonts w:ascii="Times New Roman" w:hAnsi="Times New Roman" w:cs="Times New Roman"/>
          <w:sz w:val="24"/>
          <w:szCs w:val="24"/>
        </w:rPr>
        <w:t xml:space="preserve">, </w:t>
      </w:r>
      <w:r>
        <w:rPr>
          <w:rFonts w:ascii="Times New Roman" w:hAnsi="Times New Roman" w:cs="Times New Roman"/>
          <w:sz w:val="24"/>
          <w:szCs w:val="24"/>
        </w:rPr>
        <w:t xml:space="preserve">the </w:t>
      </w:r>
      <w:r>
        <w:rPr>
          <w:rFonts w:ascii="Times New Roman" w:hAnsi="Times New Roman" w:cs="Times New Roman"/>
          <w:sz w:val="24"/>
          <w:szCs w:val="24"/>
        </w:rPr>
        <w:lastRenderedPageBreak/>
        <w:t>conclusion made by the said court is not supported by the facts nor the evidence</w:t>
      </w:r>
      <w:r w:rsidR="00E3483E">
        <w:rPr>
          <w:rFonts w:ascii="Times New Roman" w:hAnsi="Times New Roman" w:cs="Times New Roman"/>
          <w:sz w:val="24"/>
          <w:szCs w:val="24"/>
        </w:rPr>
        <w:t xml:space="preserve"> or a misapplication or misapprehension of the law</w:t>
      </w:r>
      <w:r>
        <w:rPr>
          <w:rFonts w:ascii="Times New Roman" w:hAnsi="Times New Roman" w:cs="Times New Roman"/>
          <w:sz w:val="24"/>
          <w:szCs w:val="24"/>
        </w:rPr>
        <w:t>.</w:t>
      </w:r>
      <w:r w:rsidR="00B50EFA">
        <w:rPr>
          <w:rStyle w:val="FootnoteReference"/>
          <w:rFonts w:ascii="Times New Roman" w:hAnsi="Times New Roman" w:cs="Times New Roman"/>
          <w:sz w:val="24"/>
          <w:szCs w:val="24"/>
        </w:rPr>
        <w:footnoteReference w:id="4"/>
      </w:r>
    </w:p>
    <w:p w14:paraId="2C305C38" w14:textId="2BD9F83A" w:rsidR="0036750C" w:rsidRDefault="0036750C" w:rsidP="005129BC">
      <w:pPr>
        <w:spacing w:line="360" w:lineRule="auto"/>
        <w:rPr>
          <w:rFonts w:ascii="Times New Roman" w:hAnsi="Times New Roman" w:cs="Times New Roman"/>
          <w:sz w:val="24"/>
          <w:szCs w:val="24"/>
        </w:rPr>
      </w:pPr>
      <w:r>
        <w:rPr>
          <w:rFonts w:ascii="Times New Roman" w:hAnsi="Times New Roman" w:cs="Times New Roman"/>
          <w:sz w:val="24"/>
          <w:szCs w:val="24"/>
        </w:rPr>
        <w:t>On the other hand, an automatic review recourse is by operation of the law. It is a constitutionally sanctioned avenue open to undefended accused persons to have a second chance or go, at justice before a different superior court.</w:t>
      </w:r>
      <w:r w:rsidR="00B50EFA">
        <w:rPr>
          <w:rStyle w:val="FootnoteReference"/>
          <w:rFonts w:ascii="Times New Roman" w:hAnsi="Times New Roman" w:cs="Times New Roman"/>
          <w:sz w:val="24"/>
          <w:szCs w:val="24"/>
        </w:rPr>
        <w:footnoteReference w:id="5"/>
      </w:r>
    </w:p>
    <w:p w14:paraId="0D076B99" w14:textId="5816CF72" w:rsidR="00C2228A" w:rsidRPr="004A1959" w:rsidRDefault="00C2228A" w:rsidP="005129BC">
      <w:pPr>
        <w:spacing w:line="360" w:lineRule="auto"/>
        <w:rPr>
          <w:rFonts w:ascii="Times New Roman" w:hAnsi="Times New Roman" w:cs="Times New Roman"/>
          <w:sz w:val="24"/>
          <w:szCs w:val="24"/>
          <w:u w:val="single"/>
        </w:rPr>
      </w:pPr>
      <w:r w:rsidRPr="004A1959">
        <w:rPr>
          <w:rFonts w:ascii="Times New Roman" w:hAnsi="Times New Roman" w:cs="Times New Roman"/>
          <w:sz w:val="24"/>
          <w:szCs w:val="24"/>
          <w:u w:val="single"/>
        </w:rPr>
        <w:t>Single witness evidence in sexual offences</w:t>
      </w:r>
    </w:p>
    <w:p w14:paraId="449B3F93" w14:textId="77777777" w:rsidR="00FD23AB" w:rsidRDefault="00266275" w:rsidP="005129BC">
      <w:pPr>
        <w:spacing w:line="360" w:lineRule="auto"/>
        <w:rPr>
          <w:rFonts w:ascii="Times New Roman" w:hAnsi="Times New Roman" w:cs="Times New Roman"/>
          <w:sz w:val="24"/>
          <w:szCs w:val="24"/>
        </w:rPr>
      </w:pPr>
      <w:r w:rsidRPr="00266275">
        <w:rPr>
          <w:rFonts w:ascii="Times New Roman" w:hAnsi="Times New Roman" w:cs="Times New Roman"/>
          <w:i/>
          <w:iCs/>
          <w:sz w:val="24"/>
          <w:szCs w:val="24"/>
        </w:rPr>
        <w:t xml:space="preserve">In </w:t>
      </w:r>
      <w:proofErr w:type="spellStart"/>
      <w:r w:rsidRPr="00266275">
        <w:rPr>
          <w:rFonts w:ascii="Times New Roman" w:hAnsi="Times New Roman" w:cs="Times New Roman"/>
          <w:i/>
          <w:iCs/>
          <w:sz w:val="24"/>
          <w:szCs w:val="24"/>
        </w:rPr>
        <w:t>casu</w:t>
      </w:r>
      <w:proofErr w:type="spellEnd"/>
      <w:r>
        <w:rPr>
          <w:rFonts w:ascii="Times New Roman" w:hAnsi="Times New Roman" w:cs="Times New Roman"/>
          <w:sz w:val="24"/>
          <w:szCs w:val="24"/>
        </w:rPr>
        <w:t>, the trial</w:t>
      </w:r>
      <w:r w:rsidR="00C2228A">
        <w:rPr>
          <w:rFonts w:ascii="Times New Roman" w:hAnsi="Times New Roman" w:cs="Times New Roman"/>
          <w:sz w:val="24"/>
          <w:szCs w:val="24"/>
        </w:rPr>
        <w:t xml:space="preserve"> court</w:t>
      </w:r>
      <w:r>
        <w:rPr>
          <w:rFonts w:ascii="Times New Roman" w:hAnsi="Times New Roman" w:cs="Times New Roman"/>
          <w:sz w:val="24"/>
          <w:szCs w:val="24"/>
        </w:rPr>
        <w:t xml:space="preserve"> </w:t>
      </w:r>
      <w:r w:rsidR="00C2228A">
        <w:rPr>
          <w:rFonts w:ascii="Times New Roman" w:hAnsi="Times New Roman" w:cs="Times New Roman"/>
          <w:sz w:val="24"/>
          <w:szCs w:val="24"/>
        </w:rPr>
        <w:t>by its own admission</w:t>
      </w:r>
      <w:r w:rsidR="00FD23AB">
        <w:rPr>
          <w:rFonts w:ascii="Times New Roman" w:hAnsi="Times New Roman" w:cs="Times New Roman"/>
          <w:sz w:val="24"/>
          <w:szCs w:val="24"/>
        </w:rPr>
        <w:t xml:space="preserve"> and justifications,</w:t>
      </w:r>
      <w:r w:rsidR="00C2228A">
        <w:rPr>
          <w:rFonts w:ascii="Times New Roman" w:hAnsi="Times New Roman" w:cs="Times New Roman"/>
          <w:sz w:val="24"/>
          <w:szCs w:val="24"/>
        </w:rPr>
        <w:t xml:space="preserve"> relied on single witness evidence. It is settled law in this jurisdiction that in sexual matters corroboration may not be necessary. A conviction can be made on single witness evidence provided it is sufficiently reliable, credible and trustworthy. The court in such a scenario, where it is the witness or victim’s word against the accused’s word has a judicial mandate to be very objective in eliminating the potential inherent dangers in </w:t>
      </w:r>
      <w:r w:rsidR="00187367">
        <w:rPr>
          <w:rFonts w:ascii="Times New Roman" w:hAnsi="Times New Roman" w:cs="Times New Roman"/>
          <w:sz w:val="24"/>
          <w:szCs w:val="24"/>
        </w:rPr>
        <w:t>single witness evidence. That is, self-preservation, putting oneself in better light, deliberate exaggeration, and honest deception.  The court must satisfy itself with and weigh the cogency and quality of the evidence. A determination on its clarity and significant flaws must be made.</w:t>
      </w:r>
      <w:r w:rsidR="00DA2164">
        <w:rPr>
          <w:rFonts w:ascii="Times New Roman" w:hAnsi="Times New Roman" w:cs="Times New Roman"/>
          <w:sz w:val="24"/>
          <w:szCs w:val="24"/>
        </w:rPr>
        <w:t xml:space="preserve"> Th</w:t>
      </w:r>
      <w:r w:rsidR="0037462F">
        <w:rPr>
          <w:rFonts w:ascii="Times New Roman" w:hAnsi="Times New Roman" w:cs="Times New Roman"/>
          <w:sz w:val="24"/>
          <w:szCs w:val="24"/>
        </w:rPr>
        <w:t xml:space="preserve">e </w:t>
      </w:r>
      <w:r w:rsidR="00FD23AB">
        <w:rPr>
          <w:rFonts w:ascii="Times New Roman" w:hAnsi="Times New Roman" w:cs="Times New Roman"/>
          <w:sz w:val="24"/>
          <w:szCs w:val="24"/>
        </w:rPr>
        <w:t>well-established</w:t>
      </w:r>
      <w:r w:rsidR="0037462F">
        <w:rPr>
          <w:rFonts w:ascii="Times New Roman" w:hAnsi="Times New Roman" w:cs="Times New Roman"/>
          <w:sz w:val="24"/>
          <w:szCs w:val="24"/>
        </w:rPr>
        <w:t xml:space="preserve"> judicial rule of the cautionary approach in single witness</w:t>
      </w:r>
      <w:r w:rsidR="00FD23AB">
        <w:rPr>
          <w:rFonts w:ascii="Times New Roman" w:hAnsi="Times New Roman" w:cs="Times New Roman"/>
          <w:sz w:val="24"/>
          <w:szCs w:val="24"/>
        </w:rPr>
        <w:t xml:space="preserve"> evidence </w:t>
      </w:r>
      <w:proofErr w:type="gramStart"/>
      <w:r w:rsidR="00FD23AB">
        <w:rPr>
          <w:rFonts w:ascii="Times New Roman" w:hAnsi="Times New Roman" w:cs="Times New Roman"/>
          <w:sz w:val="24"/>
          <w:szCs w:val="24"/>
        </w:rPr>
        <w:t xml:space="preserve">should </w:t>
      </w:r>
      <w:r w:rsidR="00DA2164">
        <w:rPr>
          <w:rFonts w:ascii="Times New Roman" w:hAnsi="Times New Roman" w:cs="Times New Roman"/>
          <w:sz w:val="24"/>
          <w:szCs w:val="24"/>
        </w:rPr>
        <w:t xml:space="preserve"> </w:t>
      </w:r>
      <w:r w:rsidR="0037462F">
        <w:rPr>
          <w:rFonts w:ascii="Times New Roman" w:hAnsi="Times New Roman" w:cs="Times New Roman"/>
          <w:sz w:val="24"/>
          <w:szCs w:val="24"/>
        </w:rPr>
        <w:t>not</w:t>
      </w:r>
      <w:proofErr w:type="gramEnd"/>
      <w:r w:rsidR="00FD23AB">
        <w:rPr>
          <w:rFonts w:ascii="Times New Roman" w:hAnsi="Times New Roman" w:cs="Times New Roman"/>
          <w:sz w:val="24"/>
          <w:szCs w:val="24"/>
        </w:rPr>
        <w:t xml:space="preserve"> be</w:t>
      </w:r>
      <w:r w:rsidR="0037462F">
        <w:rPr>
          <w:rFonts w:ascii="Times New Roman" w:hAnsi="Times New Roman" w:cs="Times New Roman"/>
          <w:sz w:val="24"/>
          <w:szCs w:val="24"/>
        </w:rPr>
        <w:t xml:space="preserve"> negated as </w:t>
      </w:r>
      <w:r w:rsidR="00DA2164">
        <w:rPr>
          <w:rFonts w:ascii="Times New Roman" w:hAnsi="Times New Roman" w:cs="Times New Roman"/>
          <w:sz w:val="24"/>
          <w:szCs w:val="24"/>
        </w:rPr>
        <w:t>amplified in the case</w:t>
      </w:r>
      <w:r w:rsidR="00FD23AB">
        <w:rPr>
          <w:rFonts w:ascii="Times New Roman" w:hAnsi="Times New Roman" w:cs="Times New Roman"/>
          <w:sz w:val="24"/>
          <w:szCs w:val="24"/>
        </w:rPr>
        <w:t>s</w:t>
      </w:r>
      <w:r w:rsidR="00DA2164">
        <w:rPr>
          <w:rFonts w:ascii="Times New Roman" w:hAnsi="Times New Roman" w:cs="Times New Roman"/>
          <w:sz w:val="24"/>
          <w:szCs w:val="24"/>
        </w:rPr>
        <w:t xml:space="preserve"> of </w:t>
      </w:r>
      <w:r w:rsidR="00DA2164" w:rsidRPr="00DA2164">
        <w:rPr>
          <w:rFonts w:ascii="Times New Roman" w:hAnsi="Times New Roman" w:cs="Times New Roman"/>
          <w:i/>
          <w:iCs/>
          <w:sz w:val="24"/>
          <w:szCs w:val="24"/>
        </w:rPr>
        <w:t xml:space="preserve">S v </w:t>
      </w:r>
      <w:proofErr w:type="spellStart"/>
      <w:r w:rsidR="00DA2164" w:rsidRPr="00DA2164">
        <w:rPr>
          <w:rFonts w:ascii="Times New Roman" w:hAnsi="Times New Roman" w:cs="Times New Roman"/>
          <w:i/>
          <w:iCs/>
          <w:sz w:val="24"/>
          <w:szCs w:val="24"/>
        </w:rPr>
        <w:t>Mupfumburi</w:t>
      </w:r>
      <w:proofErr w:type="spellEnd"/>
      <w:r w:rsidR="00DA2164">
        <w:rPr>
          <w:rFonts w:ascii="Times New Roman" w:hAnsi="Times New Roman" w:cs="Times New Roman"/>
          <w:sz w:val="24"/>
          <w:szCs w:val="24"/>
        </w:rPr>
        <w:t xml:space="preserve"> HH464/2014, </w:t>
      </w:r>
      <w:r w:rsidR="00DA2164" w:rsidRPr="00FD23AB">
        <w:rPr>
          <w:rFonts w:ascii="Times New Roman" w:hAnsi="Times New Roman" w:cs="Times New Roman"/>
          <w:i/>
          <w:iCs/>
          <w:sz w:val="24"/>
          <w:szCs w:val="24"/>
        </w:rPr>
        <w:t xml:space="preserve">S v </w:t>
      </w:r>
      <w:proofErr w:type="spellStart"/>
      <w:r w:rsidR="00DA2164" w:rsidRPr="00FD23AB">
        <w:rPr>
          <w:rFonts w:ascii="Times New Roman" w:hAnsi="Times New Roman" w:cs="Times New Roman"/>
          <w:i/>
          <w:iCs/>
          <w:sz w:val="24"/>
          <w:szCs w:val="24"/>
        </w:rPr>
        <w:t>Chikanga</w:t>
      </w:r>
      <w:proofErr w:type="spellEnd"/>
      <w:r w:rsidR="00FD23AB">
        <w:rPr>
          <w:rFonts w:ascii="Times New Roman" w:hAnsi="Times New Roman" w:cs="Times New Roman"/>
          <w:sz w:val="24"/>
          <w:szCs w:val="24"/>
        </w:rPr>
        <w:t xml:space="preserve"> HH</w:t>
      </w:r>
      <w:r w:rsidR="00DA2164">
        <w:rPr>
          <w:rFonts w:ascii="Times New Roman" w:hAnsi="Times New Roman" w:cs="Times New Roman"/>
          <w:sz w:val="24"/>
          <w:szCs w:val="24"/>
        </w:rPr>
        <w:t>233.</w:t>
      </w:r>
      <w:r w:rsidR="00FD23AB">
        <w:rPr>
          <w:rFonts w:ascii="Times New Roman" w:hAnsi="Times New Roman" w:cs="Times New Roman"/>
          <w:sz w:val="24"/>
          <w:szCs w:val="24"/>
        </w:rPr>
        <w:t>2022,</w:t>
      </w:r>
      <w:r w:rsidR="00FD23AB" w:rsidRPr="00FD23AB">
        <w:rPr>
          <w:rFonts w:ascii="Times New Roman" w:hAnsi="Times New Roman" w:cs="Times New Roman"/>
          <w:i/>
          <w:iCs/>
          <w:sz w:val="24"/>
          <w:szCs w:val="24"/>
        </w:rPr>
        <w:t xml:space="preserve"> S v</w:t>
      </w:r>
      <w:r w:rsidR="00FD23AB">
        <w:rPr>
          <w:rFonts w:ascii="Times New Roman" w:hAnsi="Times New Roman" w:cs="Times New Roman"/>
          <w:sz w:val="24"/>
          <w:szCs w:val="24"/>
        </w:rPr>
        <w:t xml:space="preserve"> </w:t>
      </w:r>
      <w:r w:rsidR="00DA2164" w:rsidRPr="00FD23AB">
        <w:rPr>
          <w:rFonts w:ascii="Times New Roman" w:hAnsi="Times New Roman" w:cs="Times New Roman"/>
          <w:i/>
          <w:iCs/>
          <w:sz w:val="24"/>
          <w:szCs w:val="24"/>
        </w:rPr>
        <w:t>Cupido</w:t>
      </w:r>
      <w:r w:rsidR="00DA2164">
        <w:rPr>
          <w:rFonts w:ascii="Times New Roman" w:hAnsi="Times New Roman" w:cs="Times New Roman"/>
          <w:sz w:val="24"/>
          <w:szCs w:val="24"/>
        </w:rPr>
        <w:t xml:space="preserve"> (1237/2022[2024[ZASCA4(16 January 2024</w:t>
      </w:r>
      <w:r w:rsidR="00FD23AB">
        <w:rPr>
          <w:rFonts w:ascii="Times New Roman" w:hAnsi="Times New Roman" w:cs="Times New Roman"/>
          <w:sz w:val="24"/>
          <w:szCs w:val="24"/>
        </w:rPr>
        <w:t>)</w:t>
      </w:r>
      <w:r w:rsidR="00D1184A">
        <w:rPr>
          <w:rFonts w:ascii="Times New Roman" w:hAnsi="Times New Roman" w:cs="Times New Roman"/>
          <w:sz w:val="24"/>
          <w:szCs w:val="24"/>
        </w:rPr>
        <w:t xml:space="preserve">. </w:t>
      </w:r>
      <w:r w:rsidR="00FD23AB">
        <w:rPr>
          <w:rFonts w:ascii="Times New Roman" w:hAnsi="Times New Roman" w:cs="Times New Roman"/>
          <w:sz w:val="24"/>
          <w:szCs w:val="24"/>
        </w:rPr>
        <w:t xml:space="preserve"> </w:t>
      </w:r>
      <w:r w:rsidR="00D1184A">
        <w:rPr>
          <w:rFonts w:ascii="Times New Roman" w:hAnsi="Times New Roman" w:cs="Times New Roman"/>
          <w:sz w:val="24"/>
          <w:szCs w:val="24"/>
        </w:rPr>
        <w:t xml:space="preserve"> </w:t>
      </w:r>
      <w:r w:rsidR="00FD23AB">
        <w:rPr>
          <w:rFonts w:ascii="Times New Roman" w:hAnsi="Times New Roman" w:cs="Times New Roman"/>
          <w:sz w:val="24"/>
          <w:szCs w:val="24"/>
        </w:rPr>
        <w:t xml:space="preserve"> </w:t>
      </w:r>
    </w:p>
    <w:p w14:paraId="74F81C5C" w14:textId="1DF4C382" w:rsidR="005A613A" w:rsidRDefault="00FD23AB" w:rsidP="005129BC">
      <w:pPr>
        <w:spacing w:line="360" w:lineRule="auto"/>
        <w:rPr>
          <w:rFonts w:ascii="Times New Roman" w:hAnsi="Times New Roman" w:cs="Times New Roman"/>
          <w:sz w:val="24"/>
          <w:szCs w:val="24"/>
        </w:rPr>
      </w:pPr>
      <w:r>
        <w:rPr>
          <w:rFonts w:ascii="Times New Roman" w:hAnsi="Times New Roman" w:cs="Times New Roman"/>
          <w:sz w:val="24"/>
          <w:szCs w:val="24"/>
        </w:rPr>
        <w:t>Notably, the trial court acknowledged and believed the testimony by the defence witness that one of the items listed as damaged by the accused, the television was firstly not dam</w:t>
      </w:r>
      <w:r w:rsidR="004A1959">
        <w:rPr>
          <w:rFonts w:ascii="Times New Roman" w:hAnsi="Times New Roman" w:cs="Times New Roman"/>
          <w:sz w:val="24"/>
          <w:szCs w:val="24"/>
        </w:rPr>
        <w:t>a</w:t>
      </w:r>
      <w:r>
        <w:rPr>
          <w:rFonts w:ascii="Times New Roman" w:hAnsi="Times New Roman" w:cs="Times New Roman"/>
          <w:sz w:val="24"/>
          <w:szCs w:val="24"/>
        </w:rPr>
        <w:t>ged by the accused but by the complainant herself. Secondly, that</w:t>
      </w:r>
      <w:r w:rsidR="004A1959">
        <w:rPr>
          <w:rFonts w:ascii="Times New Roman" w:hAnsi="Times New Roman" w:cs="Times New Roman"/>
          <w:sz w:val="24"/>
          <w:szCs w:val="24"/>
        </w:rPr>
        <w:t>,</w:t>
      </w:r>
      <w:r>
        <w:rPr>
          <w:rFonts w:ascii="Times New Roman" w:hAnsi="Times New Roman" w:cs="Times New Roman"/>
          <w:sz w:val="24"/>
          <w:szCs w:val="24"/>
        </w:rPr>
        <w:t xml:space="preserve"> that item was not destroyed on the date of the alleged offence but way back on a different unexplained incident. </w:t>
      </w:r>
      <w:r w:rsidR="005A613A">
        <w:rPr>
          <w:rFonts w:ascii="Times New Roman" w:hAnsi="Times New Roman" w:cs="Times New Roman"/>
          <w:sz w:val="24"/>
          <w:szCs w:val="24"/>
        </w:rPr>
        <w:t>On assessment, this is material evidence which goes to the root of the whole testimony of the complainant. Knowing fully well of the veracity of that fact, she did not only conceal the same to the police, to the State but in her evidence in chief</w:t>
      </w:r>
      <w:r w:rsidR="004A1959">
        <w:rPr>
          <w:rFonts w:ascii="Times New Roman" w:hAnsi="Times New Roman" w:cs="Times New Roman"/>
          <w:sz w:val="24"/>
          <w:szCs w:val="24"/>
        </w:rPr>
        <w:t xml:space="preserve">, </w:t>
      </w:r>
      <w:r w:rsidR="005A613A">
        <w:rPr>
          <w:rFonts w:ascii="Times New Roman" w:hAnsi="Times New Roman" w:cs="Times New Roman"/>
          <w:sz w:val="24"/>
          <w:szCs w:val="24"/>
        </w:rPr>
        <w:t>in court. That crucial</w:t>
      </w:r>
      <w:r w:rsidR="004A1959">
        <w:rPr>
          <w:rFonts w:ascii="Times New Roman" w:hAnsi="Times New Roman" w:cs="Times New Roman"/>
          <w:sz w:val="24"/>
          <w:szCs w:val="24"/>
        </w:rPr>
        <w:t>,</w:t>
      </w:r>
      <w:r w:rsidR="005A613A">
        <w:rPr>
          <w:rFonts w:ascii="Times New Roman" w:hAnsi="Times New Roman" w:cs="Times New Roman"/>
          <w:sz w:val="24"/>
          <w:szCs w:val="24"/>
        </w:rPr>
        <w:t xml:space="preserve"> but damning piece of evidence only came to light through the defence witness. This then questions or put to test the honesty, reliability and trustworthiness of the evidence of this single witness.</w:t>
      </w:r>
    </w:p>
    <w:p w14:paraId="4993F190" w14:textId="3FADEB4F" w:rsidR="000C5766" w:rsidRDefault="005A613A" w:rsidP="000C576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deliberately withheld evidence of the destruction of the family television, not only dented the single witness’s evidence </w:t>
      </w:r>
      <w:r w:rsidR="004A1959">
        <w:rPr>
          <w:rFonts w:ascii="Times New Roman" w:hAnsi="Times New Roman" w:cs="Times New Roman"/>
          <w:sz w:val="24"/>
          <w:szCs w:val="24"/>
        </w:rPr>
        <w:t>but also explicitly</w:t>
      </w:r>
      <w:r>
        <w:rPr>
          <w:rFonts w:ascii="Times New Roman" w:hAnsi="Times New Roman" w:cs="Times New Roman"/>
          <w:sz w:val="24"/>
          <w:szCs w:val="24"/>
        </w:rPr>
        <w:t xml:space="preserve"> portrayed her as the one with a violent disposition and an inclination to destroy household property.</w:t>
      </w:r>
      <w:r w:rsidR="000C5766" w:rsidRPr="000C5766">
        <w:rPr>
          <w:rFonts w:ascii="Times New Roman" w:hAnsi="Times New Roman" w:cs="Times New Roman"/>
          <w:sz w:val="24"/>
          <w:szCs w:val="24"/>
        </w:rPr>
        <w:t xml:space="preserve"> </w:t>
      </w:r>
      <w:r w:rsidR="000C5766">
        <w:rPr>
          <w:rFonts w:ascii="Times New Roman" w:hAnsi="Times New Roman" w:cs="Times New Roman"/>
          <w:sz w:val="24"/>
          <w:szCs w:val="24"/>
        </w:rPr>
        <w:t xml:space="preserve">In essence, the omission of that crucial piece of evidence </w:t>
      </w:r>
      <w:r w:rsidR="004A1959">
        <w:rPr>
          <w:rFonts w:ascii="Times New Roman" w:hAnsi="Times New Roman" w:cs="Times New Roman"/>
          <w:sz w:val="24"/>
          <w:szCs w:val="24"/>
        </w:rPr>
        <w:t>did a</w:t>
      </w:r>
      <w:r w:rsidR="000C5766">
        <w:rPr>
          <w:rFonts w:ascii="Times New Roman" w:hAnsi="Times New Roman" w:cs="Times New Roman"/>
          <w:sz w:val="24"/>
          <w:szCs w:val="24"/>
        </w:rPr>
        <w:t xml:space="preserve"> lot of damage to the complainant’s credibility and inevitably her version of events </w:t>
      </w:r>
      <w:r w:rsidR="004A1959">
        <w:rPr>
          <w:rFonts w:ascii="Times New Roman" w:hAnsi="Times New Roman" w:cs="Times New Roman"/>
          <w:sz w:val="24"/>
          <w:szCs w:val="24"/>
        </w:rPr>
        <w:t xml:space="preserve">as </w:t>
      </w:r>
      <w:r w:rsidR="000C5766">
        <w:rPr>
          <w:rFonts w:ascii="Times New Roman" w:hAnsi="Times New Roman" w:cs="Times New Roman"/>
          <w:sz w:val="24"/>
          <w:szCs w:val="24"/>
        </w:rPr>
        <w:t>contrasted with that of the accused.</w:t>
      </w:r>
    </w:p>
    <w:p w14:paraId="1B1444A1" w14:textId="4BA6F130" w:rsidR="005A613A" w:rsidRDefault="005A613A" w:rsidP="005129BC">
      <w:pPr>
        <w:spacing w:line="360" w:lineRule="auto"/>
        <w:rPr>
          <w:rFonts w:ascii="Times New Roman" w:hAnsi="Times New Roman" w:cs="Times New Roman"/>
          <w:sz w:val="24"/>
          <w:szCs w:val="24"/>
        </w:rPr>
      </w:pPr>
    </w:p>
    <w:p w14:paraId="302E9A0D" w14:textId="31B07390" w:rsidR="000C5766" w:rsidRDefault="004A1959" w:rsidP="005129BC">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266275">
        <w:rPr>
          <w:rFonts w:ascii="Times New Roman" w:hAnsi="Times New Roman" w:cs="Times New Roman"/>
          <w:sz w:val="24"/>
          <w:szCs w:val="24"/>
        </w:rPr>
        <w:t xml:space="preserve"> </w:t>
      </w:r>
      <w:r w:rsidR="007D7C64">
        <w:rPr>
          <w:rFonts w:ascii="Times New Roman" w:hAnsi="Times New Roman" w:cs="Times New Roman"/>
          <w:sz w:val="24"/>
          <w:szCs w:val="24"/>
        </w:rPr>
        <w:t xml:space="preserve"> </w:t>
      </w:r>
      <w:r w:rsidR="00266275">
        <w:rPr>
          <w:rFonts w:ascii="Times New Roman" w:hAnsi="Times New Roman" w:cs="Times New Roman"/>
          <w:sz w:val="24"/>
          <w:szCs w:val="24"/>
        </w:rPr>
        <w:t xml:space="preserve"> If this is weighed against the</w:t>
      </w:r>
      <w:r w:rsidR="007D7C64">
        <w:rPr>
          <w:rFonts w:ascii="Times New Roman" w:hAnsi="Times New Roman" w:cs="Times New Roman"/>
          <w:sz w:val="24"/>
          <w:szCs w:val="24"/>
        </w:rPr>
        <w:t xml:space="preserve"> uncontested</w:t>
      </w:r>
      <w:r w:rsidR="00266275">
        <w:rPr>
          <w:rFonts w:ascii="Times New Roman" w:hAnsi="Times New Roman" w:cs="Times New Roman"/>
          <w:sz w:val="24"/>
          <w:szCs w:val="24"/>
        </w:rPr>
        <w:t xml:space="preserve"> evidence of the accused, that </w:t>
      </w:r>
      <w:r>
        <w:rPr>
          <w:rFonts w:ascii="Times New Roman" w:hAnsi="Times New Roman" w:cs="Times New Roman"/>
          <w:sz w:val="24"/>
          <w:szCs w:val="24"/>
        </w:rPr>
        <w:t>t</w:t>
      </w:r>
      <w:r w:rsidR="00266275">
        <w:rPr>
          <w:rFonts w:ascii="Times New Roman" w:hAnsi="Times New Roman" w:cs="Times New Roman"/>
          <w:sz w:val="24"/>
          <w:szCs w:val="24"/>
        </w:rPr>
        <w:t>he</w:t>
      </w:r>
      <w:r>
        <w:rPr>
          <w:rFonts w:ascii="Times New Roman" w:hAnsi="Times New Roman" w:cs="Times New Roman"/>
          <w:sz w:val="24"/>
          <w:szCs w:val="24"/>
        </w:rPr>
        <w:t xml:space="preserve"> accused</w:t>
      </w:r>
      <w:r w:rsidR="00266275">
        <w:rPr>
          <w:rFonts w:ascii="Times New Roman" w:hAnsi="Times New Roman" w:cs="Times New Roman"/>
          <w:sz w:val="24"/>
          <w:szCs w:val="24"/>
        </w:rPr>
        <w:t xml:space="preserve"> was the sole bread winner and purchaser of the household property who</w:t>
      </w:r>
      <w:r w:rsidR="00914F1D">
        <w:rPr>
          <w:rFonts w:ascii="Times New Roman" w:hAnsi="Times New Roman" w:cs="Times New Roman"/>
          <w:sz w:val="24"/>
          <w:szCs w:val="24"/>
        </w:rPr>
        <w:t xml:space="preserve"> fully</w:t>
      </w:r>
      <w:r w:rsidR="00266275">
        <w:rPr>
          <w:rFonts w:ascii="Times New Roman" w:hAnsi="Times New Roman" w:cs="Times New Roman"/>
          <w:sz w:val="24"/>
          <w:szCs w:val="24"/>
        </w:rPr>
        <w:t xml:space="preserve"> comprehends the labour exerted into earning cash and then acquiring property</w:t>
      </w:r>
      <w:r w:rsidR="007D7C64">
        <w:rPr>
          <w:rFonts w:ascii="Times New Roman" w:hAnsi="Times New Roman" w:cs="Times New Roman"/>
          <w:sz w:val="24"/>
          <w:szCs w:val="24"/>
        </w:rPr>
        <w:t>, then it makes no sense that he</w:t>
      </w:r>
      <w:r w:rsidR="00266275">
        <w:rPr>
          <w:rFonts w:ascii="Times New Roman" w:hAnsi="Times New Roman" w:cs="Times New Roman"/>
          <w:sz w:val="24"/>
          <w:szCs w:val="24"/>
        </w:rPr>
        <w:t xml:space="preserve"> </w:t>
      </w:r>
      <w:r w:rsidR="007D7C64">
        <w:rPr>
          <w:rFonts w:ascii="Times New Roman" w:hAnsi="Times New Roman" w:cs="Times New Roman"/>
          <w:sz w:val="24"/>
          <w:szCs w:val="24"/>
        </w:rPr>
        <w:t>would readily</w:t>
      </w:r>
      <w:r w:rsidR="00266275">
        <w:rPr>
          <w:rFonts w:ascii="Times New Roman" w:hAnsi="Times New Roman" w:cs="Times New Roman"/>
          <w:sz w:val="24"/>
          <w:szCs w:val="24"/>
        </w:rPr>
        <w:t xml:space="preserve"> destroy that which he painstakingly acquired.</w:t>
      </w:r>
      <w:r w:rsidR="000C5766">
        <w:rPr>
          <w:rFonts w:ascii="Times New Roman" w:hAnsi="Times New Roman" w:cs="Times New Roman"/>
          <w:sz w:val="24"/>
          <w:szCs w:val="24"/>
        </w:rPr>
        <w:t xml:space="preserve"> In addition, the accused’s evidence that it is the complainant’s relatives who damaged the rest of the property was not rebutted. I</w:t>
      </w:r>
      <w:r w:rsidR="007D7C64">
        <w:rPr>
          <w:rFonts w:ascii="Times New Roman" w:hAnsi="Times New Roman" w:cs="Times New Roman"/>
          <w:sz w:val="24"/>
          <w:szCs w:val="24"/>
        </w:rPr>
        <w:t xml:space="preserve">t was not denied that the complainant’s relatives did arrive at the scene a short period later and are accused of having destroyed the property whilst exacting revenge assaults on the accused. </w:t>
      </w:r>
      <w:r w:rsidR="000C5766">
        <w:rPr>
          <w:rFonts w:ascii="Times New Roman" w:hAnsi="Times New Roman" w:cs="Times New Roman"/>
          <w:sz w:val="24"/>
          <w:szCs w:val="24"/>
        </w:rPr>
        <w:t xml:space="preserve"> </w:t>
      </w:r>
    </w:p>
    <w:p w14:paraId="3F4FC70A" w14:textId="10FBC0A4" w:rsidR="007D7C64" w:rsidRDefault="000C5766" w:rsidP="005129BC">
      <w:pPr>
        <w:spacing w:line="360" w:lineRule="auto"/>
        <w:rPr>
          <w:rFonts w:ascii="Times New Roman" w:hAnsi="Times New Roman" w:cs="Times New Roman"/>
          <w:sz w:val="24"/>
          <w:szCs w:val="24"/>
        </w:rPr>
      </w:pPr>
      <w:r>
        <w:rPr>
          <w:rFonts w:ascii="Times New Roman" w:hAnsi="Times New Roman" w:cs="Times New Roman"/>
          <w:sz w:val="24"/>
          <w:szCs w:val="24"/>
        </w:rPr>
        <w:t xml:space="preserve"> A second defence witness attested of hearing a commotion, tantamount to a fight but could not deny or admit the presence of the said third</w:t>
      </w:r>
      <w:r w:rsidR="003B708D">
        <w:rPr>
          <w:rFonts w:ascii="Times New Roman" w:hAnsi="Times New Roman" w:cs="Times New Roman"/>
          <w:sz w:val="24"/>
          <w:szCs w:val="24"/>
        </w:rPr>
        <w:t xml:space="preserve"> parties</w:t>
      </w:r>
      <w:r>
        <w:rPr>
          <w:rFonts w:ascii="Times New Roman" w:hAnsi="Times New Roman" w:cs="Times New Roman"/>
          <w:sz w:val="24"/>
          <w:szCs w:val="24"/>
        </w:rPr>
        <w:t xml:space="preserve"> nor their involvement in the whole fracas</w:t>
      </w:r>
      <w:r w:rsidR="003B708D">
        <w:rPr>
          <w:rFonts w:ascii="Times New Roman" w:hAnsi="Times New Roman" w:cs="Times New Roman"/>
          <w:sz w:val="24"/>
          <w:szCs w:val="24"/>
        </w:rPr>
        <w:t>. I</w:t>
      </w:r>
      <w:r w:rsidR="007D7C64">
        <w:rPr>
          <w:rFonts w:ascii="Times New Roman" w:hAnsi="Times New Roman" w:cs="Times New Roman"/>
          <w:sz w:val="24"/>
          <w:szCs w:val="24"/>
        </w:rPr>
        <w:t>t was</w:t>
      </w:r>
      <w:r w:rsidR="003B708D">
        <w:rPr>
          <w:rFonts w:ascii="Times New Roman" w:hAnsi="Times New Roman" w:cs="Times New Roman"/>
          <w:sz w:val="24"/>
          <w:szCs w:val="24"/>
        </w:rPr>
        <w:t xml:space="preserve"> thus</w:t>
      </w:r>
      <w:r w:rsidR="007D7C64">
        <w:rPr>
          <w:rFonts w:ascii="Times New Roman" w:hAnsi="Times New Roman" w:cs="Times New Roman"/>
          <w:sz w:val="24"/>
          <w:szCs w:val="24"/>
        </w:rPr>
        <w:t xml:space="preserve"> not proved beyond a reasonable doubt that the accused damaged the said property.</w:t>
      </w:r>
      <w:r>
        <w:rPr>
          <w:rFonts w:ascii="Times New Roman" w:hAnsi="Times New Roman" w:cs="Times New Roman"/>
          <w:sz w:val="24"/>
          <w:szCs w:val="24"/>
        </w:rPr>
        <w:t xml:space="preserve"> </w:t>
      </w:r>
      <w:r w:rsidR="003B708D">
        <w:rPr>
          <w:rFonts w:ascii="Times New Roman" w:hAnsi="Times New Roman" w:cs="Times New Roman"/>
          <w:sz w:val="24"/>
          <w:szCs w:val="24"/>
        </w:rPr>
        <w:t>In light of the above, the</w:t>
      </w:r>
      <w:r>
        <w:rPr>
          <w:rFonts w:ascii="Times New Roman" w:hAnsi="Times New Roman" w:cs="Times New Roman"/>
          <w:sz w:val="24"/>
          <w:szCs w:val="24"/>
        </w:rPr>
        <w:t xml:space="preserve"> trial court wase </w:t>
      </w:r>
      <w:r w:rsidR="003B708D">
        <w:rPr>
          <w:rFonts w:ascii="Times New Roman" w:hAnsi="Times New Roman" w:cs="Times New Roman"/>
          <w:sz w:val="24"/>
          <w:szCs w:val="24"/>
        </w:rPr>
        <w:t>enjoined</w:t>
      </w:r>
      <w:r>
        <w:rPr>
          <w:rFonts w:ascii="Times New Roman" w:hAnsi="Times New Roman" w:cs="Times New Roman"/>
          <w:sz w:val="24"/>
          <w:szCs w:val="24"/>
        </w:rPr>
        <w:t xml:space="preserve"> to </w:t>
      </w:r>
      <w:r w:rsidR="003B708D">
        <w:rPr>
          <w:rFonts w:ascii="Times New Roman" w:hAnsi="Times New Roman" w:cs="Times New Roman"/>
          <w:sz w:val="24"/>
          <w:szCs w:val="24"/>
        </w:rPr>
        <w:t xml:space="preserve">thoroughly and sufficiently </w:t>
      </w:r>
      <w:r>
        <w:rPr>
          <w:rFonts w:ascii="Times New Roman" w:hAnsi="Times New Roman" w:cs="Times New Roman"/>
          <w:sz w:val="24"/>
          <w:szCs w:val="24"/>
        </w:rPr>
        <w:t>weigh the evidence of the accused against that of the single witness</w:t>
      </w:r>
      <w:r w:rsidR="003B708D">
        <w:rPr>
          <w:rFonts w:ascii="Times New Roman" w:hAnsi="Times New Roman" w:cs="Times New Roman"/>
          <w:sz w:val="24"/>
          <w:szCs w:val="24"/>
        </w:rPr>
        <w:t xml:space="preserve"> which we believe it did not. This was amply highlighted</w:t>
      </w:r>
      <w:r>
        <w:rPr>
          <w:rFonts w:ascii="Times New Roman" w:hAnsi="Times New Roman" w:cs="Times New Roman"/>
          <w:sz w:val="24"/>
          <w:szCs w:val="24"/>
        </w:rPr>
        <w:t xml:space="preserve"> </w:t>
      </w:r>
      <w:r w:rsidR="003B708D">
        <w:rPr>
          <w:rFonts w:ascii="Times New Roman" w:hAnsi="Times New Roman" w:cs="Times New Roman"/>
          <w:sz w:val="24"/>
          <w:szCs w:val="24"/>
        </w:rPr>
        <w:t xml:space="preserve">in </w:t>
      </w:r>
      <w:r w:rsidR="003B708D" w:rsidRPr="003B708D">
        <w:rPr>
          <w:rFonts w:ascii="Times New Roman" w:hAnsi="Times New Roman" w:cs="Times New Roman"/>
          <w:i/>
          <w:iCs/>
          <w:sz w:val="24"/>
          <w:szCs w:val="24"/>
        </w:rPr>
        <w:t>S</w:t>
      </w:r>
      <w:r w:rsidRPr="003B708D">
        <w:rPr>
          <w:rFonts w:ascii="Times New Roman" w:hAnsi="Times New Roman" w:cs="Times New Roman"/>
          <w:i/>
          <w:iCs/>
          <w:sz w:val="24"/>
          <w:szCs w:val="24"/>
        </w:rPr>
        <w:t xml:space="preserve"> v </w:t>
      </w:r>
      <w:r w:rsidR="003B708D" w:rsidRPr="003B708D">
        <w:rPr>
          <w:rFonts w:ascii="Times New Roman" w:hAnsi="Times New Roman" w:cs="Times New Roman"/>
          <w:i/>
          <w:iCs/>
          <w:sz w:val="24"/>
          <w:szCs w:val="24"/>
        </w:rPr>
        <w:t>C</w:t>
      </w:r>
      <w:r w:rsidRPr="003B708D">
        <w:rPr>
          <w:rFonts w:ascii="Times New Roman" w:hAnsi="Times New Roman" w:cs="Times New Roman"/>
          <w:i/>
          <w:iCs/>
          <w:sz w:val="24"/>
          <w:szCs w:val="24"/>
        </w:rPr>
        <w:t>habalala</w:t>
      </w:r>
      <w:r>
        <w:rPr>
          <w:rFonts w:ascii="Times New Roman" w:hAnsi="Times New Roman" w:cs="Times New Roman"/>
          <w:sz w:val="24"/>
          <w:szCs w:val="24"/>
        </w:rPr>
        <w:t xml:space="preserve"> 2003(</w:t>
      </w:r>
      <w:proofErr w:type="gramStart"/>
      <w:r>
        <w:rPr>
          <w:rFonts w:ascii="Times New Roman" w:hAnsi="Times New Roman" w:cs="Times New Roman"/>
          <w:sz w:val="24"/>
          <w:szCs w:val="24"/>
        </w:rPr>
        <w:t>1)SACR</w:t>
      </w:r>
      <w:proofErr w:type="gramEnd"/>
      <w:r>
        <w:rPr>
          <w:rFonts w:ascii="Times New Roman" w:hAnsi="Times New Roman" w:cs="Times New Roman"/>
          <w:sz w:val="24"/>
          <w:szCs w:val="24"/>
        </w:rPr>
        <w:t xml:space="preserve"> 134 (SCA</w:t>
      </w:r>
      <w:r w:rsidR="003B708D">
        <w:rPr>
          <w:rFonts w:ascii="Times New Roman" w:hAnsi="Times New Roman" w:cs="Times New Roman"/>
          <w:sz w:val="24"/>
          <w:szCs w:val="24"/>
        </w:rPr>
        <w:t>).</w:t>
      </w:r>
    </w:p>
    <w:p w14:paraId="4D3DBF6B" w14:textId="77777777" w:rsidR="003B708D" w:rsidRDefault="003B708D" w:rsidP="005129BC">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brings us to the first count of physical abuse. The conviction was based on the medical affidavit. Whilst the expert document could detail the injury and its extent, it fell short of distinguishing between self-inflicted, accidental or third party-imposed injuries.  So, in this box ring match evidence before the court, the probability from the whole conspectus of evidence, that during the misunderstanding, the complainant may have sustained injuries through her own bumping into a mirror which then fragmented cannot be ruled out. </w:t>
      </w:r>
    </w:p>
    <w:p w14:paraId="6889AFC7" w14:textId="31851F30" w:rsidR="00D1184A" w:rsidRDefault="003B708D" w:rsidP="005129BC">
      <w:pPr>
        <w:spacing w:line="360" w:lineRule="auto"/>
        <w:rPr>
          <w:rFonts w:ascii="Times New Roman" w:hAnsi="Times New Roman" w:cs="Times New Roman"/>
          <w:sz w:val="24"/>
          <w:szCs w:val="24"/>
        </w:rPr>
      </w:pPr>
      <w:r>
        <w:rPr>
          <w:rFonts w:ascii="Times New Roman" w:hAnsi="Times New Roman" w:cs="Times New Roman"/>
          <w:sz w:val="24"/>
          <w:szCs w:val="24"/>
        </w:rPr>
        <w:t xml:space="preserve"> Given the dishonesty in the complainant’s evidence on vital information, as </w:t>
      </w:r>
      <w:r w:rsidR="00B37EF7">
        <w:rPr>
          <w:rFonts w:ascii="Times New Roman" w:hAnsi="Times New Roman" w:cs="Times New Roman"/>
          <w:sz w:val="24"/>
          <w:szCs w:val="24"/>
        </w:rPr>
        <w:t>examined above, e</w:t>
      </w:r>
      <w:r w:rsidR="007D7C64">
        <w:rPr>
          <w:rFonts w:ascii="Times New Roman" w:hAnsi="Times New Roman" w:cs="Times New Roman"/>
          <w:sz w:val="24"/>
          <w:szCs w:val="24"/>
        </w:rPr>
        <w:t>ven in single witness evidence</w:t>
      </w:r>
      <w:r>
        <w:rPr>
          <w:rFonts w:ascii="Times New Roman" w:hAnsi="Times New Roman" w:cs="Times New Roman"/>
          <w:sz w:val="24"/>
          <w:szCs w:val="24"/>
        </w:rPr>
        <w:t xml:space="preserve"> cases,</w:t>
      </w:r>
      <w:r w:rsidR="007D7C64">
        <w:rPr>
          <w:rFonts w:ascii="Times New Roman" w:hAnsi="Times New Roman" w:cs="Times New Roman"/>
          <w:sz w:val="24"/>
          <w:szCs w:val="24"/>
        </w:rPr>
        <w:t xml:space="preserve"> there must be proof beyond a reasonable doubt that the accused did commit the offence.</w:t>
      </w:r>
      <w:r w:rsidR="00266275">
        <w:rPr>
          <w:rFonts w:ascii="Times New Roman" w:hAnsi="Times New Roman" w:cs="Times New Roman"/>
          <w:sz w:val="24"/>
          <w:szCs w:val="24"/>
        </w:rPr>
        <w:t xml:space="preserve"> </w:t>
      </w:r>
      <w:r w:rsidR="007D7C64">
        <w:rPr>
          <w:rFonts w:ascii="Times New Roman" w:hAnsi="Times New Roman" w:cs="Times New Roman"/>
          <w:sz w:val="24"/>
          <w:szCs w:val="24"/>
        </w:rPr>
        <w:t>We are of the view that this onus of proof was</w:t>
      </w:r>
      <w:r>
        <w:rPr>
          <w:rFonts w:ascii="Times New Roman" w:hAnsi="Times New Roman" w:cs="Times New Roman"/>
          <w:sz w:val="24"/>
          <w:szCs w:val="24"/>
        </w:rPr>
        <w:t xml:space="preserve"> not</w:t>
      </w:r>
      <w:r w:rsidR="007D7C64">
        <w:rPr>
          <w:rFonts w:ascii="Times New Roman" w:hAnsi="Times New Roman" w:cs="Times New Roman"/>
          <w:sz w:val="24"/>
          <w:szCs w:val="24"/>
        </w:rPr>
        <w:t xml:space="preserve"> discharged by the State. </w:t>
      </w:r>
      <w:r w:rsidR="00266275">
        <w:rPr>
          <w:rFonts w:ascii="Times New Roman" w:hAnsi="Times New Roman" w:cs="Times New Roman"/>
          <w:sz w:val="24"/>
          <w:szCs w:val="24"/>
        </w:rPr>
        <w:t>The accused</w:t>
      </w:r>
      <w:r w:rsidR="004059AF">
        <w:rPr>
          <w:rFonts w:ascii="Times New Roman" w:hAnsi="Times New Roman" w:cs="Times New Roman"/>
          <w:sz w:val="24"/>
          <w:szCs w:val="24"/>
        </w:rPr>
        <w:t>’s</w:t>
      </w:r>
      <w:r w:rsidR="00266275">
        <w:rPr>
          <w:rFonts w:ascii="Times New Roman" w:hAnsi="Times New Roman" w:cs="Times New Roman"/>
          <w:sz w:val="24"/>
          <w:szCs w:val="24"/>
        </w:rPr>
        <w:t xml:space="preserve"> version tilts the s</w:t>
      </w:r>
      <w:r w:rsidR="004059AF">
        <w:rPr>
          <w:rFonts w:ascii="Times New Roman" w:hAnsi="Times New Roman" w:cs="Times New Roman"/>
          <w:sz w:val="24"/>
          <w:szCs w:val="24"/>
        </w:rPr>
        <w:t>cale</w:t>
      </w:r>
      <w:r w:rsidR="00C842F2">
        <w:rPr>
          <w:rFonts w:ascii="Times New Roman" w:hAnsi="Times New Roman" w:cs="Times New Roman"/>
          <w:sz w:val="24"/>
          <w:szCs w:val="24"/>
        </w:rPr>
        <w:t xml:space="preserve"> </w:t>
      </w:r>
      <w:r>
        <w:rPr>
          <w:rFonts w:ascii="Times New Roman" w:hAnsi="Times New Roman" w:cs="Times New Roman"/>
          <w:sz w:val="24"/>
          <w:szCs w:val="24"/>
        </w:rPr>
        <w:t xml:space="preserve">as the more </w:t>
      </w:r>
      <w:proofErr w:type="spellStart"/>
      <w:r>
        <w:rPr>
          <w:rFonts w:ascii="Times New Roman" w:hAnsi="Times New Roman" w:cs="Times New Roman"/>
          <w:sz w:val="24"/>
          <w:szCs w:val="24"/>
        </w:rPr>
        <w:t>probale</w:t>
      </w:r>
      <w:proofErr w:type="spellEnd"/>
      <w:r>
        <w:rPr>
          <w:rFonts w:ascii="Times New Roman" w:hAnsi="Times New Roman" w:cs="Times New Roman"/>
          <w:sz w:val="24"/>
          <w:szCs w:val="24"/>
        </w:rPr>
        <w:t>.</w:t>
      </w:r>
      <w:r w:rsidR="00C842F2">
        <w:rPr>
          <w:rFonts w:ascii="Times New Roman" w:hAnsi="Times New Roman" w:cs="Times New Roman"/>
          <w:sz w:val="24"/>
          <w:szCs w:val="24"/>
        </w:rPr>
        <w:t xml:space="preserve"> Moreso</w:t>
      </w:r>
      <w:r w:rsidR="007D7C64">
        <w:rPr>
          <w:rFonts w:ascii="Times New Roman" w:hAnsi="Times New Roman" w:cs="Times New Roman"/>
          <w:sz w:val="24"/>
          <w:szCs w:val="24"/>
        </w:rPr>
        <w:t>,</w:t>
      </w:r>
      <w:r w:rsidR="00C842F2">
        <w:rPr>
          <w:rFonts w:ascii="Times New Roman" w:hAnsi="Times New Roman" w:cs="Times New Roman"/>
          <w:sz w:val="24"/>
          <w:szCs w:val="24"/>
        </w:rPr>
        <w:t xml:space="preserve"> when the law says, in such scenarios</w:t>
      </w:r>
      <w:r w:rsidR="00B37EF7">
        <w:rPr>
          <w:rFonts w:ascii="Times New Roman" w:hAnsi="Times New Roman" w:cs="Times New Roman"/>
          <w:sz w:val="24"/>
          <w:szCs w:val="24"/>
        </w:rPr>
        <w:t xml:space="preserve"> of a box ring match,</w:t>
      </w:r>
      <w:r w:rsidR="00C842F2">
        <w:rPr>
          <w:rFonts w:ascii="Times New Roman" w:hAnsi="Times New Roman" w:cs="Times New Roman"/>
          <w:sz w:val="24"/>
          <w:szCs w:val="24"/>
        </w:rPr>
        <w:t xml:space="preserve"> the benefit of the doubt should be </w:t>
      </w:r>
      <w:r w:rsidR="00C842F2">
        <w:rPr>
          <w:rFonts w:ascii="Times New Roman" w:hAnsi="Times New Roman" w:cs="Times New Roman"/>
          <w:sz w:val="24"/>
          <w:szCs w:val="24"/>
        </w:rPr>
        <w:lastRenderedPageBreak/>
        <w:t>given to an accused.</w:t>
      </w:r>
      <w:r w:rsidR="004059AF">
        <w:rPr>
          <w:rStyle w:val="FootnoteReference"/>
          <w:rFonts w:ascii="Times New Roman" w:hAnsi="Times New Roman" w:cs="Times New Roman"/>
          <w:sz w:val="24"/>
          <w:szCs w:val="24"/>
        </w:rPr>
        <w:footnoteReference w:id="6"/>
      </w:r>
      <w:r w:rsidR="00C842F2">
        <w:rPr>
          <w:rFonts w:ascii="Times New Roman" w:hAnsi="Times New Roman" w:cs="Times New Roman"/>
          <w:sz w:val="24"/>
          <w:szCs w:val="24"/>
        </w:rPr>
        <w:t xml:space="preserve"> Further, that if rel</w:t>
      </w:r>
      <w:r w:rsidR="00B37EF7">
        <w:rPr>
          <w:rFonts w:ascii="Times New Roman" w:hAnsi="Times New Roman" w:cs="Times New Roman"/>
          <w:sz w:val="24"/>
          <w:szCs w:val="24"/>
        </w:rPr>
        <w:t>iance has to be placed</w:t>
      </w:r>
      <w:r w:rsidR="00C842F2">
        <w:rPr>
          <w:rFonts w:ascii="Times New Roman" w:hAnsi="Times New Roman" w:cs="Times New Roman"/>
          <w:sz w:val="24"/>
          <w:szCs w:val="24"/>
        </w:rPr>
        <w:t xml:space="preserve"> on single witness evidence it should be consistent and reliable.</w:t>
      </w:r>
      <w:r w:rsidR="004059AF">
        <w:rPr>
          <w:rStyle w:val="FootnoteReference"/>
          <w:rFonts w:ascii="Times New Roman" w:hAnsi="Times New Roman" w:cs="Times New Roman"/>
          <w:sz w:val="24"/>
          <w:szCs w:val="24"/>
        </w:rPr>
        <w:footnoteReference w:id="7"/>
      </w:r>
      <w:r w:rsidR="00B37EF7">
        <w:rPr>
          <w:rFonts w:ascii="Times New Roman" w:hAnsi="Times New Roman" w:cs="Times New Roman"/>
          <w:sz w:val="24"/>
          <w:szCs w:val="24"/>
        </w:rPr>
        <w:t xml:space="preserve"> The complainant’s evidence, as analysed herein failed the honest, trustworthy and reliability test. Therefore, the court erred in placing reliance on such evidence. The factual findings were not supported by the evidence adduced.</w:t>
      </w:r>
    </w:p>
    <w:p w14:paraId="2D231374" w14:textId="4404AF44" w:rsidR="008D0D39" w:rsidRDefault="008D0D39" w:rsidP="005129BC">
      <w:pPr>
        <w:spacing w:line="360" w:lineRule="auto"/>
        <w:rPr>
          <w:rFonts w:ascii="Times New Roman" w:hAnsi="Times New Roman" w:cs="Times New Roman"/>
          <w:sz w:val="24"/>
          <w:szCs w:val="24"/>
        </w:rPr>
      </w:pPr>
      <w:r>
        <w:rPr>
          <w:rFonts w:ascii="Times New Roman" w:hAnsi="Times New Roman" w:cs="Times New Roman"/>
          <w:sz w:val="24"/>
          <w:szCs w:val="24"/>
        </w:rPr>
        <w:t>It is our considered view that</w:t>
      </w:r>
      <w:r w:rsidR="00812C2C">
        <w:rPr>
          <w:rFonts w:ascii="Times New Roman" w:hAnsi="Times New Roman" w:cs="Times New Roman"/>
          <w:sz w:val="24"/>
          <w:szCs w:val="24"/>
        </w:rPr>
        <w:t>,</w:t>
      </w:r>
      <w:r>
        <w:rPr>
          <w:rFonts w:ascii="Times New Roman" w:hAnsi="Times New Roman" w:cs="Times New Roman"/>
          <w:sz w:val="24"/>
          <w:szCs w:val="24"/>
        </w:rPr>
        <w:t xml:space="preserve"> given the above, the benefit of the doubt in both counts should have been accorded to the accused.</w:t>
      </w:r>
      <w:r w:rsidR="004059AF">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w:t>
      </w:r>
      <w:r w:rsidR="00A74F6C" w:rsidRPr="00A74F6C">
        <w:rPr>
          <w:rFonts w:ascii="Times New Roman" w:hAnsi="Times New Roman" w:cs="Times New Roman"/>
          <w:sz w:val="24"/>
          <w:szCs w:val="24"/>
        </w:rPr>
        <w:t xml:space="preserve">It </w:t>
      </w:r>
      <w:r w:rsidR="00812C2C">
        <w:rPr>
          <w:rFonts w:ascii="Times New Roman" w:hAnsi="Times New Roman" w:cs="Times New Roman"/>
          <w:sz w:val="24"/>
          <w:szCs w:val="24"/>
        </w:rPr>
        <w:t xml:space="preserve">has been noted time and again through case law, that the onus is on the </w:t>
      </w:r>
      <w:r w:rsidR="00812C2C" w:rsidRPr="00A74F6C">
        <w:rPr>
          <w:rFonts w:ascii="Times New Roman" w:hAnsi="Times New Roman" w:cs="Times New Roman"/>
          <w:sz w:val="24"/>
          <w:szCs w:val="24"/>
        </w:rPr>
        <w:t>State</w:t>
      </w:r>
      <w:r w:rsidR="00A74F6C" w:rsidRPr="00A74F6C">
        <w:rPr>
          <w:rFonts w:ascii="Times New Roman" w:hAnsi="Times New Roman" w:cs="Times New Roman"/>
          <w:sz w:val="24"/>
          <w:szCs w:val="24"/>
        </w:rPr>
        <w:t xml:space="preserve"> </w:t>
      </w:r>
      <w:r w:rsidR="00812C2C">
        <w:rPr>
          <w:rFonts w:ascii="Times New Roman" w:hAnsi="Times New Roman" w:cs="Times New Roman"/>
          <w:sz w:val="24"/>
          <w:szCs w:val="24"/>
        </w:rPr>
        <w:t xml:space="preserve">to </w:t>
      </w:r>
      <w:r w:rsidR="00A74F6C" w:rsidRPr="00A74F6C">
        <w:rPr>
          <w:rFonts w:ascii="Times New Roman" w:hAnsi="Times New Roman" w:cs="Times New Roman"/>
          <w:sz w:val="24"/>
          <w:szCs w:val="24"/>
        </w:rPr>
        <w:t>prove its case beyond reasonable doubt and that no onus rests on an accused person to prove his innocence.</w:t>
      </w:r>
      <w:r w:rsidR="0072055E">
        <w:rPr>
          <w:rFonts w:ascii="Times New Roman" w:hAnsi="Times New Roman" w:cs="Times New Roman"/>
          <w:sz w:val="24"/>
          <w:szCs w:val="24"/>
        </w:rPr>
        <w:t xml:space="preserve"> </w:t>
      </w:r>
      <w:r w:rsidR="00E123D5">
        <w:rPr>
          <w:rFonts w:ascii="Times New Roman" w:hAnsi="Times New Roman" w:cs="Times New Roman"/>
          <w:sz w:val="24"/>
          <w:szCs w:val="24"/>
        </w:rPr>
        <w:t xml:space="preserve"> </w:t>
      </w:r>
      <w:r w:rsidR="00A74F6C" w:rsidRPr="00A74F6C">
        <w:rPr>
          <w:rFonts w:ascii="Times New Roman" w:hAnsi="Times New Roman" w:cs="Times New Roman"/>
          <w:sz w:val="24"/>
          <w:szCs w:val="24"/>
        </w:rPr>
        <w:t xml:space="preserve"> </w:t>
      </w:r>
      <w:r w:rsidR="00812C2C">
        <w:rPr>
          <w:rFonts w:ascii="Times New Roman" w:hAnsi="Times New Roman" w:cs="Times New Roman"/>
          <w:sz w:val="24"/>
          <w:szCs w:val="24"/>
        </w:rPr>
        <w:t xml:space="preserve">  As already highlighted</w:t>
      </w:r>
      <w:r w:rsidR="00E95612">
        <w:rPr>
          <w:rFonts w:ascii="Times New Roman" w:hAnsi="Times New Roman" w:cs="Times New Roman"/>
          <w:sz w:val="24"/>
          <w:szCs w:val="24"/>
        </w:rPr>
        <w:t xml:space="preserve"> and </w:t>
      </w:r>
      <w:r w:rsidR="00812C2C">
        <w:rPr>
          <w:rFonts w:ascii="Times New Roman" w:hAnsi="Times New Roman" w:cs="Times New Roman"/>
          <w:sz w:val="24"/>
          <w:szCs w:val="24"/>
        </w:rPr>
        <w:t xml:space="preserve">from </w:t>
      </w:r>
      <w:r w:rsidR="0072055E">
        <w:rPr>
          <w:rFonts w:ascii="Times New Roman" w:hAnsi="Times New Roman" w:cs="Times New Roman"/>
          <w:sz w:val="24"/>
          <w:szCs w:val="24"/>
        </w:rPr>
        <w:t xml:space="preserve">a </w:t>
      </w:r>
      <w:r w:rsidR="0072055E" w:rsidRPr="00A74F6C">
        <w:rPr>
          <w:rFonts w:ascii="Times New Roman" w:hAnsi="Times New Roman" w:cs="Times New Roman"/>
          <w:sz w:val="24"/>
          <w:szCs w:val="24"/>
        </w:rPr>
        <w:t>holistic</w:t>
      </w:r>
      <w:r w:rsidR="00E123D5">
        <w:rPr>
          <w:rFonts w:ascii="Times New Roman" w:hAnsi="Times New Roman" w:cs="Times New Roman"/>
          <w:sz w:val="24"/>
          <w:szCs w:val="24"/>
        </w:rPr>
        <w:t xml:space="preserve"> perspective</w:t>
      </w:r>
      <w:r w:rsidR="00E95612">
        <w:rPr>
          <w:rFonts w:ascii="Times New Roman" w:hAnsi="Times New Roman" w:cs="Times New Roman"/>
          <w:sz w:val="24"/>
          <w:szCs w:val="24"/>
        </w:rPr>
        <w:t xml:space="preserve"> </w:t>
      </w:r>
      <w:r w:rsidR="0072055E">
        <w:rPr>
          <w:rFonts w:ascii="Times New Roman" w:hAnsi="Times New Roman" w:cs="Times New Roman"/>
          <w:sz w:val="24"/>
          <w:szCs w:val="24"/>
        </w:rPr>
        <w:t>analysis</w:t>
      </w:r>
      <w:r w:rsidR="00E95612">
        <w:rPr>
          <w:rFonts w:ascii="Times New Roman" w:hAnsi="Times New Roman" w:cs="Times New Roman"/>
          <w:sz w:val="24"/>
          <w:szCs w:val="24"/>
        </w:rPr>
        <w:t>,</w:t>
      </w:r>
      <w:r w:rsidR="00812C2C">
        <w:rPr>
          <w:rFonts w:ascii="Times New Roman" w:hAnsi="Times New Roman" w:cs="Times New Roman"/>
          <w:sz w:val="24"/>
          <w:szCs w:val="24"/>
        </w:rPr>
        <w:t xml:space="preserve"> t</w:t>
      </w:r>
      <w:r>
        <w:rPr>
          <w:rFonts w:ascii="Times New Roman" w:hAnsi="Times New Roman" w:cs="Times New Roman"/>
          <w:sz w:val="24"/>
          <w:szCs w:val="24"/>
        </w:rPr>
        <w:t xml:space="preserve">he convictions in both counts were </w:t>
      </w:r>
      <w:r w:rsidR="00E95612">
        <w:rPr>
          <w:rFonts w:ascii="Times New Roman" w:hAnsi="Times New Roman" w:cs="Times New Roman"/>
          <w:sz w:val="24"/>
          <w:szCs w:val="24"/>
        </w:rPr>
        <w:t>un</w:t>
      </w:r>
      <w:r>
        <w:rPr>
          <w:rFonts w:ascii="Times New Roman" w:hAnsi="Times New Roman" w:cs="Times New Roman"/>
          <w:sz w:val="24"/>
          <w:szCs w:val="24"/>
        </w:rPr>
        <w:t>safe. The trial court misapplied the evidence to the facts, as there was no evidence at all supporting the complainant’s word which gave rise to the conviction.</w:t>
      </w:r>
    </w:p>
    <w:p w14:paraId="404ABF92" w14:textId="04989279" w:rsidR="00204183" w:rsidRPr="00204183" w:rsidRDefault="00204183" w:rsidP="005129BC">
      <w:pPr>
        <w:spacing w:line="360" w:lineRule="auto"/>
        <w:rPr>
          <w:rFonts w:ascii="Times New Roman" w:hAnsi="Times New Roman" w:cs="Times New Roman"/>
          <w:sz w:val="24"/>
          <w:szCs w:val="24"/>
          <w:u w:val="single"/>
        </w:rPr>
      </w:pPr>
      <w:r w:rsidRPr="00204183">
        <w:rPr>
          <w:rFonts w:ascii="Times New Roman" w:hAnsi="Times New Roman" w:cs="Times New Roman"/>
          <w:sz w:val="24"/>
          <w:szCs w:val="24"/>
          <w:u w:val="single"/>
        </w:rPr>
        <w:t>Sentence</w:t>
      </w:r>
    </w:p>
    <w:p w14:paraId="2B336F3E" w14:textId="4462F808" w:rsidR="00A92648" w:rsidRDefault="008D0D39" w:rsidP="00A92648">
      <w:pPr>
        <w:spacing w:line="360" w:lineRule="auto"/>
        <w:rPr>
          <w:rFonts w:ascii="Times New Roman" w:hAnsi="Times New Roman" w:cs="Times New Roman"/>
          <w:sz w:val="24"/>
          <w:szCs w:val="24"/>
        </w:rPr>
      </w:pPr>
      <w:r>
        <w:rPr>
          <w:rFonts w:ascii="Times New Roman" w:hAnsi="Times New Roman" w:cs="Times New Roman"/>
          <w:sz w:val="24"/>
          <w:szCs w:val="24"/>
        </w:rPr>
        <w:t>For completion, as regards sentence, we do appreciate the rampant increase in gender-based violence cases and the need for deterrence.  We are also of the view, that in sentencing domestic violence perpetrators</w:t>
      </w:r>
      <w:r w:rsidR="003A581A">
        <w:rPr>
          <w:rFonts w:ascii="Times New Roman" w:hAnsi="Times New Roman" w:cs="Times New Roman"/>
          <w:sz w:val="24"/>
          <w:szCs w:val="24"/>
        </w:rPr>
        <w:t xml:space="preserve">, </w:t>
      </w:r>
      <w:r w:rsidR="00E95612">
        <w:rPr>
          <w:rFonts w:ascii="Times New Roman" w:hAnsi="Times New Roman" w:cs="Times New Roman"/>
          <w:sz w:val="24"/>
          <w:szCs w:val="24"/>
        </w:rPr>
        <w:t>like in any other offence</w:t>
      </w:r>
      <w:r w:rsidR="003A581A">
        <w:rPr>
          <w:rFonts w:ascii="Times New Roman" w:hAnsi="Times New Roman" w:cs="Times New Roman"/>
          <w:sz w:val="24"/>
          <w:szCs w:val="24"/>
        </w:rPr>
        <w:t>,</w:t>
      </w:r>
      <w:r>
        <w:rPr>
          <w:rFonts w:ascii="Times New Roman" w:hAnsi="Times New Roman" w:cs="Times New Roman"/>
          <w:sz w:val="24"/>
          <w:szCs w:val="24"/>
        </w:rPr>
        <w:t xml:space="preserve"> a balance must be struck between the </w:t>
      </w:r>
      <w:proofErr w:type="spellStart"/>
      <w:r>
        <w:rPr>
          <w:rFonts w:ascii="Times New Roman" w:hAnsi="Times New Roman" w:cs="Times New Roman"/>
          <w:sz w:val="24"/>
          <w:szCs w:val="24"/>
        </w:rPr>
        <w:t>aggravatory</w:t>
      </w:r>
      <w:proofErr w:type="spellEnd"/>
      <w:r>
        <w:rPr>
          <w:rFonts w:ascii="Times New Roman" w:hAnsi="Times New Roman" w:cs="Times New Roman"/>
          <w:sz w:val="24"/>
          <w:szCs w:val="24"/>
        </w:rPr>
        <w:t xml:space="preserve"> factors and the mitigatory factors and all peculiar features of each case. </w:t>
      </w:r>
      <w:r w:rsidR="004059AF">
        <w:rPr>
          <w:rStyle w:val="FootnoteReference"/>
          <w:rFonts w:ascii="Times New Roman" w:hAnsi="Times New Roman" w:cs="Times New Roman"/>
          <w:sz w:val="24"/>
          <w:szCs w:val="24"/>
        </w:rPr>
        <w:footnoteReference w:id="9"/>
      </w:r>
      <w:r w:rsidR="00603495">
        <w:rPr>
          <w:rFonts w:ascii="Times New Roman" w:hAnsi="Times New Roman" w:cs="Times New Roman"/>
          <w:sz w:val="24"/>
          <w:szCs w:val="24"/>
        </w:rPr>
        <w:t xml:space="preserve">In this case, </w:t>
      </w:r>
      <w:r w:rsidR="004E2832">
        <w:rPr>
          <w:rFonts w:ascii="Times New Roman" w:hAnsi="Times New Roman" w:cs="Times New Roman"/>
          <w:sz w:val="24"/>
          <w:szCs w:val="24"/>
        </w:rPr>
        <w:t xml:space="preserve">only two </w:t>
      </w:r>
      <w:proofErr w:type="spellStart"/>
      <w:r w:rsidR="004E2832">
        <w:rPr>
          <w:rFonts w:ascii="Times New Roman" w:hAnsi="Times New Roman" w:cs="Times New Roman"/>
          <w:sz w:val="24"/>
          <w:szCs w:val="24"/>
        </w:rPr>
        <w:t>aggravatory</w:t>
      </w:r>
      <w:proofErr w:type="spellEnd"/>
      <w:r w:rsidR="004E2832">
        <w:rPr>
          <w:rFonts w:ascii="Times New Roman" w:hAnsi="Times New Roman" w:cs="Times New Roman"/>
          <w:sz w:val="24"/>
          <w:szCs w:val="24"/>
        </w:rPr>
        <w:t xml:space="preserve"> factors were</w:t>
      </w:r>
      <w:r w:rsidR="00914F1D">
        <w:rPr>
          <w:rFonts w:ascii="Times New Roman" w:hAnsi="Times New Roman" w:cs="Times New Roman"/>
          <w:sz w:val="24"/>
          <w:szCs w:val="24"/>
        </w:rPr>
        <w:t xml:space="preserve"> prominently </w:t>
      </w:r>
      <w:r w:rsidR="0072055E">
        <w:rPr>
          <w:rFonts w:ascii="Times New Roman" w:hAnsi="Times New Roman" w:cs="Times New Roman"/>
          <w:sz w:val="24"/>
          <w:szCs w:val="24"/>
        </w:rPr>
        <w:t>given precedence</w:t>
      </w:r>
      <w:r w:rsidR="00914F1D">
        <w:rPr>
          <w:rFonts w:ascii="Times New Roman" w:hAnsi="Times New Roman" w:cs="Times New Roman"/>
          <w:sz w:val="24"/>
          <w:szCs w:val="24"/>
        </w:rPr>
        <w:t xml:space="preserve"> over a number of mitigatory factors.</w:t>
      </w:r>
      <w:r w:rsidR="00A92648" w:rsidRPr="00A92648">
        <w:rPr>
          <w:rFonts w:ascii="Times New Roman" w:hAnsi="Times New Roman" w:cs="Times New Roman"/>
          <w:sz w:val="24"/>
          <w:szCs w:val="24"/>
        </w:rPr>
        <w:t xml:space="preserve"> </w:t>
      </w:r>
      <w:r w:rsidR="00A92648">
        <w:rPr>
          <w:rFonts w:ascii="Times New Roman" w:hAnsi="Times New Roman" w:cs="Times New Roman"/>
          <w:sz w:val="24"/>
          <w:szCs w:val="24"/>
        </w:rPr>
        <w:t>These are the injur</w:t>
      </w:r>
      <w:r w:rsidR="00204183">
        <w:rPr>
          <w:rFonts w:ascii="Times New Roman" w:hAnsi="Times New Roman" w:cs="Times New Roman"/>
          <w:sz w:val="24"/>
          <w:szCs w:val="24"/>
        </w:rPr>
        <w:t>ies sustained</w:t>
      </w:r>
      <w:r w:rsidR="00A92648">
        <w:rPr>
          <w:rFonts w:ascii="Times New Roman" w:hAnsi="Times New Roman" w:cs="Times New Roman"/>
          <w:sz w:val="24"/>
          <w:szCs w:val="24"/>
        </w:rPr>
        <w:t xml:space="preserve"> and the fact that</w:t>
      </w:r>
      <w:r w:rsidR="00204183">
        <w:rPr>
          <w:rFonts w:ascii="Times New Roman" w:hAnsi="Times New Roman" w:cs="Times New Roman"/>
          <w:sz w:val="24"/>
          <w:szCs w:val="24"/>
        </w:rPr>
        <w:t xml:space="preserve"> the parties at the time of the trial</w:t>
      </w:r>
      <w:r w:rsidR="00A92648">
        <w:rPr>
          <w:rFonts w:ascii="Times New Roman" w:hAnsi="Times New Roman" w:cs="Times New Roman"/>
          <w:sz w:val="24"/>
          <w:szCs w:val="24"/>
        </w:rPr>
        <w:t xml:space="preserve"> had been</w:t>
      </w:r>
      <w:r w:rsidR="00204183">
        <w:rPr>
          <w:rFonts w:ascii="Times New Roman" w:hAnsi="Times New Roman" w:cs="Times New Roman"/>
          <w:sz w:val="24"/>
          <w:szCs w:val="24"/>
        </w:rPr>
        <w:t xml:space="preserve"> separated. The complainant had been</w:t>
      </w:r>
      <w:r w:rsidR="00A92648">
        <w:rPr>
          <w:rFonts w:ascii="Times New Roman" w:hAnsi="Times New Roman" w:cs="Times New Roman"/>
          <w:sz w:val="24"/>
          <w:szCs w:val="24"/>
        </w:rPr>
        <w:t xml:space="preserve"> taken back by her parents.</w:t>
      </w:r>
    </w:p>
    <w:p w14:paraId="2CB57709" w14:textId="255E4593" w:rsidR="00A92648" w:rsidRDefault="00A92648" w:rsidP="00A92648">
      <w:pPr>
        <w:spacing w:line="360" w:lineRule="auto"/>
        <w:rPr>
          <w:rFonts w:ascii="Times New Roman" w:hAnsi="Times New Roman" w:cs="Times New Roman"/>
          <w:sz w:val="24"/>
          <w:szCs w:val="24"/>
        </w:rPr>
      </w:pPr>
      <w:r>
        <w:rPr>
          <w:rFonts w:ascii="Times New Roman" w:hAnsi="Times New Roman" w:cs="Times New Roman"/>
          <w:sz w:val="24"/>
          <w:szCs w:val="24"/>
        </w:rPr>
        <w:t xml:space="preserve"> On the other hand, in mitigation, there was no evidence that the accused was a repeat offender, he is a youthful offender</w:t>
      </w:r>
      <w:r w:rsidR="003A581A">
        <w:rPr>
          <w:rFonts w:ascii="Times New Roman" w:hAnsi="Times New Roman" w:cs="Times New Roman"/>
          <w:sz w:val="24"/>
          <w:szCs w:val="24"/>
        </w:rPr>
        <w:t>. H</w:t>
      </w:r>
      <w:r>
        <w:rPr>
          <w:rFonts w:ascii="Times New Roman" w:hAnsi="Times New Roman" w:cs="Times New Roman"/>
          <w:sz w:val="24"/>
          <w:szCs w:val="24"/>
        </w:rPr>
        <w:t xml:space="preserve">e did not persuade the complainant not to report, </w:t>
      </w:r>
      <w:r w:rsidR="0072055E">
        <w:rPr>
          <w:rFonts w:ascii="Times New Roman" w:hAnsi="Times New Roman" w:cs="Times New Roman"/>
          <w:sz w:val="24"/>
          <w:szCs w:val="24"/>
        </w:rPr>
        <w:t xml:space="preserve">bribe </w:t>
      </w:r>
      <w:r w:rsidR="00914F1D">
        <w:rPr>
          <w:rFonts w:ascii="Times New Roman" w:hAnsi="Times New Roman" w:cs="Times New Roman"/>
          <w:sz w:val="24"/>
          <w:szCs w:val="24"/>
        </w:rPr>
        <w:t xml:space="preserve">or manipulate her as is the </w:t>
      </w:r>
      <w:r w:rsidR="00914F1D" w:rsidRPr="0072055E">
        <w:rPr>
          <w:rFonts w:ascii="Times New Roman" w:hAnsi="Times New Roman" w:cs="Times New Roman"/>
          <w:i/>
          <w:iCs/>
          <w:sz w:val="24"/>
          <w:szCs w:val="24"/>
        </w:rPr>
        <w:t>modus operandi</w:t>
      </w:r>
      <w:r w:rsidR="00914F1D">
        <w:rPr>
          <w:rFonts w:ascii="Times New Roman" w:hAnsi="Times New Roman" w:cs="Times New Roman"/>
          <w:sz w:val="24"/>
          <w:szCs w:val="24"/>
        </w:rPr>
        <w:t xml:space="preserve"> of habitual physical abusers</w:t>
      </w:r>
      <w:r>
        <w:rPr>
          <w:rFonts w:ascii="Times New Roman" w:hAnsi="Times New Roman" w:cs="Times New Roman"/>
          <w:sz w:val="24"/>
          <w:szCs w:val="24"/>
        </w:rPr>
        <w:t xml:space="preserve">. He was meaningfully and productively employed. He had no history of violence as reflected by the sentencing report. </w:t>
      </w:r>
      <w:r w:rsidR="0072055E">
        <w:rPr>
          <w:rFonts w:ascii="Times New Roman" w:hAnsi="Times New Roman" w:cs="Times New Roman"/>
          <w:sz w:val="24"/>
          <w:szCs w:val="24"/>
        </w:rPr>
        <w:t xml:space="preserve"> Over and above all that, t</w:t>
      </w:r>
      <w:r>
        <w:rPr>
          <w:rFonts w:ascii="Times New Roman" w:hAnsi="Times New Roman" w:cs="Times New Roman"/>
          <w:sz w:val="24"/>
          <w:szCs w:val="24"/>
        </w:rPr>
        <w:t>here was provocation</w:t>
      </w:r>
      <w:r w:rsidR="0072055E">
        <w:rPr>
          <w:rFonts w:ascii="Times New Roman" w:hAnsi="Times New Roman" w:cs="Times New Roman"/>
          <w:sz w:val="24"/>
          <w:szCs w:val="24"/>
        </w:rPr>
        <w:t xml:space="preserve"> surrounding the strange phone of questionable origins in his homestead</w:t>
      </w:r>
      <w:r>
        <w:rPr>
          <w:rFonts w:ascii="Times New Roman" w:hAnsi="Times New Roman" w:cs="Times New Roman"/>
          <w:sz w:val="24"/>
          <w:szCs w:val="24"/>
        </w:rPr>
        <w:t xml:space="preserve">. </w:t>
      </w:r>
      <w:r w:rsidR="00204183">
        <w:rPr>
          <w:rFonts w:ascii="Times New Roman" w:hAnsi="Times New Roman" w:cs="Times New Roman"/>
          <w:sz w:val="24"/>
          <w:szCs w:val="24"/>
        </w:rPr>
        <w:t xml:space="preserve"> In that case, whilst an exchange of words or insults amount to violence, as well as aggressive physical contact, in this case from the analysis </w:t>
      </w:r>
      <w:r w:rsidR="00204183">
        <w:rPr>
          <w:rFonts w:ascii="Times New Roman" w:hAnsi="Times New Roman" w:cs="Times New Roman"/>
          <w:sz w:val="24"/>
          <w:szCs w:val="24"/>
        </w:rPr>
        <w:lastRenderedPageBreak/>
        <w:t xml:space="preserve">herein, it was a mere family, husband and wife dispute that degenerated or escalated out of bounds. </w:t>
      </w:r>
    </w:p>
    <w:p w14:paraId="0B6C6F28" w14:textId="01CB3C53" w:rsidR="00603495" w:rsidRDefault="004E2832" w:rsidP="005129BC">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4059AF">
        <w:rPr>
          <w:rFonts w:ascii="Times New Roman" w:hAnsi="Times New Roman" w:cs="Times New Roman"/>
          <w:sz w:val="24"/>
          <w:szCs w:val="24"/>
        </w:rPr>
        <w:t>Whilst there is need for uniformity in sentencing, the factors surrounding each and every domestic case are always unique and different.  They present themselves differently. Bearing in mind that conflict is inherent in human</w:t>
      </w:r>
      <w:r w:rsidR="003A581A">
        <w:rPr>
          <w:rFonts w:ascii="Times New Roman" w:hAnsi="Times New Roman" w:cs="Times New Roman"/>
          <w:sz w:val="24"/>
          <w:szCs w:val="24"/>
        </w:rPr>
        <w:t>s,</w:t>
      </w:r>
      <w:r w:rsidR="004059AF">
        <w:rPr>
          <w:rFonts w:ascii="Times New Roman" w:hAnsi="Times New Roman" w:cs="Times New Roman"/>
          <w:sz w:val="24"/>
          <w:szCs w:val="24"/>
        </w:rPr>
        <w:t xml:space="preserve"> let alone marital relationships, it is the conflict management aspect that lacks, resulting in the prevalent multi-faceted forms of domestic violence. </w:t>
      </w:r>
      <w:r w:rsidR="00880C70">
        <w:rPr>
          <w:rFonts w:ascii="Times New Roman" w:hAnsi="Times New Roman" w:cs="Times New Roman"/>
          <w:sz w:val="24"/>
          <w:szCs w:val="24"/>
        </w:rPr>
        <w:t>Academics</w:t>
      </w:r>
      <w:r w:rsidR="004059AF">
        <w:rPr>
          <w:rFonts w:ascii="Times New Roman" w:hAnsi="Times New Roman" w:cs="Times New Roman"/>
          <w:sz w:val="24"/>
          <w:szCs w:val="24"/>
        </w:rPr>
        <w:t xml:space="preserve"> advocate for restorative justice, where not only the root cause, source of the problem is identified but addressed with a purpose of finding an amicable resolution. The traditional family counsellors, church elders and other familial institutions play a great role in such disputes. </w:t>
      </w:r>
      <w:r w:rsidR="00880C70">
        <w:rPr>
          <w:rFonts w:ascii="Times New Roman" w:hAnsi="Times New Roman" w:cs="Times New Roman"/>
          <w:sz w:val="24"/>
          <w:szCs w:val="24"/>
        </w:rPr>
        <w:t xml:space="preserve"> This is also well captured in the Domestic Violence Act.</w:t>
      </w:r>
    </w:p>
    <w:p w14:paraId="587E17F0" w14:textId="7F4919C3" w:rsidR="003A581A" w:rsidRDefault="003A581A" w:rsidP="003A581A">
      <w:pPr>
        <w:spacing w:line="360" w:lineRule="auto"/>
        <w:rPr>
          <w:rFonts w:ascii="Times New Roman" w:hAnsi="Times New Roman" w:cs="Times New Roman"/>
          <w:sz w:val="24"/>
          <w:szCs w:val="24"/>
        </w:rPr>
      </w:pPr>
      <w:r>
        <w:rPr>
          <w:rFonts w:ascii="Times New Roman" w:hAnsi="Times New Roman" w:cs="Times New Roman"/>
          <w:sz w:val="24"/>
          <w:szCs w:val="24"/>
        </w:rPr>
        <w:t xml:space="preserve">In addition, the Domestic violence Act, itself, makes provisions for protection orders as preliminary steps </w:t>
      </w:r>
      <w:r w:rsidR="00204183">
        <w:rPr>
          <w:rFonts w:ascii="Times New Roman" w:hAnsi="Times New Roman" w:cs="Times New Roman"/>
          <w:sz w:val="24"/>
          <w:szCs w:val="24"/>
        </w:rPr>
        <w:t>before considering</w:t>
      </w:r>
      <w:r>
        <w:rPr>
          <w:rFonts w:ascii="Times New Roman" w:hAnsi="Times New Roman" w:cs="Times New Roman"/>
          <w:sz w:val="24"/>
          <w:szCs w:val="24"/>
        </w:rPr>
        <w:t xml:space="preserve"> incarceration. The protection order can be granted even if the parties are staying in the same house</w:t>
      </w:r>
      <w:r w:rsidR="00204183">
        <w:rPr>
          <w:rFonts w:ascii="Times New Roman" w:hAnsi="Times New Roman" w:cs="Times New Roman"/>
          <w:sz w:val="24"/>
          <w:szCs w:val="24"/>
        </w:rPr>
        <w:t xml:space="preserve"> illustrating the need to preserve family unit and continuity</w:t>
      </w:r>
      <w:r>
        <w:rPr>
          <w:rFonts w:ascii="Times New Roman" w:hAnsi="Times New Roman" w:cs="Times New Roman"/>
          <w:sz w:val="24"/>
          <w:szCs w:val="24"/>
        </w:rPr>
        <w:t xml:space="preserve">. </w:t>
      </w:r>
      <w:r w:rsidR="00204183">
        <w:rPr>
          <w:rFonts w:ascii="Times New Roman" w:hAnsi="Times New Roman" w:cs="Times New Roman"/>
          <w:sz w:val="24"/>
          <w:szCs w:val="24"/>
        </w:rPr>
        <w:t xml:space="preserve">It is only when a recalcitrant </w:t>
      </w:r>
      <w:r w:rsidR="00120B3C">
        <w:rPr>
          <w:rFonts w:ascii="Times New Roman" w:hAnsi="Times New Roman" w:cs="Times New Roman"/>
          <w:sz w:val="24"/>
          <w:szCs w:val="24"/>
        </w:rPr>
        <w:t>party breaches</w:t>
      </w:r>
      <w:r>
        <w:rPr>
          <w:rFonts w:ascii="Times New Roman" w:hAnsi="Times New Roman" w:cs="Times New Roman"/>
          <w:sz w:val="24"/>
          <w:szCs w:val="24"/>
        </w:rPr>
        <w:t xml:space="preserve"> this preliminary action </w:t>
      </w:r>
      <w:r w:rsidR="00120B3C">
        <w:rPr>
          <w:rFonts w:ascii="Times New Roman" w:hAnsi="Times New Roman" w:cs="Times New Roman"/>
          <w:sz w:val="24"/>
          <w:szCs w:val="24"/>
        </w:rPr>
        <w:t xml:space="preserve">aimed at </w:t>
      </w:r>
      <w:r>
        <w:rPr>
          <w:rFonts w:ascii="Times New Roman" w:hAnsi="Times New Roman" w:cs="Times New Roman"/>
          <w:sz w:val="24"/>
          <w:szCs w:val="24"/>
        </w:rPr>
        <w:t>salvag</w:t>
      </w:r>
      <w:r w:rsidR="00120B3C">
        <w:rPr>
          <w:rFonts w:ascii="Times New Roman" w:hAnsi="Times New Roman" w:cs="Times New Roman"/>
          <w:sz w:val="24"/>
          <w:szCs w:val="24"/>
        </w:rPr>
        <w:t>ing</w:t>
      </w:r>
      <w:r>
        <w:rPr>
          <w:rFonts w:ascii="Times New Roman" w:hAnsi="Times New Roman" w:cs="Times New Roman"/>
          <w:sz w:val="24"/>
          <w:szCs w:val="24"/>
        </w:rPr>
        <w:t xml:space="preserve"> a marital relation</w:t>
      </w:r>
      <w:r w:rsidR="00204183">
        <w:rPr>
          <w:rFonts w:ascii="Times New Roman" w:hAnsi="Times New Roman" w:cs="Times New Roman"/>
          <w:sz w:val="24"/>
          <w:szCs w:val="24"/>
        </w:rPr>
        <w:t>ship</w:t>
      </w:r>
      <w:r>
        <w:rPr>
          <w:rFonts w:ascii="Times New Roman" w:hAnsi="Times New Roman" w:cs="Times New Roman"/>
          <w:sz w:val="24"/>
          <w:szCs w:val="24"/>
        </w:rPr>
        <w:t xml:space="preserve"> and </w:t>
      </w:r>
      <w:proofErr w:type="gramStart"/>
      <w:r>
        <w:rPr>
          <w:rFonts w:ascii="Times New Roman" w:hAnsi="Times New Roman" w:cs="Times New Roman"/>
          <w:sz w:val="24"/>
          <w:szCs w:val="24"/>
        </w:rPr>
        <w:t xml:space="preserve">or </w:t>
      </w:r>
      <w:r w:rsidR="00120B3C">
        <w:rPr>
          <w:rFonts w:ascii="Times New Roman" w:hAnsi="Times New Roman" w:cs="Times New Roman"/>
          <w:sz w:val="24"/>
          <w:szCs w:val="24"/>
        </w:rPr>
        <w:t xml:space="preserve"> to</w:t>
      </w:r>
      <w:proofErr w:type="gramEnd"/>
      <w:r w:rsidR="00120B3C">
        <w:rPr>
          <w:rFonts w:ascii="Times New Roman" w:hAnsi="Times New Roman" w:cs="Times New Roman"/>
          <w:sz w:val="24"/>
          <w:szCs w:val="24"/>
        </w:rPr>
        <w:t xml:space="preserve"> </w:t>
      </w:r>
      <w:r>
        <w:rPr>
          <w:rFonts w:ascii="Times New Roman" w:hAnsi="Times New Roman" w:cs="Times New Roman"/>
          <w:sz w:val="24"/>
          <w:szCs w:val="24"/>
        </w:rPr>
        <w:t>manage conflict</w:t>
      </w:r>
      <w:r w:rsidR="00C70B16">
        <w:rPr>
          <w:rFonts w:ascii="Times New Roman" w:hAnsi="Times New Roman" w:cs="Times New Roman"/>
          <w:sz w:val="24"/>
          <w:szCs w:val="24"/>
        </w:rPr>
        <w:t>,</w:t>
      </w:r>
      <w:r>
        <w:rPr>
          <w:rFonts w:ascii="Times New Roman" w:hAnsi="Times New Roman" w:cs="Times New Roman"/>
          <w:sz w:val="24"/>
          <w:szCs w:val="24"/>
        </w:rPr>
        <w:t xml:space="preserve"> will then</w:t>
      </w:r>
      <w:r w:rsidR="00C70B16">
        <w:rPr>
          <w:rFonts w:ascii="Times New Roman" w:hAnsi="Times New Roman" w:cs="Times New Roman"/>
          <w:sz w:val="24"/>
          <w:szCs w:val="24"/>
        </w:rPr>
        <w:t xml:space="preserve"> a sterner penalty</w:t>
      </w:r>
      <w:r w:rsidR="00120B3C">
        <w:rPr>
          <w:rFonts w:ascii="Times New Roman" w:hAnsi="Times New Roman" w:cs="Times New Roman"/>
          <w:sz w:val="24"/>
          <w:szCs w:val="24"/>
        </w:rPr>
        <w:t xml:space="preserve"> be considered</w:t>
      </w:r>
      <w:r w:rsidR="00C70B16">
        <w:rPr>
          <w:rFonts w:ascii="Times New Roman" w:hAnsi="Times New Roman" w:cs="Times New Roman"/>
          <w:sz w:val="24"/>
          <w:szCs w:val="24"/>
        </w:rPr>
        <w:t xml:space="preserve">. The breach of the protection order will </w:t>
      </w:r>
      <w:r w:rsidR="00120B3C">
        <w:rPr>
          <w:rFonts w:ascii="Times New Roman" w:hAnsi="Times New Roman" w:cs="Times New Roman"/>
          <w:sz w:val="24"/>
          <w:szCs w:val="24"/>
        </w:rPr>
        <w:t>serve</w:t>
      </w:r>
      <w:r w:rsidR="00C70B16">
        <w:rPr>
          <w:rFonts w:ascii="Times New Roman" w:hAnsi="Times New Roman" w:cs="Times New Roman"/>
          <w:sz w:val="24"/>
          <w:szCs w:val="24"/>
        </w:rPr>
        <w:t xml:space="preserve"> as </w:t>
      </w:r>
      <w:r>
        <w:rPr>
          <w:rFonts w:ascii="Times New Roman" w:hAnsi="Times New Roman" w:cs="Times New Roman"/>
          <w:sz w:val="24"/>
          <w:szCs w:val="24"/>
        </w:rPr>
        <w:t xml:space="preserve"> aggravat</w:t>
      </w:r>
      <w:r w:rsidR="00120B3C">
        <w:rPr>
          <w:rFonts w:ascii="Times New Roman" w:hAnsi="Times New Roman" w:cs="Times New Roman"/>
          <w:sz w:val="24"/>
          <w:szCs w:val="24"/>
        </w:rPr>
        <w:t>ion</w:t>
      </w:r>
      <w:r w:rsidR="00C70B16">
        <w:rPr>
          <w:rFonts w:ascii="Times New Roman" w:hAnsi="Times New Roman" w:cs="Times New Roman"/>
          <w:sz w:val="24"/>
          <w:szCs w:val="24"/>
        </w:rPr>
        <w:t>.</w:t>
      </w:r>
      <w:r>
        <w:rPr>
          <w:rFonts w:ascii="Times New Roman" w:hAnsi="Times New Roman" w:cs="Times New Roman"/>
          <w:sz w:val="24"/>
          <w:szCs w:val="24"/>
        </w:rPr>
        <w:t xml:space="preserve"> In most cases, the sentencing pattern has been that, in the presence of previous convictions of domestic violence, an automatic custodial sentence may be the most appropriate.</w:t>
      </w:r>
    </w:p>
    <w:p w14:paraId="51CBD425" w14:textId="22D7EBDC" w:rsidR="004E2832" w:rsidRDefault="004E2832" w:rsidP="005129BC">
      <w:pPr>
        <w:spacing w:line="360" w:lineRule="auto"/>
        <w:rPr>
          <w:rFonts w:ascii="Times New Roman" w:hAnsi="Times New Roman" w:cs="Times New Roman"/>
          <w:sz w:val="24"/>
          <w:szCs w:val="24"/>
        </w:rPr>
      </w:pPr>
      <w:r>
        <w:rPr>
          <w:rFonts w:ascii="Times New Roman" w:hAnsi="Times New Roman" w:cs="Times New Roman"/>
          <w:sz w:val="24"/>
          <w:szCs w:val="24"/>
        </w:rPr>
        <w:t>In a nutshell, the sentencing guide states that a custodial sentence should</w:t>
      </w:r>
      <w:r w:rsidR="003A581A">
        <w:rPr>
          <w:rFonts w:ascii="Times New Roman" w:hAnsi="Times New Roman" w:cs="Times New Roman"/>
          <w:sz w:val="24"/>
          <w:szCs w:val="24"/>
        </w:rPr>
        <w:t xml:space="preserve"> be</w:t>
      </w:r>
      <w:r>
        <w:rPr>
          <w:rFonts w:ascii="Times New Roman" w:hAnsi="Times New Roman" w:cs="Times New Roman"/>
          <w:sz w:val="24"/>
          <w:szCs w:val="24"/>
        </w:rPr>
        <w:t xml:space="preserve"> of </w:t>
      </w:r>
      <w:r w:rsidR="003A581A">
        <w:rPr>
          <w:rFonts w:ascii="Times New Roman" w:hAnsi="Times New Roman" w:cs="Times New Roman"/>
          <w:sz w:val="24"/>
          <w:szCs w:val="24"/>
        </w:rPr>
        <w:t xml:space="preserve">the </w:t>
      </w:r>
      <w:r>
        <w:rPr>
          <w:rFonts w:ascii="Times New Roman" w:hAnsi="Times New Roman" w:cs="Times New Roman"/>
          <w:sz w:val="24"/>
          <w:szCs w:val="24"/>
        </w:rPr>
        <w:t>last resort</w:t>
      </w:r>
      <w:r w:rsidR="005129BC">
        <w:rPr>
          <w:rFonts w:ascii="Times New Roman" w:hAnsi="Times New Roman" w:cs="Times New Roman"/>
          <w:sz w:val="24"/>
          <w:szCs w:val="24"/>
        </w:rPr>
        <w:t>.</w:t>
      </w:r>
      <w:r w:rsidR="00A92648">
        <w:rPr>
          <w:rStyle w:val="FootnoteReference"/>
          <w:rFonts w:ascii="Times New Roman" w:hAnsi="Times New Roman" w:cs="Times New Roman"/>
          <w:sz w:val="24"/>
          <w:szCs w:val="24"/>
        </w:rPr>
        <w:footnoteReference w:id="10"/>
      </w:r>
      <w:r w:rsidR="005129BC">
        <w:rPr>
          <w:rFonts w:ascii="Times New Roman" w:hAnsi="Times New Roman" w:cs="Times New Roman"/>
          <w:sz w:val="24"/>
          <w:szCs w:val="24"/>
        </w:rPr>
        <w:t xml:space="preserve"> E</w:t>
      </w:r>
      <w:r>
        <w:rPr>
          <w:rFonts w:ascii="Times New Roman" w:hAnsi="Times New Roman" w:cs="Times New Roman"/>
          <w:sz w:val="24"/>
          <w:szCs w:val="24"/>
        </w:rPr>
        <w:t>specially</w:t>
      </w:r>
      <w:r w:rsidR="005129BC">
        <w:rPr>
          <w:rFonts w:ascii="Times New Roman" w:hAnsi="Times New Roman" w:cs="Times New Roman"/>
          <w:sz w:val="24"/>
          <w:szCs w:val="24"/>
        </w:rPr>
        <w:t>,</w:t>
      </w:r>
      <w:r>
        <w:rPr>
          <w:rFonts w:ascii="Times New Roman" w:hAnsi="Times New Roman" w:cs="Times New Roman"/>
          <w:sz w:val="24"/>
          <w:szCs w:val="24"/>
        </w:rPr>
        <w:t xml:space="preserve"> where a statutory penalty of a fine is provided for.</w:t>
      </w:r>
      <w:r w:rsidR="00A92648">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Community service</w:t>
      </w:r>
      <w:r w:rsidR="00A92648">
        <w:rPr>
          <w:rFonts w:ascii="Times New Roman" w:hAnsi="Times New Roman" w:cs="Times New Roman"/>
          <w:sz w:val="24"/>
          <w:szCs w:val="24"/>
        </w:rPr>
        <w:t>,</w:t>
      </w:r>
      <w:r>
        <w:rPr>
          <w:rFonts w:ascii="Times New Roman" w:hAnsi="Times New Roman" w:cs="Times New Roman"/>
          <w:sz w:val="24"/>
          <w:szCs w:val="24"/>
        </w:rPr>
        <w:t xml:space="preserve"> in the circumstances of this case should have been considered. It was not</w:t>
      </w:r>
      <w:r w:rsidR="00A92648">
        <w:rPr>
          <w:rFonts w:ascii="Times New Roman" w:hAnsi="Times New Roman" w:cs="Times New Roman"/>
          <w:sz w:val="24"/>
          <w:szCs w:val="24"/>
        </w:rPr>
        <w:t xml:space="preserve">, </w:t>
      </w:r>
      <w:r w:rsidR="00D52FF5">
        <w:rPr>
          <w:rFonts w:ascii="Times New Roman" w:hAnsi="Times New Roman" w:cs="Times New Roman"/>
          <w:sz w:val="24"/>
          <w:szCs w:val="24"/>
        </w:rPr>
        <w:t>e</w:t>
      </w:r>
      <w:r>
        <w:rPr>
          <w:rFonts w:ascii="Times New Roman" w:hAnsi="Times New Roman" w:cs="Times New Roman"/>
          <w:sz w:val="24"/>
          <w:szCs w:val="24"/>
        </w:rPr>
        <w:t>ven though it is punishment and can be equally effective.</w:t>
      </w:r>
      <w:r w:rsidR="003A581A">
        <w:rPr>
          <w:rFonts w:ascii="Times New Roman" w:hAnsi="Times New Roman" w:cs="Times New Roman"/>
          <w:sz w:val="24"/>
          <w:szCs w:val="24"/>
        </w:rPr>
        <w:t xml:space="preserve"> </w:t>
      </w:r>
    </w:p>
    <w:p w14:paraId="676BFE6C" w14:textId="712CE06A" w:rsidR="00A74F6C" w:rsidRDefault="002A044E" w:rsidP="005129BC">
      <w:pPr>
        <w:spacing w:line="360" w:lineRule="auto"/>
        <w:rPr>
          <w:rFonts w:ascii="Times New Roman" w:hAnsi="Times New Roman" w:cs="Times New Roman"/>
          <w:sz w:val="24"/>
          <w:szCs w:val="24"/>
        </w:rPr>
      </w:pPr>
      <w:r>
        <w:rPr>
          <w:rFonts w:ascii="Times New Roman" w:hAnsi="Times New Roman" w:cs="Times New Roman"/>
          <w:sz w:val="24"/>
          <w:szCs w:val="24"/>
          <w:lang w:val="en-GB"/>
        </w:rPr>
        <w:t>Where there</w:t>
      </w:r>
      <w:r w:rsidR="00E123D5">
        <w:rPr>
          <w:rFonts w:ascii="Times New Roman" w:hAnsi="Times New Roman" w:cs="Times New Roman"/>
          <w:sz w:val="24"/>
          <w:szCs w:val="24"/>
          <w:lang w:val="en-GB"/>
        </w:rPr>
        <w:t xml:space="preserve"> is no satisfactory evidence that the accused is an abuser </w:t>
      </w:r>
      <w:r w:rsidR="003A581A">
        <w:rPr>
          <w:rFonts w:ascii="Times New Roman" w:hAnsi="Times New Roman" w:cs="Times New Roman"/>
          <w:sz w:val="24"/>
          <w:szCs w:val="24"/>
          <w:lang w:val="en-GB"/>
        </w:rPr>
        <w:t>and</w:t>
      </w:r>
      <w:r w:rsidR="00E123D5">
        <w:rPr>
          <w:rFonts w:ascii="Times New Roman" w:hAnsi="Times New Roman" w:cs="Times New Roman"/>
          <w:sz w:val="24"/>
          <w:szCs w:val="24"/>
          <w:lang w:val="en-GB"/>
        </w:rPr>
        <w:t xml:space="preserve"> is actually the </w:t>
      </w:r>
      <w:r>
        <w:rPr>
          <w:rFonts w:ascii="Times New Roman" w:hAnsi="Times New Roman" w:cs="Times New Roman"/>
          <w:sz w:val="24"/>
          <w:szCs w:val="24"/>
          <w:lang w:val="en-GB"/>
        </w:rPr>
        <w:t>victim,</w:t>
      </w:r>
      <w:r w:rsidR="00E123D5">
        <w:rPr>
          <w:rFonts w:ascii="Times New Roman" w:hAnsi="Times New Roman" w:cs="Times New Roman"/>
          <w:sz w:val="24"/>
          <w:szCs w:val="24"/>
          <w:lang w:val="en-GB"/>
        </w:rPr>
        <w:t xml:space="preserve"> t</w:t>
      </w:r>
      <w:r w:rsidR="0072055E" w:rsidRPr="00E123D5">
        <w:rPr>
          <w:rFonts w:ascii="Times New Roman" w:hAnsi="Times New Roman" w:cs="Times New Roman"/>
          <w:sz w:val="24"/>
          <w:szCs w:val="24"/>
          <w:lang w:val="en-GB"/>
        </w:rPr>
        <w:t>he dictum</w:t>
      </w:r>
      <w:r w:rsidR="00E123D5">
        <w:rPr>
          <w:rFonts w:ascii="Times New Roman" w:hAnsi="Times New Roman" w:cs="Times New Roman"/>
          <w:i/>
          <w:iCs/>
          <w:sz w:val="24"/>
          <w:szCs w:val="24"/>
          <w:lang w:val="en-GB"/>
        </w:rPr>
        <w:t xml:space="preserve"> in </w:t>
      </w:r>
      <w:r w:rsidR="0072055E">
        <w:rPr>
          <w:rFonts w:ascii="Times New Roman" w:hAnsi="Times New Roman" w:cs="Times New Roman"/>
          <w:i/>
          <w:iCs/>
          <w:sz w:val="24"/>
          <w:szCs w:val="24"/>
          <w:lang w:val="en-GB"/>
        </w:rPr>
        <w:t>Z</w:t>
      </w:r>
      <w:r w:rsidR="00A74F6C" w:rsidRPr="00A74F6C">
        <w:rPr>
          <w:rFonts w:ascii="Times New Roman" w:hAnsi="Times New Roman" w:cs="Times New Roman"/>
          <w:i/>
          <w:iCs/>
          <w:sz w:val="24"/>
          <w:szCs w:val="24"/>
          <w:lang w:val="en-GB"/>
        </w:rPr>
        <w:t>welithini Maxwell Zondi v The State </w:t>
      </w:r>
      <w:r w:rsidR="00A74F6C" w:rsidRPr="00A74F6C">
        <w:rPr>
          <w:rFonts w:ascii="Times New Roman" w:hAnsi="Times New Roman" w:cs="Times New Roman"/>
          <w:sz w:val="24"/>
          <w:szCs w:val="24"/>
          <w:lang w:val="en-GB"/>
        </w:rPr>
        <w:t>(1232/2021)</w:t>
      </w:r>
      <w:r w:rsidR="00E123D5">
        <w:rPr>
          <w:rFonts w:ascii="Times New Roman" w:hAnsi="Times New Roman" w:cs="Times New Roman"/>
          <w:sz w:val="24"/>
          <w:szCs w:val="24"/>
          <w:lang w:val="en-GB"/>
        </w:rPr>
        <w:t xml:space="preserve">2022 ZASCA 173(7November 2022) rings   true.  It says, </w:t>
      </w:r>
      <w:r>
        <w:rPr>
          <w:rFonts w:ascii="Times New Roman" w:hAnsi="Times New Roman" w:cs="Times New Roman"/>
          <w:sz w:val="24"/>
          <w:szCs w:val="24"/>
          <w:lang w:val="en-GB"/>
        </w:rPr>
        <w:t>“</w:t>
      </w:r>
      <w:r w:rsidR="00E123D5">
        <w:rPr>
          <w:rFonts w:ascii="Times New Roman" w:hAnsi="Times New Roman" w:cs="Times New Roman"/>
          <w:sz w:val="24"/>
          <w:szCs w:val="24"/>
          <w:lang w:val="en-GB"/>
        </w:rPr>
        <w:t>It is</w:t>
      </w:r>
      <w:r w:rsidR="00A74F6C" w:rsidRPr="00A74F6C">
        <w:rPr>
          <w:rFonts w:ascii="Times New Roman" w:hAnsi="Times New Roman" w:cs="Times New Roman"/>
          <w:sz w:val="24"/>
          <w:szCs w:val="24"/>
          <w:lang w:val="en"/>
        </w:rPr>
        <w:t xml:space="preserve"> a well-established principle in our law that in search for the truth it is better for a guilty person to go free than for an innocent one to be </w:t>
      </w:r>
      <w:r w:rsidR="00A74F6C" w:rsidRPr="00A74F6C">
        <w:rPr>
          <w:rFonts w:ascii="Times New Roman" w:hAnsi="Times New Roman" w:cs="Times New Roman"/>
          <w:sz w:val="24"/>
          <w:szCs w:val="24"/>
          <w:lang w:val="en"/>
        </w:rPr>
        <w:lastRenderedPageBreak/>
        <w:t>convicted. On this basis, the accused is given the benefit of doubt and must the appeal must succeed.</w:t>
      </w:r>
      <w:r>
        <w:rPr>
          <w:rFonts w:ascii="Times New Roman" w:hAnsi="Times New Roman" w:cs="Times New Roman"/>
          <w:sz w:val="24"/>
          <w:szCs w:val="24"/>
          <w:lang w:val="en"/>
        </w:rPr>
        <w:t>”</w:t>
      </w:r>
      <w:r>
        <w:rPr>
          <w:rFonts w:ascii="Times New Roman" w:hAnsi="Times New Roman" w:cs="Times New Roman"/>
          <w:sz w:val="24"/>
          <w:szCs w:val="24"/>
        </w:rPr>
        <w:t xml:space="preserve"> </w:t>
      </w:r>
    </w:p>
    <w:p w14:paraId="3FAB31F7" w14:textId="4F7F7302" w:rsidR="005129BC" w:rsidRDefault="005129BC" w:rsidP="005129BC">
      <w:pPr>
        <w:spacing w:line="360" w:lineRule="auto"/>
        <w:rPr>
          <w:rFonts w:ascii="Times New Roman" w:hAnsi="Times New Roman" w:cs="Times New Roman"/>
          <w:sz w:val="24"/>
          <w:szCs w:val="24"/>
        </w:rPr>
      </w:pPr>
      <w:r>
        <w:rPr>
          <w:rFonts w:ascii="Times New Roman" w:hAnsi="Times New Roman" w:cs="Times New Roman"/>
          <w:sz w:val="24"/>
          <w:szCs w:val="24"/>
        </w:rPr>
        <w:t>Accordingly, we find, both the conviction and sentence are not in accordance with real and substantial justice.  Both are set aside. The trial court’s sentence is substituted with not guilty and acquitted.</w:t>
      </w:r>
    </w:p>
    <w:p w14:paraId="2B6C64B2" w14:textId="79EBD6BF" w:rsidR="008924E1" w:rsidRPr="00D52FF5" w:rsidRDefault="00D52FF5" w:rsidP="005129BC">
      <w:pPr>
        <w:spacing w:line="360" w:lineRule="auto"/>
        <w:rPr>
          <w:rFonts w:ascii="Times New Roman" w:hAnsi="Times New Roman" w:cs="Times New Roman"/>
          <w:b/>
          <w:bCs/>
          <w:sz w:val="24"/>
          <w:szCs w:val="24"/>
        </w:rPr>
      </w:pPr>
      <w:r w:rsidRPr="00D52FF5">
        <w:rPr>
          <w:rFonts w:ascii="Times New Roman" w:hAnsi="Times New Roman" w:cs="Times New Roman"/>
          <w:i/>
          <w:iCs/>
          <w:sz w:val="24"/>
          <w:szCs w:val="24"/>
        </w:rPr>
        <w:t>National Prosecuting Authority</w:t>
      </w:r>
      <w:r w:rsidR="008924E1" w:rsidRPr="00D52FF5">
        <w:rPr>
          <w:rFonts w:ascii="Times New Roman" w:hAnsi="Times New Roman" w:cs="Times New Roman"/>
          <w:b/>
          <w:bCs/>
          <w:sz w:val="24"/>
          <w:szCs w:val="24"/>
        </w:rPr>
        <w:br/>
      </w:r>
      <w:r w:rsidRPr="00D52FF5">
        <w:rPr>
          <w:rFonts w:ascii="Times New Roman" w:hAnsi="Times New Roman" w:cs="Times New Roman"/>
          <w:b/>
          <w:bCs/>
          <w:sz w:val="24"/>
          <w:szCs w:val="24"/>
        </w:rPr>
        <w:t>Muzofa J, I agree.</w:t>
      </w:r>
    </w:p>
    <w:sectPr w:rsidR="008924E1" w:rsidRPr="00D52FF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323D1" w14:textId="77777777" w:rsidR="00121BC4" w:rsidRDefault="00121BC4" w:rsidP="00B50EFA">
      <w:pPr>
        <w:spacing w:after="0" w:line="240" w:lineRule="auto"/>
      </w:pPr>
      <w:r>
        <w:separator/>
      </w:r>
    </w:p>
  </w:endnote>
  <w:endnote w:type="continuationSeparator" w:id="0">
    <w:p w14:paraId="3794CE7F" w14:textId="77777777" w:rsidR="00121BC4" w:rsidRDefault="00121BC4" w:rsidP="00B50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CD23" w14:textId="77777777" w:rsidR="00121BC4" w:rsidRDefault="00121BC4" w:rsidP="00B50EFA">
      <w:pPr>
        <w:spacing w:after="0" w:line="240" w:lineRule="auto"/>
      </w:pPr>
      <w:r>
        <w:separator/>
      </w:r>
    </w:p>
  </w:footnote>
  <w:footnote w:type="continuationSeparator" w:id="0">
    <w:p w14:paraId="3708B191" w14:textId="77777777" w:rsidR="00121BC4" w:rsidRDefault="00121BC4" w:rsidP="00B50EFA">
      <w:pPr>
        <w:spacing w:after="0" w:line="240" w:lineRule="auto"/>
      </w:pPr>
      <w:r>
        <w:continuationSeparator/>
      </w:r>
    </w:p>
  </w:footnote>
  <w:footnote w:id="1">
    <w:p w14:paraId="70A79623" w14:textId="1D8D45C9" w:rsidR="00B50EFA" w:rsidRDefault="00B50EFA">
      <w:pPr>
        <w:pStyle w:val="FootnoteText"/>
      </w:pPr>
      <w:r>
        <w:rPr>
          <w:rStyle w:val="FootnoteReference"/>
        </w:rPr>
        <w:footnoteRef/>
      </w:r>
      <w:r w:rsidR="009C3274" w:rsidRPr="009C3274">
        <w:rPr>
          <w:i/>
          <w:iCs/>
        </w:rPr>
        <w:t>S v Gudyanga 2015 (1) ZLR 238 (H)”</w:t>
      </w:r>
      <w:r>
        <w:t xml:space="preserve"> </w:t>
      </w:r>
    </w:p>
  </w:footnote>
  <w:footnote w:id="2">
    <w:p w14:paraId="009B834A" w14:textId="60C66CBA" w:rsidR="00B50EFA" w:rsidRDefault="00B50EFA">
      <w:pPr>
        <w:pStyle w:val="FootnoteText"/>
      </w:pPr>
      <w:r>
        <w:rPr>
          <w:rStyle w:val="FootnoteReference"/>
        </w:rPr>
        <w:footnoteRef/>
      </w:r>
      <w:r>
        <w:t xml:space="preserve"> </w:t>
      </w:r>
      <w:r w:rsidR="009C3274" w:rsidRPr="009C3274">
        <w:t>Hama v National Railway of Zimbabwe 1996 (1) ZLR 664 (S</w:t>
      </w:r>
      <w:r w:rsidR="009C3274">
        <w:t>)</w:t>
      </w:r>
      <w:r w:rsidR="009C3274" w:rsidRPr="009C3274">
        <w:t xml:space="preserve"> at 670 C-D,</w:t>
      </w:r>
      <w:r w:rsidR="009C3274" w:rsidRPr="009C3274">
        <w:rPr>
          <w:sz w:val="22"/>
          <w:szCs w:val="22"/>
        </w:rPr>
        <w:t xml:space="preserve"> </w:t>
      </w:r>
      <w:r w:rsidR="009C3274" w:rsidRPr="009C3274">
        <w:t>S v Mlambo 1994 (2) ZLR 410 (S) at 413 C:</w:t>
      </w:r>
    </w:p>
  </w:footnote>
  <w:footnote w:id="3">
    <w:p w14:paraId="1D9FAA36" w14:textId="22882563" w:rsidR="00B50EFA" w:rsidRDefault="00B50EFA">
      <w:pPr>
        <w:pStyle w:val="FootnoteText"/>
      </w:pPr>
      <w:r>
        <w:rPr>
          <w:rStyle w:val="FootnoteReference"/>
        </w:rPr>
        <w:footnoteRef/>
      </w:r>
      <w:r>
        <w:t xml:space="preserve"> </w:t>
      </w:r>
      <w:r w:rsidR="009C3274" w:rsidRPr="009C3274">
        <w:t xml:space="preserve">ZNWA v </w:t>
      </w:r>
      <w:r w:rsidR="009C3274" w:rsidRPr="009C3274">
        <w:t>Mwoyounotsva 2015 (1) ZLR 935 (</w:t>
      </w:r>
      <w:r w:rsidR="009C3274">
        <w:t>S)</w:t>
      </w:r>
    </w:p>
  </w:footnote>
  <w:footnote w:id="4">
    <w:p w14:paraId="261D49F6" w14:textId="37C61860" w:rsidR="00B50EFA" w:rsidRDefault="00B50EFA">
      <w:pPr>
        <w:pStyle w:val="FootnoteText"/>
      </w:pPr>
      <w:r>
        <w:rPr>
          <w:rStyle w:val="FootnoteReference"/>
        </w:rPr>
        <w:footnoteRef/>
      </w:r>
      <w:r w:rsidR="009C3274" w:rsidRPr="009C3274">
        <w:t>Nzira v The State SC23/06</w:t>
      </w:r>
      <w:r>
        <w:t xml:space="preserve"> </w:t>
      </w:r>
      <w:r w:rsidR="00892C10" w:rsidRPr="00892C10">
        <w:rPr>
          <w:i/>
          <w:iCs/>
        </w:rPr>
        <w:t xml:space="preserve">Barros and Anor v </w:t>
      </w:r>
      <w:r w:rsidR="00892C10" w:rsidRPr="00892C10">
        <w:rPr>
          <w:i/>
          <w:iCs/>
        </w:rPr>
        <w:t>Chimponda</w:t>
      </w:r>
      <w:r w:rsidR="00892C10" w:rsidRPr="00892C10">
        <w:t> 1999(1) ZLR 58 SC.</w:t>
      </w:r>
    </w:p>
  </w:footnote>
  <w:footnote w:id="5">
    <w:p w14:paraId="64148C81" w14:textId="272681D6" w:rsidR="00B50EFA" w:rsidRDefault="00B50EFA">
      <w:pPr>
        <w:pStyle w:val="FootnoteText"/>
      </w:pPr>
      <w:r>
        <w:rPr>
          <w:rStyle w:val="FootnoteReference"/>
        </w:rPr>
        <w:footnoteRef/>
      </w:r>
      <w:r w:rsidR="009C3274">
        <w:t xml:space="preserve">Portland Holdings (Private)Limited v </w:t>
      </w:r>
      <w:r w:rsidR="009C3274">
        <w:t>Tupelostep Investments Pty limited and Anor SC 3/2015</w:t>
      </w:r>
      <w:r w:rsidR="00A74F6C">
        <w:t>.</w:t>
      </w:r>
      <w:r>
        <w:t xml:space="preserve"> </w:t>
      </w:r>
    </w:p>
  </w:footnote>
  <w:footnote w:id="6">
    <w:p w14:paraId="0985B6ED" w14:textId="34C6D1D0" w:rsidR="004059AF" w:rsidRDefault="004059AF">
      <w:pPr>
        <w:pStyle w:val="FootnoteText"/>
      </w:pPr>
      <w:r>
        <w:rPr>
          <w:rStyle w:val="FootnoteReference"/>
        </w:rPr>
        <w:footnoteRef/>
      </w:r>
      <w:r>
        <w:t xml:space="preserve"> </w:t>
      </w:r>
      <w:r w:rsidR="00892C10" w:rsidRPr="00892C10">
        <w:rPr>
          <w:i/>
          <w:iCs/>
        </w:rPr>
        <w:t>S v Mapfumo and Others</w:t>
      </w:r>
      <w:r w:rsidR="00892C10" w:rsidRPr="00892C10">
        <w:t> 1983 (1) ZLR 250 (SC)</w:t>
      </w:r>
      <w:r w:rsidR="00892C10" w:rsidRPr="00892C10">
        <w:rPr>
          <w:rFonts w:ascii="Times New Roman" w:hAnsi="Times New Roman" w:cs="Times New Roman"/>
          <w:i/>
          <w:iCs/>
          <w:sz w:val="24"/>
          <w:szCs w:val="24"/>
        </w:rPr>
        <w:t xml:space="preserve"> </w:t>
      </w:r>
      <w:r w:rsidR="00892C10" w:rsidRPr="00A74F6C">
        <w:rPr>
          <w:rFonts w:ascii="Times New Roman" w:hAnsi="Times New Roman" w:cs="Times New Roman"/>
          <w:i/>
          <w:iCs/>
          <w:sz w:val="24"/>
          <w:szCs w:val="24"/>
        </w:rPr>
        <w:t>R v Difford</w:t>
      </w:r>
      <w:r w:rsidR="00892C10" w:rsidRPr="00A74F6C">
        <w:rPr>
          <w:rFonts w:ascii="Times New Roman" w:hAnsi="Times New Roman" w:cs="Times New Roman"/>
          <w:sz w:val="24"/>
          <w:szCs w:val="24"/>
        </w:rPr>
        <w:t> </w:t>
      </w:r>
      <w:hyperlink r:id="rId1" w:tooltip="View LawCiteRecord" w:history="1">
        <w:r w:rsidR="00892C10" w:rsidRPr="00892C10">
          <w:rPr>
            <w:rStyle w:val="Hyperlink"/>
            <w:rFonts w:ascii="Times New Roman" w:hAnsi="Times New Roman" w:cs="Times New Roman"/>
            <w:color w:val="000000" w:themeColor="text1"/>
            <w:sz w:val="24"/>
            <w:szCs w:val="24"/>
            <w:u w:val="none"/>
            <w:lang w:val="en-GB"/>
          </w:rPr>
          <w:t>1937 AD 370</w:t>
        </w:r>
      </w:hyperlink>
      <w:r w:rsidR="00892C10" w:rsidRPr="00892C10">
        <w:rPr>
          <w:rFonts w:ascii="Times New Roman" w:hAnsi="Times New Roman" w:cs="Times New Roman"/>
          <w:color w:val="000000" w:themeColor="text1"/>
          <w:sz w:val="24"/>
          <w:szCs w:val="24"/>
        </w:rPr>
        <w:t> at 373</w:t>
      </w:r>
    </w:p>
  </w:footnote>
  <w:footnote w:id="7">
    <w:p w14:paraId="7AEC1629" w14:textId="7B6AE681" w:rsidR="004059AF" w:rsidRDefault="004059AF">
      <w:pPr>
        <w:pStyle w:val="FootnoteText"/>
      </w:pPr>
      <w:r>
        <w:rPr>
          <w:rStyle w:val="FootnoteReference"/>
        </w:rPr>
        <w:footnoteRef/>
      </w:r>
      <w:r>
        <w:t xml:space="preserve"> </w:t>
      </w:r>
      <w:r w:rsidR="00812C2C">
        <w:t xml:space="preserve"> </w:t>
      </w:r>
      <w:r w:rsidR="00E95612" w:rsidRPr="00E95612">
        <w:t>S v Banana 2000 (1) ZLR 607 (S) and S v Nyirenda 2003 (2) ZLR 64</w:t>
      </w:r>
      <w:r w:rsidR="00E95612">
        <w:t>)</w:t>
      </w:r>
      <w:r w:rsidR="00E95612" w:rsidRPr="00E95612">
        <w:t xml:space="preserve"> (H</w:t>
      </w:r>
      <w:r w:rsidR="00E95612" w:rsidRPr="00E95612">
        <w:rPr>
          <w:sz w:val="22"/>
          <w:szCs w:val="22"/>
        </w:rPr>
        <w:t xml:space="preserve"> </w:t>
      </w:r>
      <w:r w:rsidR="00E95612" w:rsidRPr="00E95612">
        <w:t xml:space="preserve">S v </w:t>
      </w:r>
      <w:r w:rsidR="00E95612" w:rsidRPr="00E95612">
        <w:t>Muhomba SC 57/13</w:t>
      </w:r>
    </w:p>
  </w:footnote>
  <w:footnote w:id="8">
    <w:p w14:paraId="7DCA9404" w14:textId="6204852B" w:rsidR="004059AF" w:rsidRDefault="004059AF">
      <w:pPr>
        <w:pStyle w:val="FootnoteText"/>
      </w:pPr>
      <w:r>
        <w:rPr>
          <w:rStyle w:val="FootnoteReference"/>
        </w:rPr>
        <w:footnoteRef/>
      </w:r>
      <w:r>
        <w:t xml:space="preserve"> </w:t>
      </w:r>
      <w:r w:rsidR="00812C2C">
        <w:t>Sv Mapfumo supra</w:t>
      </w:r>
    </w:p>
  </w:footnote>
  <w:footnote w:id="9">
    <w:p w14:paraId="4CC1E6ED" w14:textId="5B474583" w:rsidR="004059AF" w:rsidRDefault="004059AF">
      <w:pPr>
        <w:pStyle w:val="FootnoteText"/>
      </w:pPr>
      <w:r>
        <w:rPr>
          <w:rStyle w:val="FootnoteReference"/>
        </w:rPr>
        <w:footnoteRef/>
      </w:r>
      <w:r>
        <w:t xml:space="preserve"> </w:t>
      </w:r>
      <w:r w:rsidR="00E95612">
        <w:t xml:space="preserve">. </w:t>
      </w:r>
      <w:r w:rsidR="00E95612">
        <w:t>Gudyanga supra</w:t>
      </w:r>
    </w:p>
  </w:footnote>
  <w:footnote w:id="10">
    <w:p w14:paraId="017965A4" w14:textId="6BEDF5F3" w:rsidR="00A92648" w:rsidRDefault="00A92648">
      <w:pPr>
        <w:pStyle w:val="FootnoteText"/>
      </w:pPr>
      <w:r>
        <w:rPr>
          <w:rStyle w:val="FootnoteReference"/>
        </w:rPr>
        <w:footnoteRef/>
      </w:r>
      <w:r>
        <w:t xml:space="preserve"> </w:t>
      </w:r>
      <w:r w:rsidR="00880C70">
        <w:t>Domestic Violence Act, Chapter 5.16</w:t>
      </w:r>
    </w:p>
  </w:footnote>
  <w:footnote w:id="11">
    <w:p w14:paraId="4A4A2E37" w14:textId="1CB67CDE" w:rsidR="00A92648" w:rsidRDefault="00A92648">
      <w:pPr>
        <w:pStyle w:val="FootnoteText"/>
      </w:pPr>
      <w:r>
        <w:rPr>
          <w:rStyle w:val="FootnoteReference"/>
        </w:rPr>
        <w:footnoteRef/>
      </w:r>
      <w:r>
        <w:t xml:space="preserve"> </w:t>
      </w:r>
      <w:r w:rsidR="00914F1D">
        <w:t>Sentencing guidelines S.I. 146/23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204027"/>
      <w:docPartObj>
        <w:docPartGallery w:val="Page Numbers (Top of Page)"/>
        <w:docPartUnique/>
      </w:docPartObj>
    </w:sdtPr>
    <w:sdtEndPr>
      <w:rPr>
        <w:noProof/>
      </w:rPr>
    </w:sdtEndPr>
    <w:sdtContent>
      <w:p w14:paraId="6DEC2D80" w14:textId="219F509A" w:rsidR="00DE7FDB" w:rsidRDefault="00DE7FDB">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5403EDD4" w14:textId="295A76F1" w:rsidR="00DE7FDB" w:rsidRDefault="00DE7FDB">
        <w:pPr>
          <w:pStyle w:val="Header"/>
          <w:jc w:val="right"/>
          <w:rPr>
            <w:noProof/>
          </w:rPr>
        </w:pPr>
        <w:r>
          <w:rPr>
            <w:noProof/>
          </w:rPr>
          <w:t>HCC59/25</w:t>
        </w:r>
      </w:p>
      <w:p w14:paraId="1102B7ED" w14:textId="77777777" w:rsidR="00DE7FDB" w:rsidRDefault="00DE7FDB" w:rsidP="00DE7FDB">
        <w:pPr>
          <w:pStyle w:val="Header"/>
          <w:jc w:val="right"/>
        </w:pPr>
        <w:r>
          <w:t>HCCR1373/25</w:t>
        </w:r>
      </w:p>
      <w:p w14:paraId="56120466" w14:textId="3056B5DF" w:rsidR="00DE7FDB" w:rsidRDefault="00DE7FDB" w:rsidP="00DE7FDB">
        <w:pPr>
          <w:pStyle w:val="Header"/>
          <w:jc w:val="right"/>
        </w:pPr>
        <w:r>
          <w:t xml:space="preserve">             Ref: CHN CG1659/25</w:t>
        </w:r>
      </w:p>
    </w:sdtContent>
  </w:sdt>
  <w:p w14:paraId="547989A2" w14:textId="77777777" w:rsidR="00DE7FDB" w:rsidRDefault="00DE7F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4E1"/>
    <w:rsid w:val="00035FA4"/>
    <w:rsid w:val="00037E33"/>
    <w:rsid w:val="00062253"/>
    <w:rsid w:val="000C5766"/>
    <w:rsid w:val="00120B3C"/>
    <w:rsid w:val="00121BC4"/>
    <w:rsid w:val="00187367"/>
    <w:rsid w:val="00204183"/>
    <w:rsid w:val="0023447C"/>
    <w:rsid w:val="00266275"/>
    <w:rsid w:val="002A044E"/>
    <w:rsid w:val="003652F5"/>
    <w:rsid w:val="0036750C"/>
    <w:rsid w:val="0037462F"/>
    <w:rsid w:val="003A581A"/>
    <w:rsid w:val="003B708D"/>
    <w:rsid w:val="004059AF"/>
    <w:rsid w:val="00416F24"/>
    <w:rsid w:val="0043145B"/>
    <w:rsid w:val="004A1959"/>
    <w:rsid w:val="004E2832"/>
    <w:rsid w:val="00501C9C"/>
    <w:rsid w:val="005129BC"/>
    <w:rsid w:val="005247CA"/>
    <w:rsid w:val="005A613A"/>
    <w:rsid w:val="005E6B23"/>
    <w:rsid w:val="00603495"/>
    <w:rsid w:val="006059EE"/>
    <w:rsid w:val="00615336"/>
    <w:rsid w:val="00651279"/>
    <w:rsid w:val="006B77A3"/>
    <w:rsid w:val="006E41DB"/>
    <w:rsid w:val="006F1DD4"/>
    <w:rsid w:val="00715AFA"/>
    <w:rsid w:val="0072055E"/>
    <w:rsid w:val="00741EDB"/>
    <w:rsid w:val="007B0D12"/>
    <w:rsid w:val="007D7C64"/>
    <w:rsid w:val="00805DF5"/>
    <w:rsid w:val="00812C2C"/>
    <w:rsid w:val="00826689"/>
    <w:rsid w:val="00842CBF"/>
    <w:rsid w:val="00880C70"/>
    <w:rsid w:val="00880D0D"/>
    <w:rsid w:val="008924E1"/>
    <w:rsid w:val="00892C10"/>
    <w:rsid w:val="008D0D39"/>
    <w:rsid w:val="008D2C14"/>
    <w:rsid w:val="008E233E"/>
    <w:rsid w:val="00914F1D"/>
    <w:rsid w:val="00925936"/>
    <w:rsid w:val="00962ED9"/>
    <w:rsid w:val="00977208"/>
    <w:rsid w:val="009A67DC"/>
    <w:rsid w:val="009B60F4"/>
    <w:rsid w:val="009C3274"/>
    <w:rsid w:val="00A22F09"/>
    <w:rsid w:val="00A74F6C"/>
    <w:rsid w:val="00A821EE"/>
    <w:rsid w:val="00A92648"/>
    <w:rsid w:val="00AC66F9"/>
    <w:rsid w:val="00AD6E96"/>
    <w:rsid w:val="00B37EF7"/>
    <w:rsid w:val="00B42650"/>
    <w:rsid w:val="00B50EFA"/>
    <w:rsid w:val="00C2228A"/>
    <w:rsid w:val="00C70B16"/>
    <w:rsid w:val="00C842F2"/>
    <w:rsid w:val="00D1184A"/>
    <w:rsid w:val="00D119BC"/>
    <w:rsid w:val="00D33E54"/>
    <w:rsid w:val="00D52FF5"/>
    <w:rsid w:val="00DA2164"/>
    <w:rsid w:val="00DE7FDB"/>
    <w:rsid w:val="00E123D5"/>
    <w:rsid w:val="00E3483E"/>
    <w:rsid w:val="00E94937"/>
    <w:rsid w:val="00E95612"/>
    <w:rsid w:val="00F1144E"/>
    <w:rsid w:val="00F465F5"/>
    <w:rsid w:val="00FD23A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D1419"/>
  <w15:chartTrackingRefBased/>
  <w15:docId w15:val="{9BC696AC-81FC-49D1-87B2-0A6C4F85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766"/>
  </w:style>
  <w:style w:type="paragraph" w:styleId="Heading1">
    <w:name w:val="heading 1"/>
    <w:basedOn w:val="Normal"/>
    <w:next w:val="Normal"/>
    <w:link w:val="Heading1Char"/>
    <w:uiPriority w:val="9"/>
    <w:qFormat/>
    <w:rsid w:val="008924E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924E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924E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924E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924E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924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4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4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4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4E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924E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924E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924E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924E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92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4E1"/>
    <w:rPr>
      <w:rFonts w:eastAsiaTheme="majorEastAsia" w:cstheme="majorBidi"/>
      <w:color w:val="272727" w:themeColor="text1" w:themeTint="D8"/>
    </w:rPr>
  </w:style>
  <w:style w:type="paragraph" w:styleId="Title">
    <w:name w:val="Title"/>
    <w:basedOn w:val="Normal"/>
    <w:next w:val="Normal"/>
    <w:link w:val="TitleChar"/>
    <w:uiPriority w:val="10"/>
    <w:qFormat/>
    <w:rsid w:val="008924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4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4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24E1"/>
    <w:rPr>
      <w:i/>
      <w:iCs/>
      <w:color w:val="404040" w:themeColor="text1" w:themeTint="BF"/>
    </w:rPr>
  </w:style>
  <w:style w:type="paragraph" w:styleId="ListParagraph">
    <w:name w:val="List Paragraph"/>
    <w:basedOn w:val="Normal"/>
    <w:uiPriority w:val="34"/>
    <w:qFormat/>
    <w:rsid w:val="008924E1"/>
    <w:pPr>
      <w:ind w:left="720"/>
      <w:contextualSpacing/>
    </w:pPr>
  </w:style>
  <w:style w:type="character" w:styleId="IntenseEmphasis">
    <w:name w:val="Intense Emphasis"/>
    <w:basedOn w:val="DefaultParagraphFont"/>
    <w:uiPriority w:val="21"/>
    <w:qFormat/>
    <w:rsid w:val="008924E1"/>
    <w:rPr>
      <w:i/>
      <w:iCs/>
      <w:color w:val="365F91" w:themeColor="accent1" w:themeShade="BF"/>
    </w:rPr>
  </w:style>
  <w:style w:type="paragraph" w:styleId="IntenseQuote">
    <w:name w:val="Intense Quote"/>
    <w:basedOn w:val="Normal"/>
    <w:next w:val="Normal"/>
    <w:link w:val="IntenseQuoteChar"/>
    <w:uiPriority w:val="30"/>
    <w:qFormat/>
    <w:rsid w:val="008924E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924E1"/>
    <w:rPr>
      <w:i/>
      <w:iCs/>
      <w:color w:val="365F91" w:themeColor="accent1" w:themeShade="BF"/>
    </w:rPr>
  </w:style>
  <w:style w:type="character" w:styleId="IntenseReference">
    <w:name w:val="Intense Reference"/>
    <w:basedOn w:val="DefaultParagraphFont"/>
    <w:uiPriority w:val="32"/>
    <w:qFormat/>
    <w:rsid w:val="008924E1"/>
    <w:rPr>
      <w:b/>
      <w:bCs/>
      <w:smallCaps/>
      <w:color w:val="365F91" w:themeColor="accent1" w:themeShade="BF"/>
      <w:spacing w:val="5"/>
    </w:rPr>
  </w:style>
  <w:style w:type="paragraph" w:styleId="FootnoteText">
    <w:name w:val="footnote text"/>
    <w:basedOn w:val="Normal"/>
    <w:link w:val="FootnoteTextChar"/>
    <w:uiPriority w:val="99"/>
    <w:semiHidden/>
    <w:unhideWhenUsed/>
    <w:rsid w:val="00B50E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0EFA"/>
    <w:rPr>
      <w:sz w:val="20"/>
      <w:szCs w:val="20"/>
    </w:rPr>
  </w:style>
  <w:style w:type="character" w:styleId="FootnoteReference">
    <w:name w:val="footnote reference"/>
    <w:basedOn w:val="DefaultParagraphFont"/>
    <w:uiPriority w:val="99"/>
    <w:semiHidden/>
    <w:unhideWhenUsed/>
    <w:rsid w:val="00B50EFA"/>
    <w:rPr>
      <w:vertAlign w:val="superscript"/>
    </w:rPr>
  </w:style>
  <w:style w:type="character" w:styleId="Hyperlink">
    <w:name w:val="Hyperlink"/>
    <w:basedOn w:val="DefaultParagraphFont"/>
    <w:uiPriority w:val="99"/>
    <w:unhideWhenUsed/>
    <w:rsid w:val="00A74F6C"/>
    <w:rPr>
      <w:color w:val="0000FF" w:themeColor="hyperlink"/>
      <w:u w:val="single"/>
    </w:rPr>
  </w:style>
  <w:style w:type="character" w:styleId="UnresolvedMention">
    <w:name w:val="Unresolved Mention"/>
    <w:basedOn w:val="DefaultParagraphFont"/>
    <w:uiPriority w:val="99"/>
    <w:semiHidden/>
    <w:unhideWhenUsed/>
    <w:rsid w:val="00A74F6C"/>
    <w:rPr>
      <w:color w:val="605E5C"/>
      <w:shd w:val="clear" w:color="auto" w:fill="E1DFDD"/>
    </w:rPr>
  </w:style>
  <w:style w:type="paragraph" w:styleId="Header">
    <w:name w:val="header"/>
    <w:basedOn w:val="Normal"/>
    <w:link w:val="HeaderChar"/>
    <w:uiPriority w:val="99"/>
    <w:unhideWhenUsed/>
    <w:rsid w:val="00DE7F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7FDB"/>
  </w:style>
  <w:style w:type="paragraph" w:styleId="Footer">
    <w:name w:val="footer"/>
    <w:basedOn w:val="Normal"/>
    <w:link w:val="FooterChar"/>
    <w:uiPriority w:val="99"/>
    <w:unhideWhenUsed/>
    <w:rsid w:val="00DE7F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aflii.org/cgi-bin/LawCite?cit=1937%20AD%203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AF7CB-1B28-4F50-A18F-715DEE963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2334</Words>
  <Characters>13304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cp:keywords/>
  <dc:description/>
  <cp:lastModifiedBy>Chinhoyi Magistrate</cp:lastModifiedBy>
  <cp:revision>3</cp:revision>
  <cp:lastPrinted>2025-09-29T11:30:00Z</cp:lastPrinted>
  <dcterms:created xsi:type="dcterms:W3CDTF">2025-09-30T14:24:00Z</dcterms:created>
  <dcterms:modified xsi:type="dcterms:W3CDTF">2025-09-30T14:43:00Z</dcterms:modified>
</cp:coreProperties>
</file>