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5DE" w:rsidRDefault="003A697C" w:rsidP="00F75B4D">
      <w:pPr>
        <w:pStyle w:val="NoSpacing"/>
        <w:jc w:val="both"/>
        <w:rPr>
          <w:b/>
          <w:lang w:val="en-US"/>
        </w:rPr>
      </w:pPr>
      <w:r>
        <w:rPr>
          <w:b/>
          <w:lang w:val="en-US"/>
        </w:rPr>
        <w:t>THE STATE</w:t>
      </w:r>
    </w:p>
    <w:p w:rsidR="003A697C" w:rsidRDefault="003A697C" w:rsidP="00F75B4D">
      <w:pPr>
        <w:pStyle w:val="NoSpacing"/>
        <w:jc w:val="both"/>
        <w:rPr>
          <w:b/>
          <w:lang w:val="en-US"/>
        </w:rPr>
      </w:pPr>
    </w:p>
    <w:p w:rsidR="003A697C" w:rsidRDefault="003A697C" w:rsidP="00F75B4D">
      <w:pPr>
        <w:pStyle w:val="NoSpacing"/>
        <w:jc w:val="both"/>
        <w:rPr>
          <w:b/>
          <w:lang w:val="en-US"/>
        </w:rPr>
      </w:pPr>
      <w:r>
        <w:rPr>
          <w:b/>
          <w:lang w:val="en-US"/>
        </w:rPr>
        <w:t>Versus</w:t>
      </w:r>
    </w:p>
    <w:p w:rsidR="003A697C" w:rsidRDefault="003A697C" w:rsidP="00F75B4D">
      <w:pPr>
        <w:pStyle w:val="NoSpacing"/>
        <w:jc w:val="both"/>
        <w:rPr>
          <w:b/>
          <w:lang w:val="en-US"/>
        </w:rPr>
      </w:pPr>
    </w:p>
    <w:p w:rsidR="003A697C" w:rsidRDefault="003A697C" w:rsidP="00F75B4D">
      <w:pPr>
        <w:pStyle w:val="NoSpacing"/>
        <w:jc w:val="both"/>
        <w:rPr>
          <w:b/>
          <w:lang w:val="en-US"/>
        </w:rPr>
      </w:pPr>
      <w:r>
        <w:rPr>
          <w:b/>
          <w:lang w:val="en-US"/>
        </w:rPr>
        <w:t>MAIDEI MAHWIGA</w:t>
      </w:r>
      <w:r>
        <w:rPr>
          <w:b/>
          <w:lang w:val="en-US"/>
        </w:rPr>
        <w:tab/>
      </w:r>
      <w:r>
        <w:rPr>
          <w:b/>
          <w:lang w:val="en-US"/>
        </w:rPr>
        <w:tab/>
      </w:r>
      <w:r>
        <w:rPr>
          <w:b/>
          <w:lang w:val="en-US"/>
        </w:rPr>
        <w:tab/>
      </w:r>
      <w:r>
        <w:rPr>
          <w:b/>
          <w:lang w:val="en-US"/>
        </w:rPr>
        <w:tab/>
        <w:t>CRB MBE 563/21</w:t>
      </w:r>
    </w:p>
    <w:p w:rsidR="003A697C" w:rsidRDefault="003A697C" w:rsidP="00F75B4D">
      <w:pPr>
        <w:pStyle w:val="NoSpacing"/>
        <w:jc w:val="both"/>
        <w:rPr>
          <w:b/>
          <w:lang w:val="en-US"/>
        </w:rPr>
      </w:pPr>
    </w:p>
    <w:p w:rsidR="003A697C" w:rsidRDefault="003A697C" w:rsidP="00F75B4D">
      <w:pPr>
        <w:pStyle w:val="NoSpacing"/>
        <w:jc w:val="both"/>
        <w:rPr>
          <w:b/>
          <w:lang w:val="en-US"/>
        </w:rPr>
      </w:pPr>
      <w:r>
        <w:rPr>
          <w:b/>
          <w:lang w:val="en-US"/>
        </w:rPr>
        <w:t>THE STATE</w:t>
      </w:r>
    </w:p>
    <w:p w:rsidR="003A697C" w:rsidRDefault="003A697C" w:rsidP="00F75B4D">
      <w:pPr>
        <w:pStyle w:val="NoSpacing"/>
        <w:jc w:val="both"/>
        <w:rPr>
          <w:b/>
          <w:lang w:val="en-US"/>
        </w:rPr>
      </w:pPr>
    </w:p>
    <w:p w:rsidR="003A697C" w:rsidRDefault="003A697C" w:rsidP="00F75B4D">
      <w:pPr>
        <w:pStyle w:val="NoSpacing"/>
        <w:jc w:val="both"/>
        <w:rPr>
          <w:b/>
          <w:lang w:val="en-US"/>
        </w:rPr>
      </w:pPr>
      <w:r>
        <w:rPr>
          <w:b/>
          <w:lang w:val="en-US"/>
        </w:rPr>
        <w:t>Versus</w:t>
      </w:r>
    </w:p>
    <w:p w:rsidR="003A697C" w:rsidRDefault="003A697C" w:rsidP="00F75B4D">
      <w:pPr>
        <w:pStyle w:val="NoSpacing"/>
        <w:jc w:val="both"/>
        <w:rPr>
          <w:b/>
          <w:lang w:val="en-US"/>
        </w:rPr>
      </w:pPr>
    </w:p>
    <w:p w:rsidR="003A697C" w:rsidRDefault="003A697C" w:rsidP="00F75B4D">
      <w:pPr>
        <w:pStyle w:val="NoSpacing"/>
        <w:jc w:val="both"/>
        <w:rPr>
          <w:b/>
          <w:lang w:val="en-US"/>
        </w:rPr>
      </w:pPr>
      <w:r>
        <w:rPr>
          <w:b/>
          <w:lang w:val="en-US"/>
        </w:rPr>
        <w:t>ELIZABETH ZHOU</w:t>
      </w:r>
      <w:r>
        <w:rPr>
          <w:b/>
          <w:lang w:val="en-US"/>
        </w:rPr>
        <w:tab/>
      </w:r>
      <w:r>
        <w:rPr>
          <w:b/>
          <w:lang w:val="en-US"/>
        </w:rPr>
        <w:tab/>
      </w:r>
      <w:r>
        <w:rPr>
          <w:b/>
          <w:lang w:val="en-US"/>
        </w:rPr>
        <w:tab/>
      </w:r>
      <w:r>
        <w:rPr>
          <w:b/>
          <w:lang w:val="en-US"/>
        </w:rPr>
        <w:tab/>
        <w:t>CRB MBE 564/21</w:t>
      </w:r>
    </w:p>
    <w:p w:rsidR="003A697C" w:rsidRDefault="003A697C" w:rsidP="00F75B4D">
      <w:pPr>
        <w:pStyle w:val="NoSpacing"/>
        <w:jc w:val="both"/>
        <w:rPr>
          <w:b/>
          <w:lang w:val="en-US"/>
        </w:rPr>
      </w:pPr>
    </w:p>
    <w:p w:rsidR="003A697C" w:rsidRDefault="003A697C" w:rsidP="00F75B4D">
      <w:pPr>
        <w:pStyle w:val="NoSpacing"/>
        <w:jc w:val="both"/>
        <w:rPr>
          <w:lang w:val="en-US"/>
        </w:rPr>
      </w:pPr>
      <w:r>
        <w:rPr>
          <w:lang w:val="en-US"/>
        </w:rPr>
        <w:t>IN THE HIGH COURT OF ZIMBABWE</w:t>
      </w:r>
    </w:p>
    <w:p w:rsidR="003A697C" w:rsidRDefault="003A697C" w:rsidP="00F75B4D">
      <w:pPr>
        <w:pStyle w:val="NoSpacing"/>
        <w:jc w:val="both"/>
        <w:rPr>
          <w:lang w:val="en-US"/>
        </w:rPr>
      </w:pPr>
      <w:r>
        <w:rPr>
          <w:lang w:val="en-US"/>
        </w:rPr>
        <w:t>TAKUVA J</w:t>
      </w:r>
    </w:p>
    <w:p w:rsidR="003A697C" w:rsidRDefault="003A697C" w:rsidP="00F75B4D">
      <w:pPr>
        <w:pStyle w:val="NoSpacing"/>
        <w:jc w:val="both"/>
        <w:rPr>
          <w:lang w:val="en-US"/>
        </w:rPr>
      </w:pPr>
      <w:r>
        <w:rPr>
          <w:lang w:val="en-US"/>
        </w:rPr>
        <w:t>BULAWAYO 29 AUGUST 2022</w:t>
      </w:r>
    </w:p>
    <w:p w:rsidR="003A697C" w:rsidRDefault="003A697C" w:rsidP="00F75B4D">
      <w:pPr>
        <w:pStyle w:val="NoSpacing"/>
        <w:jc w:val="both"/>
        <w:rPr>
          <w:lang w:val="en-US"/>
        </w:rPr>
      </w:pPr>
    </w:p>
    <w:p w:rsidR="003A697C" w:rsidRDefault="003A697C" w:rsidP="00F75B4D">
      <w:pPr>
        <w:pStyle w:val="NoSpacing"/>
        <w:jc w:val="both"/>
        <w:rPr>
          <w:b/>
          <w:lang w:val="en-US"/>
        </w:rPr>
      </w:pPr>
      <w:r>
        <w:rPr>
          <w:b/>
          <w:lang w:val="en-US"/>
        </w:rPr>
        <w:t>Review Judgment</w:t>
      </w:r>
    </w:p>
    <w:p w:rsidR="003A697C" w:rsidRDefault="003A697C" w:rsidP="00F75B4D">
      <w:pPr>
        <w:pStyle w:val="NoSpacing"/>
        <w:jc w:val="both"/>
        <w:rPr>
          <w:b/>
          <w:lang w:val="en-US"/>
        </w:rPr>
      </w:pPr>
    </w:p>
    <w:p w:rsidR="003A697C" w:rsidRDefault="003A697C" w:rsidP="00F75B4D">
      <w:pPr>
        <w:jc w:val="both"/>
        <w:rPr>
          <w:lang w:val="en-US"/>
        </w:rPr>
      </w:pPr>
      <w:r>
        <w:rPr>
          <w:lang w:val="en-US"/>
        </w:rPr>
        <w:tab/>
      </w:r>
      <w:r>
        <w:rPr>
          <w:b/>
          <w:lang w:val="en-US"/>
        </w:rPr>
        <w:t>TAKUVA J:</w:t>
      </w:r>
      <w:r>
        <w:rPr>
          <w:b/>
          <w:lang w:val="en-US"/>
        </w:rPr>
        <w:tab/>
      </w:r>
      <w:r>
        <w:rPr>
          <w:lang w:val="en-US"/>
        </w:rPr>
        <w:t xml:space="preserve">The two accused persons appeared before a magistrate at </w:t>
      </w:r>
      <w:proofErr w:type="spellStart"/>
      <w:r>
        <w:rPr>
          <w:lang w:val="en-US"/>
        </w:rPr>
        <w:t>Mberengwa</w:t>
      </w:r>
      <w:proofErr w:type="spellEnd"/>
      <w:r>
        <w:rPr>
          <w:lang w:val="en-US"/>
        </w:rPr>
        <w:t>.  They were charged and convicted separately of contravening section 39 of Medicines and Allied Substances Control Act Chapter 15:03</w:t>
      </w:r>
      <w:r w:rsidR="00F73A0F">
        <w:rPr>
          <w:lang w:val="en-US"/>
        </w:rPr>
        <w:t>: Prohibition of Sale of Medicines which do not comply with prescribed requirements and furnishing of information regarding medicines to authority.</w:t>
      </w:r>
    </w:p>
    <w:p w:rsidR="00F73A0F" w:rsidRDefault="00F73A0F" w:rsidP="00F75B4D">
      <w:pPr>
        <w:jc w:val="both"/>
        <w:rPr>
          <w:lang w:val="en-US"/>
        </w:rPr>
      </w:pPr>
      <w:r>
        <w:rPr>
          <w:lang w:val="en-US"/>
        </w:rPr>
        <w:tab/>
        <w:t>Both pleaded guilty and were sentenced to “4 months imprisonment of which 2 months is suspend for 5 years on condition accused does not within that period commit any offence involving unregister</w:t>
      </w:r>
      <w:r w:rsidR="00F75B4D">
        <w:rPr>
          <w:lang w:val="en-US"/>
        </w:rPr>
        <w:t>e</w:t>
      </w:r>
      <w:r>
        <w:rPr>
          <w:lang w:val="en-US"/>
        </w:rPr>
        <w:t>d medicines for which he is sentenced to imprisonment with</w:t>
      </w:r>
      <w:r w:rsidR="00F75B4D">
        <w:rPr>
          <w:lang w:val="en-US"/>
        </w:rPr>
        <w:t>o</w:t>
      </w:r>
      <w:r>
        <w:rPr>
          <w:lang w:val="en-US"/>
        </w:rPr>
        <w:t>ut the option of a fine. 2 months imprisonment.  The medicines are hereby forfeited to the state for destruction by fire</w:t>
      </w:r>
      <w:r w:rsidR="008665B2">
        <w:rPr>
          <w:lang w:val="en-US"/>
        </w:rPr>
        <w:t>”</w:t>
      </w:r>
      <w:r>
        <w:rPr>
          <w:lang w:val="en-US"/>
        </w:rPr>
        <w:t>.  They were sentenced on 10 December 2021.</w:t>
      </w:r>
    </w:p>
    <w:p w:rsidR="00F73A0F" w:rsidRDefault="00F73A0F" w:rsidP="00F75B4D">
      <w:pPr>
        <w:jc w:val="both"/>
        <w:rPr>
          <w:lang w:val="en-US"/>
        </w:rPr>
      </w:pPr>
      <w:r>
        <w:rPr>
          <w:lang w:val="en-US"/>
        </w:rPr>
        <w:tab/>
        <w:t>The lear</w:t>
      </w:r>
      <w:r w:rsidR="002E6FFF">
        <w:rPr>
          <w:lang w:val="en-US"/>
        </w:rPr>
        <w:t>n</w:t>
      </w:r>
      <w:r>
        <w:rPr>
          <w:lang w:val="en-US"/>
        </w:rPr>
        <w:t xml:space="preserve">ed scrutinizing </w:t>
      </w:r>
      <w:r w:rsidR="008665B2">
        <w:rPr>
          <w:lang w:val="en-US"/>
        </w:rPr>
        <w:t>Regional M</w:t>
      </w:r>
      <w:r>
        <w:rPr>
          <w:lang w:val="en-US"/>
        </w:rPr>
        <w:t>agistrate referred both records to the Registrar of this court with the following comments:</w:t>
      </w:r>
    </w:p>
    <w:p w:rsidR="00F73A0F" w:rsidRDefault="00F73A0F" w:rsidP="002E6FFF">
      <w:pPr>
        <w:pStyle w:val="NoSpacing"/>
        <w:ind w:left="720"/>
        <w:jc w:val="both"/>
        <w:rPr>
          <w:lang w:val="en-US"/>
        </w:rPr>
      </w:pPr>
      <w:r>
        <w:rPr>
          <w:lang w:val="en-US"/>
        </w:rPr>
        <w:t xml:space="preserve">“…  The 2 accused persons appeared before a Provincial Magistrate sitting at </w:t>
      </w:r>
      <w:proofErr w:type="spellStart"/>
      <w:r>
        <w:rPr>
          <w:lang w:val="en-US"/>
        </w:rPr>
        <w:t>Mberengwa</w:t>
      </w:r>
      <w:proofErr w:type="spellEnd"/>
      <w:r>
        <w:rPr>
          <w:lang w:val="en-US"/>
        </w:rPr>
        <w:t xml:space="preserve"> Magistrates’ Court.  They were convicted on their own pleas </w:t>
      </w:r>
      <w:r>
        <w:rPr>
          <w:lang w:val="en-US"/>
        </w:rPr>
        <w:lastRenderedPageBreak/>
        <w:t>of guilty and were each sentenced t</w:t>
      </w:r>
      <w:r w:rsidR="002E6FFF">
        <w:rPr>
          <w:lang w:val="en-US"/>
        </w:rPr>
        <w:t>o</w:t>
      </w:r>
      <w:r>
        <w:rPr>
          <w:lang w:val="en-US"/>
        </w:rPr>
        <w:t xml:space="preserve"> an effective 2 months imprisonment.  The records were placed before me for scrutiny and I am of the</w:t>
      </w:r>
      <w:r w:rsidR="00DF461A">
        <w:rPr>
          <w:lang w:val="en-US"/>
        </w:rPr>
        <w:t xml:space="preserve"> view that the sentence imposed by the trial magistrate is harsh and out of touch with the current sentencing trends.</w:t>
      </w:r>
    </w:p>
    <w:p w:rsidR="00DF461A" w:rsidRDefault="00DF461A" w:rsidP="00F75B4D">
      <w:pPr>
        <w:pStyle w:val="NoSpacing"/>
        <w:jc w:val="both"/>
        <w:rPr>
          <w:lang w:val="en-US"/>
        </w:rPr>
      </w:pPr>
    </w:p>
    <w:p w:rsidR="00DF461A" w:rsidRDefault="00DF461A" w:rsidP="002E6FFF">
      <w:pPr>
        <w:pStyle w:val="NoSpacing"/>
        <w:ind w:left="720"/>
        <w:jc w:val="both"/>
        <w:rPr>
          <w:lang w:val="en-US"/>
        </w:rPr>
      </w:pPr>
      <w:r>
        <w:rPr>
          <w:lang w:val="en-US"/>
        </w:rPr>
        <w:t>Imprisonment is a severe form o</w:t>
      </w:r>
      <w:r w:rsidR="002E6FFF">
        <w:rPr>
          <w:lang w:val="en-US"/>
        </w:rPr>
        <w:t>f</w:t>
      </w:r>
      <w:r>
        <w:rPr>
          <w:lang w:val="en-US"/>
        </w:rPr>
        <w:t xml:space="preserve"> punishment only to be imposed as a last resort </w:t>
      </w:r>
      <w:r w:rsidRPr="002E6FFF">
        <w:rPr>
          <w:i/>
          <w:lang w:val="en-US"/>
        </w:rPr>
        <w:t>S</w:t>
      </w:r>
      <w:r>
        <w:rPr>
          <w:lang w:val="en-US"/>
        </w:rPr>
        <w:t xml:space="preserve"> v </w:t>
      </w:r>
      <w:proofErr w:type="spellStart"/>
      <w:r w:rsidRPr="002E6FFF">
        <w:rPr>
          <w:i/>
          <w:lang w:val="en-US"/>
        </w:rPr>
        <w:t>Manyevere</w:t>
      </w:r>
      <w:proofErr w:type="spellEnd"/>
      <w:r>
        <w:rPr>
          <w:lang w:val="en-US"/>
        </w:rPr>
        <w:t xml:space="preserve"> HB-38-03.  The 2 accused persons are female first offenders who pleaded guilty to the charges.  Their </w:t>
      </w:r>
      <w:proofErr w:type="spellStart"/>
      <w:r>
        <w:rPr>
          <w:lang w:val="en-US"/>
        </w:rPr>
        <w:t>mitigatory</w:t>
      </w:r>
      <w:proofErr w:type="spellEnd"/>
      <w:r>
        <w:rPr>
          <w:lang w:val="en-US"/>
        </w:rPr>
        <w:t xml:space="preserve"> aspects ought to have persuaded the trial magistrate to impose a non-custodial sen</w:t>
      </w:r>
      <w:r w:rsidR="002E6FFF">
        <w:rPr>
          <w:lang w:val="en-US"/>
        </w:rPr>
        <w:t>t</w:t>
      </w:r>
      <w:r>
        <w:rPr>
          <w:lang w:val="en-US"/>
        </w:rPr>
        <w:t>ence.  There is no justification for the sentence of</w:t>
      </w:r>
      <w:r w:rsidR="002E6FFF">
        <w:rPr>
          <w:lang w:val="en-US"/>
        </w:rPr>
        <w:t xml:space="preserve"> </w:t>
      </w:r>
      <w:r>
        <w:rPr>
          <w:lang w:val="en-US"/>
        </w:rPr>
        <w:t>imprisonment that was imposed.</w:t>
      </w:r>
    </w:p>
    <w:p w:rsidR="00DF461A" w:rsidRDefault="00DF461A" w:rsidP="00F75B4D">
      <w:pPr>
        <w:pStyle w:val="NoSpacing"/>
        <w:jc w:val="both"/>
        <w:rPr>
          <w:lang w:val="en-US"/>
        </w:rPr>
      </w:pPr>
    </w:p>
    <w:p w:rsidR="00DF461A" w:rsidRDefault="00DF461A" w:rsidP="002E6FFF">
      <w:pPr>
        <w:pStyle w:val="NoSpacing"/>
        <w:ind w:left="720"/>
        <w:jc w:val="both"/>
        <w:rPr>
          <w:lang w:val="en-US"/>
        </w:rPr>
      </w:pPr>
      <w:r>
        <w:rPr>
          <w:lang w:val="en-US"/>
        </w:rPr>
        <w:t xml:space="preserve">In the case of </w:t>
      </w:r>
      <w:r w:rsidRPr="002E6FFF">
        <w:rPr>
          <w:i/>
          <w:lang w:val="en-US"/>
        </w:rPr>
        <w:t>S</w:t>
      </w:r>
      <w:r>
        <w:rPr>
          <w:lang w:val="en-US"/>
        </w:rPr>
        <w:t xml:space="preserve"> v </w:t>
      </w:r>
      <w:proofErr w:type="spellStart"/>
      <w:r w:rsidRPr="002E6FFF">
        <w:rPr>
          <w:i/>
          <w:lang w:val="en-US"/>
        </w:rPr>
        <w:t>Mutando</w:t>
      </w:r>
      <w:proofErr w:type="spellEnd"/>
      <w:r>
        <w:rPr>
          <w:lang w:val="en-US"/>
        </w:rPr>
        <w:t xml:space="preserve"> HB-35-16, the court held that failure to consider non-custodial sentences like a fine or community service is actually a misdirection by the sentencing court.  It was also stressed in the case of </w:t>
      </w:r>
      <w:r w:rsidRPr="002E6FFF">
        <w:rPr>
          <w:i/>
          <w:lang w:val="en-US"/>
        </w:rPr>
        <w:t>S</w:t>
      </w:r>
      <w:r>
        <w:rPr>
          <w:lang w:val="en-US"/>
        </w:rPr>
        <w:t xml:space="preserve"> v </w:t>
      </w:r>
      <w:proofErr w:type="spellStart"/>
      <w:r w:rsidRPr="002E6FFF">
        <w:rPr>
          <w:i/>
          <w:lang w:val="en-US"/>
        </w:rPr>
        <w:t>Silume</w:t>
      </w:r>
      <w:proofErr w:type="spellEnd"/>
      <w:r>
        <w:rPr>
          <w:lang w:val="en-US"/>
        </w:rPr>
        <w:t xml:space="preserve"> HB-12-16 that failure by the trial magistrate to inquire to the</w:t>
      </w:r>
      <w:r w:rsidR="00986857">
        <w:rPr>
          <w:lang w:val="en-US"/>
        </w:rPr>
        <w:t xml:space="preserve"> suitability of community service where he</w:t>
      </w:r>
      <w:r w:rsidR="002E6FFF">
        <w:rPr>
          <w:lang w:val="en-US"/>
        </w:rPr>
        <w:t>/</w:t>
      </w:r>
      <w:r w:rsidR="00986857">
        <w:rPr>
          <w:lang w:val="en-US"/>
        </w:rPr>
        <w:t xml:space="preserve">she settles for an effective imprisonment of 24 months or less is a misdirection.  The inquiry was </w:t>
      </w:r>
      <w:r w:rsidR="002E6FFF">
        <w:rPr>
          <w:lang w:val="en-US"/>
        </w:rPr>
        <w:t>n</w:t>
      </w:r>
      <w:r w:rsidR="00986857">
        <w:rPr>
          <w:lang w:val="en-US"/>
        </w:rPr>
        <w:t>ot done.</w:t>
      </w:r>
    </w:p>
    <w:p w:rsidR="00986857" w:rsidRDefault="00986857" w:rsidP="00F75B4D">
      <w:pPr>
        <w:pStyle w:val="NoSpacing"/>
        <w:jc w:val="both"/>
        <w:rPr>
          <w:lang w:val="en-US"/>
        </w:rPr>
      </w:pPr>
    </w:p>
    <w:p w:rsidR="00986857" w:rsidRDefault="00986857" w:rsidP="002E6FFF">
      <w:pPr>
        <w:pStyle w:val="NoSpacing"/>
        <w:ind w:left="720"/>
        <w:jc w:val="both"/>
        <w:rPr>
          <w:lang w:val="en-US"/>
        </w:rPr>
      </w:pPr>
      <w:r>
        <w:rPr>
          <w:lang w:val="en-US"/>
        </w:rPr>
        <w:t xml:space="preserve">I did not give the trial magistrate an opportunity to respond because of the urgency of the matter if </w:t>
      </w:r>
      <w:r w:rsidR="002E6FFF">
        <w:rPr>
          <w:lang w:val="en-US"/>
        </w:rPr>
        <w:t xml:space="preserve">corrective </w:t>
      </w:r>
      <w:r>
        <w:rPr>
          <w:lang w:val="en-US"/>
        </w:rPr>
        <w:t>action is to be taken.  I felt that sending the record for the magistrate’s response will ultimately delay the relief that the accused persons may be entitled.</w:t>
      </w:r>
    </w:p>
    <w:p w:rsidR="00986857" w:rsidRDefault="00986857" w:rsidP="00F75B4D">
      <w:pPr>
        <w:pStyle w:val="NoSpacing"/>
        <w:jc w:val="both"/>
        <w:rPr>
          <w:lang w:val="en-US"/>
        </w:rPr>
      </w:pPr>
    </w:p>
    <w:p w:rsidR="00986857" w:rsidRDefault="00986857" w:rsidP="002E6FFF">
      <w:pPr>
        <w:pStyle w:val="NoSpacing"/>
        <w:ind w:firstLine="720"/>
        <w:jc w:val="both"/>
        <w:rPr>
          <w:lang w:val="en-US"/>
        </w:rPr>
      </w:pPr>
      <w:r>
        <w:rPr>
          <w:lang w:val="en-US"/>
        </w:rPr>
        <w:t>The records are referred for corrective action if any.”</w:t>
      </w:r>
    </w:p>
    <w:p w:rsidR="00986857" w:rsidRDefault="00986857" w:rsidP="00F75B4D">
      <w:pPr>
        <w:pStyle w:val="NoSpacing"/>
        <w:jc w:val="both"/>
        <w:rPr>
          <w:lang w:val="en-US"/>
        </w:rPr>
      </w:pPr>
    </w:p>
    <w:p w:rsidR="00986857" w:rsidRDefault="00986857" w:rsidP="002E6FFF">
      <w:pPr>
        <w:ind w:firstLine="720"/>
        <w:jc w:val="both"/>
        <w:rPr>
          <w:lang w:val="en-US"/>
        </w:rPr>
      </w:pPr>
      <w:r>
        <w:rPr>
          <w:lang w:val="en-US"/>
        </w:rPr>
        <w:t>This minute was penned on 31</w:t>
      </w:r>
      <w:r w:rsidRPr="00986857">
        <w:rPr>
          <w:vertAlign w:val="superscript"/>
          <w:lang w:val="en-US"/>
        </w:rPr>
        <w:t>st</w:t>
      </w:r>
      <w:r>
        <w:rPr>
          <w:lang w:val="en-US"/>
        </w:rPr>
        <w:t xml:space="preserve"> December 2021 and was rec</w:t>
      </w:r>
      <w:r w:rsidR="002E6FFF">
        <w:rPr>
          <w:lang w:val="en-US"/>
        </w:rPr>
        <w:t>e</w:t>
      </w:r>
      <w:r>
        <w:rPr>
          <w:lang w:val="en-US"/>
        </w:rPr>
        <w:t>ived by the Registrar of this court on 14 January 2022.</w:t>
      </w:r>
    </w:p>
    <w:p w:rsidR="00986857" w:rsidRDefault="00986857" w:rsidP="002E6FFF">
      <w:pPr>
        <w:ind w:firstLine="720"/>
        <w:jc w:val="both"/>
        <w:rPr>
          <w:lang w:val="en-US"/>
        </w:rPr>
      </w:pPr>
      <w:r>
        <w:rPr>
          <w:lang w:val="en-US"/>
        </w:rPr>
        <w:t>Whil</w:t>
      </w:r>
      <w:r w:rsidR="002E6FFF">
        <w:rPr>
          <w:lang w:val="en-US"/>
        </w:rPr>
        <w:t>e</w:t>
      </w:r>
      <w:r>
        <w:rPr>
          <w:lang w:val="en-US"/>
        </w:rPr>
        <w:t xml:space="preserve"> I totally agree with the learned Regional magistrate’s view, it is unfortunate that despite the Regional Magistrate’s determination and zeal to have this injustice corrected, the two records eventually landed on my desk when the 2 months imprisonment was about to be completed.</w:t>
      </w:r>
    </w:p>
    <w:p w:rsidR="00986857" w:rsidRDefault="00986857" w:rsidP="00F75B4D">
      <w:pPr>
        <w:jc w:val="both"/>
        <w:rPr>
          <w:lang w:val="en-US"/>
        </w:rPr>
      </w:pPr>
      <w:r>
        <w:rPr>
          <w:lang w:val="en-US"/>
        </w:rPr>
        <w:tab/>
        <w:t>I am convinced beyond doubt from a reading of the trial magistrate’s reasons for senten</w:t>
      </w:r>
      <w:r w:rsidR="002E6FFF">
        <w:rPr>
          <w:lang w:val="en-US"/>
        </w:rPr>
        <w:t>c</w:t>
      </w:r>
      <w:r>
        <w:rPr>
          <w:lang w:val="en-US"/>
        </w:rPr>
        <w:t xml:space="preserve">e in both cases that the court relied on the discredited concept of a “short and sharp” custodial sentence.  In </w:t>
      </w:r>
      <w:r w:rsidRPr="002E6FFF">
        <w:rPr>
          <w:i/>
          <w:lang w:val="en-US"/>
        </w:rPr>
        <w:t>S</w:t>
      </w:r>
      <w:r>
        <w:rPr>
          <w:lang w:val="en-US"/>
        </w:rPr>
        <w:t xml:space="preserve"> v </w:t>
      </w:r>
      <w:proofErr w:type="spellStart"/>
      <w:r w:rsidRPr="002E6FFF">
        <w:rPr>
          <w:i/>
          <w:lang w:val="en-US"/>
        </w:rPr>
        <w:t>Zikhali</w:t>
      </w:r>
      <w:proofErr w:type="spellEnd"/>
      <w:r w:rsidRPr="002E6FFF">
        <w:rPr>
          <w:i/>
          <w:lang w:val="en-US"/>
        </w:rPr>
        <w:t xml:space="preserve"> </w:t>
      </w:r>
      <w:r>
        <w:rPr>
          <w:lang w:val="en-US"/>
        </w:rPr>
        <w:t xml:space="preserve">2017 (1) ZLR 845 (H) it </w:t>
      </w:r>
      <w:r>
        <w:rPr>
          <w:lang w:val="en-US"/>
        </w:rPr>
        <w:lastRenderedPageBreak/>
        <w:t xml:space="preserve">was held that the concept of a short and sharp sentence must be condemned at all times because it does not accord with modern sentencing trends.  It is an archaic phenomenon which has long been discarded in </w:t>
      </w:r>
      <w:proofErr w:type="spellStart"/>
      <w:r>
        <w:rPr>
          <w:lang w:val="en-US"/>
        </w:rPr>
        <w:t>favour</w:t>
      </w:r>
      <w:proofErr w:type="spellEnd"/>
      <w:r>
        <w:rPr>
          <w:lang w:val="en-US"/>
        </w:rPr>
        <w:t xml:space="preserve"> of other</w:t>
      </w:r>
      <w:r w:rsidR="00466328">
        <w:rPr>
          <w:lang w:val="en-US"/>
        </w:rPr>
        <w:t xml:space="preserve"> sentencing options.  It does not accord with the current trend in terms of which if the sentencing court settles for an effective custodial sentence of 24 months or less, it is required to inquire into the suitability of community service as an option.</w:t>
      </w:r>
    </w:p>
    <w:p w:rsidR="00466328" w:rsidRDefault="00466328" w:rsidP="00F75B4D">
      <w:pPr>
        <w:jc w:val="both"/>
        <w:rPr>
          <w:lang w:val="en-US"/>
        </w:rPr>
      </w:pPr>
      <w:r>
        <w:rPr>
          <w:lang w:val="en-US"/>
        </w:rPr>
        <w:tab/>
        <w:t>As pointed out above this approach was never resorted to.  This is a serious irregularity that amounts to a misdirection.  In the circumstances, I a</w:t>
      </w:r>
      <w:r w:rsidR="002E6FFF">
        <w:rPr>
          <w:lang w:val="en-US"/>
        </w:rPr>
        <w:t>m</w:t>
      </w:r>
      <w:r>
        <w:rPr>
          <w:lang w:val="en-US"/>
        </w:rPr>
        <w:t xml:space="preserve"> unable to cert</w:t>
      </w:r>
      <w:r w:rsidR="002E6FFF">
        <w:rPr>
          <w:lang w:val="en-US"/>
        </w:rPr>
        <w:t>i</w:t>
      </w:r>
      <w:r>
        <w:rPr>
          <w:lang w:val="en-US"/>
        </w:rPr>
        <w:t>fy thes</w:t>
      </w:r>
      <w:r w:rsidR="002E6FFF">
        <w:rPr>
          <w:lang w:val="en-US"/>
        </w:rPr>
        <w:t>e</w:t>
      </w:r>
      <w:r>
        <w:rPr>
          <w:lang w:val="en-US"/>
        </w:rPr>
        <w:t xml:space="preserve"> proceedings as being in accordance with real and substantial justice.  I accordingly withhold my certificate.</w:t>
      </w:r>
    </w:p>
    <w:p w:rsidR="00466328" w:rsidRPr="003A697C" w:rsidRDefault="00466328" w:rsidP="00F75B4D">
      <w:pPr>
        <w:jc w:val="both"/>
        <w:rPr>
          <w:lang w:val="en-US"/>
        </w:rPr>
      </w:pPr>
      <w:bookmarkStart w:id="0" w:name="_GoBack"/>
      <w:bookmarkEnd w:id="0"/>
    </w:p>
    <w:sectPr w:rsidR="00466328" w:rsidRPr="003A697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726" w:rsidRDefault="00AF5726" w:rsidP="00F75B4D">
      <w:pPr>
        <w:spacing w:after="0" w:line="240" w:lineRule="auto"/>
      </w:pPr>
      <w:r>
        <w:separator/>
      </w:r>
    </w:p>
  </w:endnote>
  <w:endnote w:type="continuationSeparator" w:id="0">
    <w:p w:rsidR="00AF5726" w:rsidRDefault="00AF5726" w:rsidP="00F75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726" w:rsidRDefault="00AF5726" w:rsidP="00F75B4D">
      <w:pPr>
        <w:spacing w:after="0" w:line="240" w:lineRule="auto"/>
      </w:pPr>
      <w:r>
        <w:separator/>
      </w:r>
    </w:p>
  </w:footnote>
  <w:footnote w:type="continuationSeparator" w:id="0">
    <w:p w:rsidR="00AF5726" w:rsidRDefault="00AF5726" w:rsidP="00F75B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8070822"/>
      <w:docPartObj>
        <w:docPartGallery w:val="Page Numbers (Top of Page)"/>
        <w:docPartUnique/>
      </w:docPartObj>
    </w:sdtPr>
    <w:sdtEndPr>
      <w:rPr>
        <w:noProof/>
      </w:rPr>
    </w:sdtEndPr>
    <w:sdtContent>
      <w:p w:rsidR="00F75B4D" w:rsidRDefault="00F75B4D">
        <w:pPr>
          <w:pStyle w:val="Header"/>
          <w:jc w:val="right"/>
          <w:rPr>
            <w:noProof/>
          </w:rPr>
        </w:pPr>
        <w:r>
          <w:fldChar w:fldCharType="begin"/>
        </w:r>
        <w:r>
          <w:instrText xml:space="preserve"> PAGE   \* MERGEFORMAT </w:instrText>
        </w:r>
        <w:r>
          <w:fldChar w:fldCharType="separate"/>
        </w:r>
        <w:r w:rsidR="008665B2">
          <w:rPr>
            <w:noProof/>
          </w:rPr>
          <w:t>3</w:t>
        </w:r>
        <w:r>
          <w:rPr>
            <w:noProof/>
          </w:rPr>
          <w:fldChar w:fldCharType="end"/>
        </w:r>
      </w:p>
      <w:p w:rsidR="002E6FFF" w:rsidRDefault="00F75B4D">
        <w:pPr>
          <w:pStyle w:val="Header"/>
          <w:jc w:val="right"/>
          <w:rPr>
            <w:noProof/>
          </w:rPr>
        </w:pPr>
        <w:r>
          <w:rPr>
            <w:noProof/>
          </w:rPr>
          <w:t xml:space="preserve">HB </w:t>
        </w:r>
        <w:r w:rsidR="008665B2">
          <w:rPr>
            <w:noProof/>
          </w:rPr>
          <w:t>228</w:t>
        </w:r>
        <w:r>
          <w:rPr>
            <w:noProof/>
          </w:rPr>
          <w:t>/22</w:t>
        </w:r>
      </w:p>
      <w:p w:rsidR="00F75B4D" w:rsidRDefault="002E6FFF">
        <w:pPr>
          <w:pStyle w:val="Header"/>
          <w:jc w:val="right"/>
        </w:pPr>
        <w:r>
          <w:rPr>
            <w:noProof/>
          </w:rPr>
          <w:t>HCAR 176</w:t>
        </w:r>
        <w:r w:rsidR="00176841">
          <w:rPr>
            <w:noProof/>
          </w:rPr>
          <w:t>3/21 &amp; 1762/21</w:t>
        </w:r>
      </w:p>
    </w:sdtContent>
  </w:sdt>
  <w:p w:rsidR="00F75B4D" w:rsidRDefault="00F75B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97C"/>
    <w:rsid w:val="00176841"/>
    <w:rsid w:val="002E6FFF"/>
    <w:rsid w:val="00375A00"/>
    <w:rsid w:val="003A697C"/>
    <w:rsid w:val="00466328"/>
    <w:rsid w:val="008665B2"/>
    <w:rsid w:val="00986857"/>
    <w:rsid w:val="00AD65DE"/>
    <w:rsid w:val="00AF5726"/>
    <w:rsid w:val="00DF461A"/>
    <w:rsid w:val="00F73A0F"/>
    <w:rsid w:val="00F75B4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5CD841-DD0C-4DE7-87E8-CC3284E37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97C"/>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697C"/>
    <w:pPr>
      <w:spacing w:after="0" w:line="240" w:lineRule="auto"/>
    </w:pPr>
    <w:rPr>
      <w:rFonts w:ascii="Times New Roman" w:hAnsi="Times New Roman"/>
      <w:sz w:val="28"/>
    </w:rPr>
  </w:style>
  <w:style w:type="paragraph" w:styleId="Header">
    <w:name w:val="header"/>
    <w:basedOn w:val="Normal"/>
    <w:link w:val="HeaderChar"/>
    <w:uiPriority w:val="99"/>
    <w:unhideWhenUsed/>
    <w:rsid w:val="00F75B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B4D"/>
    <w:rPr>
      <w:rFonts w:ascii="Times New Roman" w:hAnsi="Times New Roman"/>
      <w:sz w:val="28"/>
    </w:rPr>
  </w:style>
  <w:style w:type="paragraph" w:styleId="Footer">
    <w:name w:val="footer"/>
    <w:basedOn w:val="Normal"/>
    <w:link w:val="FooterChar"/>
    <w:uiPriority w:val="99"/>
    <w:unhideWhenUsed/>
    <w:rsid w:val="00F75B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5B4D"/>
    <w:rPr>
      <w:rFonts w:ascii="Times New Roman" w:hAnsi="Times New Roman"/>
      <w:sz w:val="28"/>
    </w:rPr>
  </w:style>
  <w:style w:type="paragraph" w:styleId="BalloonText">
    <w:name w:val="Balloon Text"/>
    <w:basedOn w:val="Normal"/>
    <w:link w:val="BalloonTextChar"/>
    <w:uiPriority w:val="99"/>
    <w:semiHidden/>
    <w:unhideWhenUsed/>
    <w:rsid w:val="001768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8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6</cp:revision>
  <cp:lastPrinted>2022-09-05T09:58:00Z</cp:lastPrinted>
  <dcterms:created xsi:type="dcterms:W3CDTF">2022-08-29T07:26:00Z</dcterms:created>
  <dcterms:modified xsi:type="dcterms:W3CDTF">2022-09-05T10:00:00Z</dcterms:modified>
</cp:coreProperties>
</file>