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D7A" w:rsidRDefault="00AD164A" w:rsidP="00C36E6E">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AD164A" w:rsidRDefault="00C36E6E" w:rsidP="00C36E6E">
      <w:pPr>
        <w:spacing w:after="0"/>
        <w:rPr>
          <w:rFonts w:ascii="Times New Roman" w:hAnsi="Times New Roman" w:cs="Times New Roman"/>
          <w:sz w:val="24"/>
          <w:szCs w:val="24"/>
        </w:rPr>
      </w:pPr>
      <w:r>
        <w:rPr>
          <w:rFonts w:ascii="Times New Roman" w:hAnsi="Times New Roman" w:cs="Times New Roman"/>
          <w:sz w:val="24"/>
          <w:szCs w:val="24"/>
        </w:rPr>
        <w:t>v</w:t>
      </w:r>
      <w:r w:rsidR="00AD164A">
        <w:rPr>
          <w:rFonts w:ascii="Times New Roman" w:hAnsi="Times New Roman" w:cs="Times New Roman"/>
          <w:sz w:val="24"/>
          <w:szCs w:val="24"/>
        </w:rPr>
        <w:t>ersus</w:t>
      </w:r>
    </w:p>
    <w:p w:rsidR="00AD164A" w:rsidRDefault="00AD164A" w:rsidP="00C36E6E">
      <w:pPr>
        <w:spacing w:after="0"/>
        <w:rPr>
          <w:rFonts w:ascii="Times New Roman" w:hAnsi="Times New Roman" w:cs="Times New Roman"/>
          <w:sz w:val="24"/>
          <w:szCs w:val="24"/>
        </w:rPr>
      </w:pPr>
      <w:r>
        <w:rPr>
          <w:rFonts w:ascii="Times New Roman" w:hAnsi="Times New Roman" w:cs="Times New Roman"/>
          <w:sz w:val="24"/>
          <w:szCs w:val="24"/>
        </w:rPr>
        <w:t>ERNEST MANYIKA</w:t>
      </w:r>
    </w:p>
    <w:p w:rsidR="00AD164A" w:rsidRDefault="00AD164A" w:rsidP="00C36E6E">
      <w:pPr>
        <w:spacing w:after="0"/>
        <w:rPr>
          <w:rFonts w:ascii="Times New Roman" w:hAnsi="Times New Roman" w:cs="Times New Roman"/>
          <w:sz w:val="24"/>
          <w:szCs w:val="24"/>
        </w:rPr>
      </w:pPr>
    </w:p>
    <w:p w:rsidR="00AD164A" w:rsidRDefault="00AD164A" w:rsidP="00C36E6E">
      <w:pPr>
        <w:spacing w:after="0"/>
        <w:rPr>
          <w:rFonts w:ascii="Times New Roman" w:hAnsi="Times New Roman" w:cs="Times New Roman"/>
          <w:sz w:val="24"/>
          <w:szCs w:val="24"/>
        </w:rPr>
      </w:pPr>
    </w:p>
    <w:p w:rsidR="00AD164A" w:rsidRDefault="00AD164A" w:rsidP="00C36E6E">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AD164A" w:rsidRDefault="00AD164A" w:rsidP="00C36E6E">
      <w:pPr>
        <w:spacing w:after="0"/>
        <w:rPr>
          <w:rFonts w:ascii="Times New Roman" w:hAnsi="Times New Roman" w:cs="Times New Roman"/>
          <w:sz w:val="24"/>
          <w:szCs w:val="24"/>
        </w:rPr>
      </w:pPr>
      <w:r>
        <w:rPr>
          <w:rFonts w:ascii="Times New Roman" w:hAnsi="Times New Roman" w:cs="Times New Roman"/>
          <w:sz w:val="24"/>
          <w:szCs w:val="24"/>
        </w:rPr>
        <w:t>CHITAPI J</w:t>
      </w:r>
    </w:p>
    <w:p w:rsidR="00AD164A" w:rsidRDefault="00AD164A" w:rsidP="00C36E6E">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7E635D">
        <w:rPr>
          <w:rFonts w:ascii="Times New Roman" w:hAnsi="Times New Roman" w:cs="Times New Roman"/>
          <w:sz w:val="24"/>
          <w:szCs w:val="24"/>
        </w:rPr>
        <w:t>24 January 2022</w:t>
      </w:r>
    </w:p>
    <w:p w:rsidR="00AD164A" w:rsidRDefault="00AD164A" w:rsidP="00C36E6E">
      <w:pPr>
        <w:spacing w:after="0"/>
        <w:rPr>
          <w:rFonts w:ascii="Times New Roman" w:hAnsi="Times New Roman" w:cs="Times New Roman"/>
          <w:sz w:val="24"/>
          <w:szCs w:val="24"/>
        </w:rPr>
      </w:pPr>
    </w:p>
    <w:p w:rsidR="00AD164A" w:rsidRDefault="00AD164A" w:rsidP="00C36E6E">
      <w:pPr>
        <w:spacing w:after="0"/>
        <w:rPr>
          <w:rFonts w:ascii="Times New Roman" w:hAnsi="Times New Roman" w:cs="Times New Roman"/>
          <w:sz w:val="24"/>
          <w:szCs w:val="24"/>
        </w:rPr>
      </w:pPr>
    </w:p>
    <w:p w:rsidR="00AD164A" w:rsidRPr="00C36E6E" w:rsidRDefault="00AD164A" w:rsidP="00C36E6E">
      <w:pPr>
        <w:spacing w:after="0"/>
        <w:rPr>
          <w:rFonts w:ascii="Times New Roman" w:hAnsi="Times New Roman" w:cs="Times New Roman"/>
          <w:b/>
          <w:sz w:val="24"/>
          <w:szCs w:val="24"/>
        </w:rPr>
      </w:pPr>
      <w:r w:rsidRPr="00C36E6E">
        <w:rPr>
          <w:rFonts w:ascii="Times New Roman" w:hAnsi="Times New Roman" w:cs="Times New Roman"/>
          <w:b/>
          <w:sz w:val="24"/>
          <w:szCs w:val="24"/>
        </w:rPr>
        <w:t>Review Judgment</w:t>
      </w:r>
    </w:p>
    <w:p w:rsidR="00AD164A" w:rsidRPr="00C36E6E" w:rsidRDefault="00AD164A" w:rsidP="00C36E6E">
      <w:pPr>
        <w:spacing w:after="0"/>
        <w:rPr>
          <w:rFonts w:ascii="Times New Roman" w:hAnsi="Times New Roman" w:cs="Times New Roman"/>
          <w:b/>
          <w:sz w:val="24"/>
          <w:szCs w:val="24"/>
        </w:rPr>
      </w:pPr>
    </w:p>
    <w:p w:rsidR="00AD164A" w:rsidRDefault="00AD164A" w:rsidP="00C36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accused was charged with the offence</w:t>
      </w:r>
      <w:r w:rsidR="00902F06">
        <w:rPr>
          <w:rFonts w:ascii="Times New Roman" w:hAnsi="Times New Roman" w:cs="Times New Roman"/>
          <w:sz w:val="24"/>
          <w:szCs w:val="24"/>
        </w:rPr>
        <w:t xml:space="preserve"> of Stock T</w:t>
      </w:r>
      <w:r w:rsidR="00C36E6E">
        <w:rPr>
          <w:rFonts w:ascii="Times New Roman" w:hAnsi="Times New Roman" w:cs="Times New Roman"/>
          <w:sz w:val="24"/>
          <w:szCs w:val="24"/>
        </w:rPr>
        <w:t>heft as defined in s </w:t>
      </w:r>
      <w:r>
        <w:rPr>
          <w:rFonts w:ascii="Times New Roman" w:hAnsi="Times New Roman" w:cs="Times New Roman"/>
          <w:sz w:val="24"/>
          <w:szCs w:val="24"/>
        </w:rPr>
        <w:t>114 of the Criminal Law (Codification &amp; Reform) Act, [</w:t>
      </w:r>
      <w:r w:rsidRPr="00AD164A">
        <w:rPr>
          <w:rFonts w:ascii="Times New Roman" w:hAnsi="Times New Roman" w:cs="Times New Roman"/>
          <w:i/>
          <w:sz w:val="24"/>
          <w:szCs w:val="24"/>
        </w:rPr>
        <w:t>Chapter 9:23</w:t>
      </w:r>
      <w:r>
        <w:rPr>
          <w:rFonts w:ascii="Times New Roman" w:hAnsi="Times New Roman" w:cs="Times New Roman"/>
          <w:sz w:val="24"/>
          <w:szCs w:val="24"/>
        </w:rPr>
        <w:t xml:space="preserve">].  He was convicted on his own plea </w:t>
      </w:r>
      <w:r w:rsidR="00D26883">
        <w:rPr>
          <w:rFonts w:ascii="Times New Roman" w:hAnsi="Times New Roman" w:cs="Times New Roman"/>
          <w:sz w:val="24"/>
          <w:szCs w:val="24"/>
        </w:rPr>
        <w:t>of guilty by the magistrate M Ma</w:t>
      </w:r>
      <w:r>
        <w:rPr>
          <w:rFonts w:ascii="Times New Roman" w:hAnsi="Times New Roman" w:cs="Times New Roman"/>
          <w:sz w:val="24"/>
          <w:szCs w:val="24"/>
        </w:rPr>
        <w:t>bika Esquire sitting at Chinhoyi on 24 November 202</w:t>
      </w:r>
      <w:r w:rsidR="00902F06">
        <w:rPr>
          <w:rFonts w:ascii="Times New Roman" w:hAnsi="Times New Roman" w:cs="Times New Roman"/>
          <w:sz w:val="24"/>
          <w:szCs w:val="24"/>
        </w:rPr>
        <w:t>0</w:t>
      </w:r>
      <w:r>
        <w:rPr>
          <w:rFonts w:ascii="Times New Roman" w:hAnsi="Times New Roman" w:cs="Times New Roman"/>
          <w:sz w:val="24"/>
          <w:szCs w:val="24"/>
        </w:rPr>
        <w:t xml:space="preserve"> and sentenced to the mandatory minimum sentence of 9 years i</w:t>
      </w:r>
      <w:r w:rsidR="00D26883">
        <w:rPr>
          <w:rFonts w:ascii="Times New Roman" w:hAnsi="Times New Roman" w:cs="Times New Roman"/>
          <w:sz w:val="24"/>
          <w:szCs w:val="24"/>
        </w:rPr>
        <w:t>mprisonment.  The charge allege</w:t>
      </w:r>
      <w:r w:rsidR="00902F06">
        <w:rPr>
          <w:rFonts w:ascii="Times New Roman" w:hAnsi="Times New Roman" w:cs="Times New Roman"/>
          <w:sz w:val="24"/>
          <w:szCs w:val="24"/>
        </w:rPr>
        <w:t>d that the accused, aged 48 years</w:t>
      </w:r>
      <w:r>
        <w:rPr>
          <w:rFonts w:ascii="Times New Roman" w:hAnsi="Times New Roman" w:cs="Times New Roman"/>
          <w:sz w:val="24"/>
          <w:szCs w:val="24"/>
        </w:rPr>
        <w:t>, in the month of October 2020 at Highbury Farm, Chinhoyi, the accused and an accomplice intending to deprive the complainant of his cattle drove away six (6) herd of cattle belonging to the complainant from the grazing lands.  He chose the six (6) from a herd of fifty (50) cattle which was grazing.  The accused and his accomplice drove the cattle for about 20 kilometres to the home of the accomplice.  The cattle</w:t>
      </w:r>
      <w:r w:rsidR="00D26883">
        <w:rPr>
          <w:rFonts w:ascii="Times New Roman" w:hAnsi="Times New Roman" w:cs="Times New Roman"/>
          <w:sz w:val="24"/>
          <w:szCs w:val="24"/>
        </w:rPr>
        <w:t>,</w:t>
      </w:r>
      <w:r>
        <w:rPr>
          <w:rFonts w:ascii="Times New Roman" w:hAnsi="Times New Roman" w:cs="Times New Roman"/>
          <w:sz w:val="24"/>
          <w:szCs w:val="24"/>
        </w:rPr>
        <w:t xml:space="preserve"> save for one</w:t>
      </w:r>
      <w:r w:rsidR="00D26883">
        <w:rPr>
          <w:rFonts w:ascii="Times New Roman" w:hAnsi="Times New Roman" w:cs="Times New Roman"/>
          <w:sz w:val="24"/>
          <w:szCs w:val="24"/>
        </w:rPr>
        <w:t>,</w:t>
      </w:r>
      <w:r>
        <w:rPr>
          <w:rFonts w:ascii="Times New Roman" w:hAnsi="Times New Roman" w:cs="Times New Roman"/>
          <w:sz w:val="24"/>
          <w:szCs w:val="24"/>
        </w:rPr>
        <w:t xml:space="preserve"> were recovered from the home of the accomplice who ran away and is at large.  The accused’s accomplice slaughtered one steer and used the meat to feed a memorial service gathering.  The accused denied that the number of cattle were six but four.  The prosecutor accepted to alter the number from six to four.</w:t>
      </w:r>
    </w:p>
    <w:p w:rsidR="00AD164A" w:rsidRDefault="00AD164A" w:rsidP="00C36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review of the proceedings, I raised a query for the learned magistrate to comment upon as follows:</w:t>
      </w:r>
    </w:p>
    <w:p w:rsidR="00AD164A" w:rsidRPr="005E2625" w:rsidRDefault="00AD164A" w:rsidP="00C36E6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E2625">
        <w:rPr>
          <w:rFonts w:ascii="Times New Roman" w:hAnsi="Times New Roman" w:cs="Times New Roman"/>
        </w:rPr>
        <w:t xml:space="preserve">Did </w:t>
      </w:r>
      <w:r w:rsidR="005E2625" w:rsidRPr="005E2625">
        <w:rPr>
          <w:rFonts w:ascii="Times New Roman" w:hAnsi="Times New Roman" w:cs="Times New Roman"/>
        </w:rPr>
        <w:t xml:space="preserve">the magistrate comply with s 271(3) of the Criminal Procedure and Evidence Act that requires that charge is not just explained but the explanation shall be recorded.  See </w:t>
      </w:r>
      <w:r w:rsidR="005E2625" w:rsidRPr="00C36E6E">
        <w:rPr>
          <w:rFonts w:ascii="Times New Roman" w:hAnsi="Times New Roman" w:cs="Times New Roman"/>
          <w:i/>
        </w:rPr>
        <w:t>S</w:t>
      </w:r>
      <w:r w:rsidR="005E2625" w:rsidRPr="005E2625">
        <w:rPr>
          <w:rFonts w:ascii="Times New Roman" w:hAnsi="Times New Roman" w:cs="Times New Roman"/>
        </w:rPr>
        <w:t xml:space="preserve"> v </w:t>
      </w:r>
      <w:r w:rsidR="005E2625" w:rsidRPr="00C36E6E">
        <w:rPr>
          <w:rFonts w:ascii="Times New Roman" w:hAnsi="Times New Roman" w:cs="Times New Roman"/>
          <w:i/>
        </w:rPr>
        <w:t>Mangwende</w:t>
      </w:r>
      <w:r w:rsidR="005E2625" w:rsidRPr="005E2625">
        <w:rPr>
          <w:rFonts w:ascii="Times New Roman" w:hAnsi="Times New Roman" w:cs="Times New Roman"/>
        </w:rPr>
        <w:t xml:space="preserve"> HH 695-20.”</w:t>
      </w:r>
    </w:p>
    <w:p w:rsidR="005E2625" w:rsidRDefault="005E2625" w:rsidP="00C36E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magistrate responded as follows:</w:t>
      </w:r>
    </w:p>
    <w:p w:rsidR="005E2625" w:rsidRPr="005E2625" w:rsidRDefault="005E2625" w:rsidP="00C36E6E">
      <w:pPr>
        <w:spacing w:after="0" w:line="240" w:lineRule="auto"/>
        <w:ind w:left="720"/>
        <w:jc w:val="both"/>
        <w:rPr>
          <w:rFonts w:ascii="Times New Roman" w:hAnsi="Times New Roman" w:cs="Times New Roman"/>
        </w:rPr>
      </w:pPr>
      <w:r w:rsidRPr="005E2625">
        <w:rPr>
          <w:rFonts w:ascii="Times New Roman" w:hAnsi="Times New Roman" w:cs="Times New Roman"/>
        </w:rPr>
        <w:t>“………I concede that I did not comply with the provisions of s 271(3) of the Criminal Procedure and Evidence Act [Chapter 9:07] as I did not record the explanation of the charge I made to the accused person.</w:t>
      </w:r>
    </w:p>
    <w:p w:rsidR="005E2625" w:rsidRDefault="005E2625" w:rsidP="00C36E6E">
      <w:pPr>
        <w:spacing w:after="0" w:line="240" w:lineRule="auto"/>
        <w:ind w:left="720"/>
        <w:jc w:val="both"/>
        <w:rPr>
          <w:rFonts w:ascii="Times New Roman" w:hAnsi="Times New Roman" w:cs="Times New Roman"/>
        </w:rPr>
      </w:pPr>
      <w:r w:rsidRPr="005E2625">
        <w:rPr>
          <w:rFonts w:ascii="Times New Roman" w:hAnsi="Times New Roman" w:cs="Times New Roman"/>
        </w:rPr>
        <w:t>I undertake to apply the correct procedure in my future work.”</w:t>
      </w:r>
    </w:p>
    <w:p w:rsidR="00C36E6E" w:rsidRPr="005E2625" w:rsidRDefault="00C36E6E" w:rsidP="00C36E6E">
      <w:pPr>
        <w:spacing w:after="0" w:line="240" w:lineRule="auto"/>
        <w:ind w:left="720"/>
        <w:jc w:val="both"/>
        <w:rPr>
          <w:rFonts w:ascii="Times New Roman" w:hAnsi="Times New Roman" w:cs="Times New Roman"/>
        </w:rPr>
      </w:pPr>
    </w:p>
    <w:p w:rsidR="00E6554D" w:rsidRDefault="005E2625"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learned magistrate comm</w:t>
      </w:r>
      <w:r w:rsidR="00D26883">
        <w:rPr>
          <w:rFonts w:ascii="Times New Roman" w:hAnsi="Times New Roman" w:cs="Times New Roman"/>
          <w:sz w:val="24"/>
          <w:szCs w:val="24"/>
        </w:rPr>
        <w:t>itt</w:t>
      </w:r>
      <w:r>
        <w:rPr>
          <w:rFonts w:ascii="Times New Roman" w:hAnsi="Times New Roman" w:cs="Times New Roman"/>
          <w:sz w:val="24"/>
          <w:szCs w:val="24"/>
        </w:rPr>
        <w:t xml:space="preserve">ed </w:t>
      </w:r>
      <w:r w:rsidR="00D26883">
        <w:rPr>
          <w:rFonts w:ascii="Times New Roman" w:hAnsi="Times New Roman" w:cs="Times New Roman"/>
          <w:sz w:val="24"/>
          <w:szCs w:val="24"/>
        </w:rPr>
        <w:t xml:space="preserve">the </w:t>
      </w:r>
      <w:r>
        <w:rPr>
          <w:rFonts w:ascii="Times New Roman" w:hAnsi="Times New Roman" w:cs="Times New Roman"/>
          <w:sz w:val="24"/>
          <w:szCs w:val="24"/>
        </w:rPr>
        <w:t xml:space="preserve">irregularity which I pointed out to him, it is refreshing that he acknowledged it and has been properly directed for the future disposal of guilty pleas.  It is important that when disposing of a trial by way of a guilty plea, the </w:t>
      </w:r>
      <w:r>
        <w:rPr>
          <w:rFonts w:ascii="Times New Roman" w:hAnsi="Times New Roman" w:cs="Times New Roman"/>
          <w:sz w:val="24"/>
          <w:szCs w:val="24"/>
        </w:rPr>
        <w:lastRenderedPageBreak/>
        <w:t xml:space="preserve">magistrate should always appreciate that the provisions of s 271(2)(b) of the Criminal Procedure and Evidence Act shall be read together </w:t>
      </w:r>
      <w:r w:rsidR="003A27DE">
        <w:rPr>
          <w:rFonts w:ascii="Times New Roman" w:hAnsi="Times New Roman" w:cs="Times New Roman"/>
          <w:sz w:val="24"/>
          <w:szCs w:val="24"/>
        </w:rPr>
        <w:t xml:space="preserve">with the provisions of s 271(3)  of the same enactment.  See </w:t>
      </w:r>
      <w:r w:rsidR="003A27DE" w:rsidRPr="00333FEC">
        <w:rPr>
          <w:rFonts w:ascii="Times New Roman" w:hAnsi="Times New Roman" w:cs="Times New Roman"/>
          <w:i/>
          <w:sz w:val="24"/>
          <w:szCs w:val="24"/>
        </w:rPr>
        <w:t>S</w:t>
      </w:r>
      <w:r w:rsidR="003A27DE">
        <w:rPr>
          <w:rFonts w:ascii="Times New Roman" w:hAnsi="Times New Roman" w:cs="Times New Roman"/>
          <w:sz w:val="24"/>
          <w:szCs w:val="24"/>
        </w:rPr>
        <w:t xml:space="preserve"> v </w:t>
      </w:r>
      <w:r w:rsidR="003A27DE" w:rsidRPr="00333FEC">
        <w:rPr>
          <w:rFonts w:ascii="Times New Roman" w:hAnsi="Times New Roman" w:cs="Times New Roman"/>
          <w:i/>
          <w:sz w:val="24"/>
          <w:szCs w:val="24"/>
        </w:rPr>
        <w:t>Matimbe</w:t>
      </w:r>
      <w:r w:rsidR="003A27DE">
        <w:rPr>
          <w:rFonts w:ascii="Times New Roman" w:hAnsi="Times New Roman" w:cs="Times New Roman"/>
          <w:sz w:val="24"/>
          <w:szCs w:val="24"/>
        </w:rPr>
        <w:t xml:space="preserve"> 1984(1) ZLR 283</w:t>
      </w:r>
      <w:r w:rsidR="00333FEC">
        <w:rPr>
          <w:rFonts w:ascii="Times New Roman" w:hAnsi="Times New Roman" w:cs="Times New Roman"/>
          <w:sz w:val="24"/>
          <w:szCs w:val="24"/>
        </w:rPr>
        <w:t xml:space="preserve">, </w:t>
      </w:r>
      <w:r w:rsidR="00333FEC" w:rsidRPr="00333FEC">
        <w:rPr>
          <w:rFonts w:ascii="Times New Roman" w:hAnsi="Times New Roman" w:cs="Times New Roman"/>
          <w:i/>
          <w:sz w:val="24"/>
          <w:szCs w:val="24"/>
        </w:rPr>
        <w:t>S</w:t>
      </w:r>
      <w:r w:rsidR="00333FEC">
        <w:rPr>
          <w:rFonts w:ascii="Times New Roman" w:hAnsi="Times New Roman" w:cs="Times New Roman"/>
          <w:sz w:val="24"/>
          <w:szCs w:val="24"/>
        </w:rPr>
        <w:t xml:space="preserve"> v </w:t>
      </w:r>
      <w:r w:rsidR="00333FEC">
        <w:rPr>
          <w:rFonts w:ascii="Times New Roman" w:hAnsi="Times New Roman" w:cs="Times New Roman"/>
          <w:i/>
          <w:sz w:val="24"/>
          <w:szCs w:val="24"/>
        </w:rPr>
        <w:t xml:space="preserve">Mangwende HH </w:t>
      </w:r>
      <w:r w:rsidR="00333FEC" w:rsidRPr="00333FEC">
        <w:rPr>
          <w:rFonts w:ascii="Times New Roman" w:hAnsi="Times New Roman" w:cs="Times New Roman"/>
          <w:sz w:val="24"/>
          <w:szCs w:val="24"/>
        </w:rPr>
        <w:t>695-20</w:t>
      </w:r>
      <w:r w:rsidR="00333FEC">
        <w:rPr>
          <w:rFonts w:ascii="Times New Roman" w:hAnsi="Times New Roman" w:cs="Times New Roman"/>
          <w:i/>
          <w:sz w:val="24"/>
          <w:szCs w:val="24"/>
        </w:rPr>
        <w:t xml:space="preserve">, S </w:t>
      </w:r>
      <w:r w:rsidR="00333FEC" w:rsidRPr="00902F06">
        <w:rPr>
          <w:rFonts w:ascii="Times New Roman" w:hAnsi="Times New Roman" w:cs="Times New Roman"/>
          <w:sz w:val="24"/>
          <w:szCs w:val="24"/>
        </w:rPr>
        <w:t>v</w:t>
      </w:r>
      <w:r w:rsidR="00333FEC">
        <w:rPr>
          <w:rFonts w:ascii="Times New Roman" w:hAnsi="Times New Roman" w:cs="Times New Roman"/>
          <w:i/>
          <w:sz w:val="24"/>
          <w:szCs w:val="24"/>
        </w:rPr>
        <w:t xml:space="preserve"> Mare </w:t>
      </w:r>
      <w:r w:rsidR="00902F06">
        <w:rPr>
          <w:rFonts w:ascii="Times New Roman" w:hAnsi="Times New Roman" w:cs="Times New Roman"/>
          <w:i/>
          <w:sz w:val="24"/>
          <w:szCs w:val="24"/>
        </w:rPr>
        <w:t>&amp;</w:t>
      </w:r>
      <w:r w:rsidR="00333FEC" w:rsidRPr="00333FEC">
        <w:rPr>
          <w:rFonts w:ascii="Times New Roman" w:hAnsi="Times New Roman" w:cs="Times New Roman"/>
          <w:i/>
          <w:sz w:val="24"/>
          <w:szCs w:val="24"/>
        </w:rPr>
        <w:t xml:space="preserve"> 6 Ors</w:t>
      </w:r>
      <w:r w:rsidR="00333FEC">
        <w:rPr>
          <w:rFonts w:ascii="Times New Roman" w:hAnsi="Times New Roman" w:cs="Times New Roman"/>
          <w:sz w:val="24"/>
          <w:szCs w:val="24"/>
        </w:rPr>
        <w:t xml:space="preserve"> </w:t>
      </w:r>
      <w:r w:rsidR="00333FEC" w:rsidRPr="00333FEC">
        <w:rPr>
          <w:rFonts w:ascii="Times New Roman" w:hAnsi="Times New Roman" w:cs="Times New Roman"/>
          <w:i/>
          <w:sz w:val="24"/>
          <w:szCs w:val="24"/>
        </w:rPr>
        <w:t>Kenmore Sign and Anor</w:t>
      </w:r>
      <w:r w:rsidR="00333FEC">
        <w:rPr>
          <w:rFonts w:ascii="Times New Roman" w:hAnsi="Times New Roman" w:cs="Times New Roman"/>
          <w:sz w:val="24"/>
          <w:szCs w:val="24"/>
        </w:rPr>
        <w:t xml:space="preserve"> HH 336-21,   </w:t>
      </w:r>
      <w:r w:rsidR="00333FEC" w:rsidRPr="00333FEC">
        <w:rPr>
          <w:rFonts w:ascii="Times New Roman" w:hAnsi="Times New Roman" w:cs="Times New Roman"/>
          <w:i/>
          <w:sz w:val="24"/>
          <w:szCs w:val="24"/>
        </w:rPr>
        <w:t>S</w:t>
      </w:r>
      <w:r w:rsidR="00333FEC">
        <w:rPr>
          <w:rFonts w:ascii="Times New Roman" w:hAnsi="Times New Roman" w:cs="Times New Roman"/>
          <w:sz w:val="24"/>
          <w:szCs w:val="24"/>
        </w:rPr>
        <w:t xml:space="preserve"> v </w:t>
      </w:r>
      <w:r w:rsidR="00333FEC" w:rsidRPr="00333FEC">
        <w:rPr>
          <w:rFonts w:ascii="Times New Roman" w:hAnsi="Times New Roman" w:cs="Times New Roman"/>
          <w:i/>
          <w:sz w:val="24"/>
          <w:szCs w:val="24"/>
        </w:rPr>
        <w:t>Liberty Musimwa</w:t>
      </w:r>
      <w:r w:rsidR="00333FEC">
        <w:rPr>
          <w:rFonts w:ascii="Times New Roman" w:hAnsi="Times New Roman" w:cs="Times New Roman"/>
          <w:sz w:val="24"/>
          <w:szCs w:val="24"/>
        </w:rPr>
        <w:t xml:space="preserve"> HH 52/20, </w:t>
      </w:r>
      <w:r w:rsidR="00333FEC" w:rsidRPr="00333FEC">
        <w:rPr>
          <w:rFonts w:ascii="Times New Roman" w:hAnsi="Times New Roman" w:cs="Times New Roman"/>
          <w:i/>
          <w:sz w:val="24"/>
          <w:szCs w:val="24"/>
        </w:rPr>
        <w:t>S</w:t>
      </w:r>
      <w:r w:rsidR="00333FEC">
        <w:rPr>
          <w:rFonts w:ascii="Times New Roman" w:hAnsi="Times New Roman" w:cs="Times New Roman"/>
          <w:sz w:val="24"/>
          <w:szCs w:val="24"/>
        </w:rPr>
        <w:t xml:space="preserve"> v </w:t>
      </w:r>
      <w:r w:rsidR="00333FEC" w:rsidRPr="00E6554D">
        <w:rPr>
          <w:rFonts w:ascii="Times New Roman" w:hAnsi="Times New Roman" w:cs="Times New Roman"/>
          <w:i/>
          <w:sz w:val="24"/>
          <w:szCs w:val="24"/>
        </w:rPr>
        <w:t>Dube</w:t>
      </w:r>
      <w:r w:rsidR="00333FEC">
        <w:rPr>
          <w:rFonts w:ascii="Times New Roman" w:hAnsi="Times New Roman" w:cs="Times New Roman"/>
          <w:sz w:val="24"/>
          <w:szCs w:val="24"/>
        </w:rPr>
        <w:t xml:space="preserve"> &amp; </w:t>
      </w:r>
      <w:r w:rsidR="00E6554D" w:rsidRPr="00E6554D">
        <w:rPr>
          <w:rFonts w:ascii="Times New Roman" w:hAnsi="Times New Roman" w:cs="Times New Roman"/>
          <w:i/>
          <w:sz w:val="24"/>
          <w:szCs w:val="24"/>
        </w:rPr>
        <w:t xml:space="preserve">Anor </w:t>
      </w:r>
      <w:r w:rsidR="007E635D">
        <w:rPr>
          <w:rFonts w:ascii="Times New Roman" w:hAnsi="Times New Roman" w:cs="Times New Roman"/>
          <w:sz w:val="24"/>
          <w:szCs w:val="24"/>
        </w:rPr>
        <w:t xml:space="preserve">1988 </w:t>
      </w:r>
      <w:r w:rsidR="00E6554D">
        <w:rPr>
          <w:rFonts w:ascii="Times New Roman" w:hAnsi="Times New Roman" w:cs="Times New Roman"/>
          <w:sz w:val="24"/>
          <w:szCs w:val="24"/>
        </w:rPr>
        <w:t xml:space="preserve">(2) ZLR 365(SC).  Essentially, the cited authorities and others give direction to the magistracy that the magistrate must inter-alia explain the charge to the accused person before the accused is called upon to plead to it.  The </w:t>
      </w:r>
      <w:r w:rsidR="00E6554D" w:rsidRPr="00E6554D">
        <w:rPr>
          <w:rFonts w:ascii="Times New Roman" w:hAnsi="Times New Roman" w:cs="Times New Roman"/>
          <w:i/>
          <w:sz w:val="24"/>
          <w:szCs w:val="24"/>
        </w:rPr>
        <w:t>ipsissima verba</w:t>
      </w:r>
      <w:r w:rsidR="00E6554D">
        <w:rPr>
          <w:rFonts w:ascii="Times New Roman" w:hAnsi="Times New Roman" w:cs="Times New Roman"/>
          <w:sz w:val="24"/>
          <w:szCs w:val="24"/>
        </w:rPr>
        <w:t xml:space="preserve"> of the explanation given should be recorded by the trial magistrate.</w:t>
      </w:r>
    </w:p>
    <w:p w:rsidR="00E6554D" w:rsidRDefault="00E6554D" w:rsidP="00C36E6E">
      <w:pPr>
        <w:spacing w:after="0" w:line="360" w:lineRule="auto"/>
        <w:ind w:firstLine="720"/>
        <w:jc w:val="both"/>
        <w:rPr>
          <w:rFonts w:ascii="Times New Roman" w:hAnsi="Times New Roman" w:cs="Times New Roman"/>
          <w:sz w:val="24"/>
          <w:szCs w:val="24"/>
        </w:rPr>
      </w:pPr>
      <w:r w:rsidRPr="00E6554D">
        <w:rPr>
          <w:rFonts w:ascii="Times New Roman" w:hAnsi="Times New Roman" w:cs="Times New Roman"/>
          <w:i/>
          <w:sz w:val="24"/>
          <w:szCs w:val="24"/>
        </w:rPr>
        <w:t>In casu</w:t>
      </w:r>
      <w:r>
        <w:rPr>
          <w:rFonts w:ascii="Times New Roman" w:hAnsi="Times New Roman" w:cs="Times New Roman"/>
          <w:sz w:val="24"/>
          <w:szCs w:val="24"/>
        </w:rPr>
        <w:t>, the lea</w:t>
      </w:r>
      <w:r w:rsidR="00D26883">
        <w:rPr>
          <w:rFonts w:ascii="Times New Roman" w:hAnsi="Times New Roman" w:cs="Times New Roman"/>
          <w:sz w:val="24"/>
          <w:szCs w:val="24"/>
        </w:rPr>
        <w:t>rned magistrate simply</w:t>
      </w:r>
      <w:r w:rsidR="00BD663B">
        <w:rPr>
          <w:rFonts w:ascii="Times New Roman" w:hAnsi="Times New Roman" w:cs="Times New Roman"/>
          <w:sz w:val="24"/>
          <w:szCs w:val="24"/>
        </w:rPr>
        <w:t xml:space="preserve"> recorded:</w:t>
      </w:r>
    </w:p>
    <w:p w:rsidR="00BD663B" w:rsidRDefault="00BD663B"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36E6E">
        <w:rPr>
          <w:rFonts w:ascii="Times New Roman" w:hAnsi="Times New Roman" w:cs="Times New Roman"/>
        </w:rPr>
        <w:t>Charge put to the accused and understood.</w:t>
      </w:r>
      <w:r w:rsidR="00C36E6E">
        <w:rPr>
          <w:rFonts w:ascii="Times New Roman" w:hAnsi="Times New Roman" w:cs="Times New Roman"/>
          <w:sz w:val="24"/>
          <w:szCs w:val="24"/>
        </w:rPr>
        <w:t>”</w:t>
      </w:r>
      <w:r>
        <w:rPr>
          <w:rFonts w:ascii="Times New Roman" w:hAnsi="Times New Roman" w:cs="Times New Roman"/>
          <w:sz w:val="24"/>
          <w:szCs w:val="24"/>
        </w:rPr>
        <w:t xml:space="preserve">        </w:t>
      </w:r>
    </w:p>
    <w:p w:rsidR="00BD663B" w:rsidRDefault="00BD663B"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inadequate and non-compliant with s 271 (3)(1) of the Criminal Procedure &amp; Evidence</w:t>
      </w:r>
      <w:r w:rsidR="00902F06">
        <w:rPr>
          <w:rFonts w:ascii="Times New Roman" w:hAnsi="Times New Roman" w:cs="Times New Roman"/>
          <w:sz w:val="24"/>
          <w:szCs w:val="24"/>
        </w:rPr>
        <w:t xml:space="preserve"> Act</w:t>
      </w:r>
      <w:r>
        <w:rPr>
          <w:rFonts w:ascii="Times New Roman" w:hAnsi="Times New Roman" w:cs="Times New Roman"/>
          <w:sz w:val="24"/>
          <w:szCs w:val="24"/>
        </w:rPr>
        <w:t>.  The actual wording of the explanation given was supposed to be recorded.  The learned magistrate also wrote that: “explanation of charge made to accused and understood”.  This was inadequate because the explanation should be recorded.  Such omission has been held to be fatal to the conviction as stated in cited authorities.</w:t>
      </w:r>
    </w:p>
    <w:p w:rsidR="00BD663B" w:rsidRDefault="00BD663B"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having unprocedurally convicted the accused, committed yet another material irregularity in regard to sentence.  In relation to dealing with special circumstances, the learned magistrate recorded as follows:</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 xml:space="preserve">“Explanation of special circumstances done for the second time </w:t>
      </w:r>
      <w:r w:rsidR="00C36E6E" w:rsidRPr="00C36E6E">
        <w:rPr>
          <w:rFonts w:ascii="Times New Roman" w:hAnsi="Times New Roman" w:cs="Times New Roman"/>
        </w:rPr>
        <w:t>and examples give</w:t>
      </w:r>
      <w:r w:rsidRPr="00C36E6E">
        <w:rPr>
          <w:rFonts w:ascii="Times New Roman" w:hAnsi="Times New Roman" w:cs="Times New Roman"/>
        </w:rPr>
        <w:t>n.</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Q.  Do you understand?</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A.  Yes.</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Q.  Do you have any of these</w:t>
      </w:r>
    </w:p>
    <w:p w:rsidR="00BD663B" w:rsidRPr="00C36E6E" w:rsidRDefault="00C36E6E" w:rsidP="00C36E6E">
      <w:pPr>
        <w:spacing w:after="0" w:line="240" w:lineRule="auto"/>
        <w:ind w:firstLine="720"/>
        <w:jc w:val="both"/>
        <w:rPr>
          <w:rFonts w:ascii="Times New Roman" w:hAnsi="Times New Roman" w:cs="Times New Roman"/>
        </w:rPr>
      </w:pPr>
      <w:r>
        <w:rPr>
          <w:rFonts w:ascii="Times New Roman" w:hAnsi="Times New Roman" w:cs="Times New Roman"/>
        </w:rPr>
        <w:t>A.  Ye</w:t>
      </w:r>
      <w:r w:rsidR="00BD663B" w:rsidRPr="00C36E6E">
        <w:rPr>
          <w:rFonts w:ascii="Times New Roman" w:hAnsi="Times New Roman" w:cs="Times New Roman"/>
        </w:rPr>
        <w:t>s I was not paid.</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That’s not a special circumstance.</w:t>
      </w:r>
    </w:p>
    <w:p w:rsidR="00BD663B" w:rsidRPr="00C36E6E" w:rsidRDefault="00BD663B" w:rsidP="00C36E6E">
      <w:pPr>
        <w:spacing w:after="0" w:line="240" w:lineRule="auto"/>
        <w:ind w:firstLine="720"/>
        <w:jc w:val="both"/>
        <w:rPr>
          <w:rFonts w:ascii="Times New Roman" w:hAnsi="Times New Roman" w:cs="Times New Roman"/>
        </w:rPr>
      </w:pPr>
      <w:r w:rsidRPr="00C36E6E">
        <w:rPr>
          <w:rFonts w:ascii="Times New Roman" w:hAnsi="Times New Roman" w:cs="Times New Roman"/>
        </w:rPr>
        <w:t>Q.  Anything else.</w:t>
      </w:r>
    </w:p>
    <w:p w:rsidR="00BD663B" w:rsidRDefault="00BD663B"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None.”</w:t>
      </w:r>
    </w:p>
    <w:p w:rsidR="00BD663B" w:rsidRDefault="00BD663B"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magistrate should re</w:t>
      </w:r>
      <w:r w:rsidR="00C36E6E">
        <w:rPr>
          <w:rFonts w:ascii="Times New Roman" w:hAnsi="Times New Roman" w:cs="Times New Roman"/>
          <w:sz w:val="24"/>
          <w:szCs w:val="24"/>
        </w:rPr>
        <w:t>cord the content of the explana</w:t>
      </w:r>
      <w:r>
        <w:rPr>
          <w:rFonts w:ascii="Times New Roman" w:hAnsi="Times New Roman" w:cs="Times New Roman"/>
          <w:sz w:val="24"/>
          <w:szCs w:val="24"/>
        </w:rPr>
        <w:t xml:space="preserve">tion of special circumstances given to the accused – the decision of MAFUSIRE J in </w:t>
      </w:r>
      <w:r w:rsidRPr="006C7D84">
        <w:rPr>
          <w:rFonts w:ascii="Times New Roman" w:hAnsi="Times New Roman" w:cs="Times New Roman"/>
          <w:i/>
          <w:sz w:val="24"/>
          <w:szCs w:val="24"/>
        </w:rPr>
        <w:t>S</w:t>
      </w:r>
      <w:r>
        <w:rPr>
          <w:rFonts w:ascii="Times New Roman" w:hAnsi="Times New Roman" w:cs="Times New Roman"/>
          <w:sz w:val="24"/>
          <w:szCs w:val="24"/>
        </w:rPr>
        <w:t xml:space="preserve"> v </w:t>
      </w:r>
      <w:r w:rsidRPr="006C7D84">
        <w:rPr>
          <w:rFonts w:ascii="Times New Roman" w:hAnsi="Times New Roman" w:cs="Times New Roman"/>
          <w:i/>
          <w:sz w:val="24"/>
          <w:szCs w:val="24"/>
        </w:rPr>
        <w:t>Advocat</w:t>
      </w:r>
      <w:r w:rsidR="006C7D84" w:rsidRPr="006C7D84">
        <w:rPr>
          <w:rFonts w:ascii="Times New Roman" w:hAnsi="Times New Roman" w:cs="Times New Roman"/>
          <w:i/>
          <w:sz w:val="24"/>
          <w:szCs w:val="24"/>
        </w:rPr>
        <w:t>e</w:t>
      </w:r>
      <w:r w:rsidRPr="006C7D84">
        <w:rPr>
          <w:rFonts w:ascii="Times New Roman" w:hAnsi="Times New Roman" w:cs="Times New Roman"/>
          <w:i/>
          <w:sz w:val="24"/>
          <w:szCs w:val="24"/>
        </w:rPr>
        <w:t xml:space="preserve"> Mhungu</w:t>
      </w:r>
      <w:r w:rsidR="007E635D">
        <w:rPr>
          <w:rFonts w:ascii="Times New Roman" w:hAnsi="Times New Roman" w:cs="Times New Roman"/>
          <w:sz w:val="24"/>
          <w:szCs w:val="24"/>
        </w:rPr>
        <w:t xml:space="preserve"> HMA 9/2016</w:t>
      </w:r>
      <w:r>
        <w:rPr>
          <w:rFonts w:ascii="Times New Roman" w:hAnsi="Times New Roman" w:cs="Times New Roman"/>
          <w:sz w:val="24"/>
          <w:szCs w:val="24"/>
        </w:rPr>
        <w:t xml:space="preserve"> and authorities cited therein provides good guidance on how the issue of special circumstances should be dealt with.  The accused must also be advised of his right to plead evidence on special circumstances and call evidence in </w:t>
      </w:r>
      <w:r w:rsidR="006C7D84">
        <w:rPr>
          <w:rFonts w:ascii="Times New Roman" w:hAnsi="Times New Roman" w:cs="Times New Roman"/>
          <w:sz w:val="24"/>
          <w:szCs w:val="24"/>
        </w:rPr>
        <w:t xml:space="preserve">that respect.  </w:t>
      </w:r>
      <w:r w:rsidR="006C7D84" w:rsidRPr="006C7D84">
        <w:rPr>
          <w:rFonts w:ascii="Times New Roman" w:hAnsi="Times New Roman" w:cs="Times New Roman"/>
          <w:i/>
          <w:sz w:val="24"/>
          <w:szCs w:val="24"/>
        </w:rPr>
        <w:t>In casu</w:t>
      </w:r>
      <w:r w:rsidR="006C7D84">
        <w:rPr>
          <w:rFonts w:ascii="Times New Roman" w:hAnsi="Times New Roman" w:cs="Times New Roman"/>
          <w:sz w:val="24"/>
          <w:szCs w:val="24"/>
        </w:rPr>
        <w:t xml:space="preserve">, </w:t>
      </w:r>
      <w:r>
        <w:rPr>
          <w:rFonts w:ascii="Times New Roman" w:hAnsi="Times New Roman" w:cs="Times New Roman"/>
          <w:sz w:val="24"/>
          <w:szCs w:val="24"/>
        </w:rPr>
        <w:t xml:space="preserve">there is nothing to indicate that there was </w:t>
      </w:r>
      <w:r w:rsidR="006C7D84">
        <w:rPr>
          <w:rFonts w:ascii="Times New Roman" w:hAnsi="Times New Roman" w:cs="Times New Roman"/>
          <w:sz w:val="24"/>
          <w:szCs w:val="24"/>
        </w:rPr>
        <w:t xml:space="preserve">such direction given to the accused.  The failure to adequately deal with special circumstances vitiated the sentence.  In such a circumstance, the appropriate course would have been to quash the sentence and remit the record of proceeding to the magistrate to properly canvass the question of special circumstances.  </w:t>
      </w:r>
      <w:r w:rsidR="006C7D84" w:rsidRPr="006C7D84">
        <w:rPr>
          <w:rFonts w:ascii="Times New Roman" w:hAnsi="Times New Roman" w:cs="Times New Roman"/>
          <w:i/>
          <w:sz w:val="24"/>
          <w:szCs w:val="24"/>
        </w:rPr>
        <w:t>In casu</w:t>
      </w:r>
      <w:r w:rsidR="006C7D84">
        <w:rPr>
          <w:rFonts w:ascii="Times New Roman" w:hAnsi="Times New Roman" w:cs="Times New Roman"/>
          <w:sz w:val="24"/>
          <w:szCs w:val="24"/>
        </w:rPr>
        <w:t xml:space="preserve">, such option has been rendered </w:t>
      </w:r>
      <w:r w:rsidR="006C7D84">
        <w:rPr>
          <w:rFonts w:ascii="Times New Roman" w:hAnsi="Times New Roman" w:cs="Times New Roman"/>
          <w:sz w:val="24"/>
          <w:szCs w:val="24"/>
        </w:rPr>
        <w:lastRenderedPageBreak/>
        <w:t>nugatory because the conviction itself has to be set aside for gross procedural irregularity because of non-compliance with s 271(3)(1) of the Criminal Procedure and Evidence</w:t>
      </w:r>
      <w:r w:rsidR="00420DB7">
        <w:rPr>
          <w:rFonts w:ascii="Times New Roman" w:hAnsi="Times New Roman" w:cs="Times New Roman"/>
          <w:sz w:val="24"/>
          <w:szCs w:val="24"/>
        </w:rPr>
        <w:t xml:space="preserve"> Act</w:t>
      </w:r>
      <w:r w:rsidR="006C7D84">
        <w:rPr>
          <w:rFonts w:ascii="Times New Roman" w:hAnsi="Times New Roman" w:cs="Times New Roman"/>
          <w:sz w:val="24"/>
          <w:szCs w:val="24"/>
        </w:rPr>
        <w:t>.  The failure to conduct a trial as dictated by statutory regulated procedure vitiates such trial.  The result of the mistrial is that, the ensuing conviction cannot stand and must be set aside.</w:t>
      </w:r>
    </w:p>
    <w:p w:rsidR="006C7D84" w:rsidRDefault="006C7D84" w:rsidP="00C36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005604" w:rsidRDefault="006C7D84" w:rsidP="00C36E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and sentence imposed on Ernest Manyika in case no. CRB </w:t>
      </w:r>
    </w:p>
    <w:p w:rsidR="006C7D84" w:rsidRDefault="006C7D84" w:rsidP="00C36E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CHNP 1204-5/20 be and is hereby quashed and set aside.</w:t>
      </w:r>
    </w:p>
    <w:p w:rsidR="006C7D84" w:rsidRDefault="006C7D84" w:rsidP="00C36E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entitled to his immediate release.</w:t>
      </w:r>
    </w:p>
    <w:p w:rsidR="006C7D84" w:rsidRDefault="00D26883" w:rsidP="00C36E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Prosecutor-G</w:t>
      </w:r>
      <w:r w:rsidR="006C7D84">
        <w:rPr>
          <w:rFonts w:ascii="Times New Roman" w:hAnsi="Times New Roman" w:cs="Times New Roman"/>
          <w:sz w:val="24"/>
          <w:szCs w:val="24"/>
        </w:rPr>
        <w:t>eneral may in his discretion institute a fresh prosecution of the accused.</w:t>
      </w:r>
    </w:p>
    <w:p w:rsidR="006C7D84" w:rsidRDefault="006C7D84" w:rsidP="00C36E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w:t>
      </w:r>
      <w:r w:rsidR="00902F06">
        <w:rPr>
          <w:rFonts w:ascii="Times New Roman" w:hAnsi="Times New Roman" w:cs="Times New Roman"/>
          <w:sz w:val="24"/>
          <w:szCs w:val="24"/>
        </w:rPr>
        <w:t xml:space="preserve">a </w:t>
      </w:r>
      <w:r>
        <w:rPr>
          <w:rFonts w:ascii="Times New Roman" w:hAnsi="Times New Roman" w:cs="Times New Roman"/>
          <w:sz w:val="24"/>
          <w:szCs w:val="24"/>
        </w:rPr>
        <w:t xml:space="preserve">fresh prosecution is instituted a different magistrate shall preside the accused’s trial and if the </w:t>
      </w:r>
      <w:r w:rsidR="00C36E6E">
        <w:rPr>
          <w:rFonts w:ascii="Times New Roman" w:hAnsi="Times New Roman" w:cs="Times New Roman"/>
          <w:sz w:val="24"/>
          <w:szCs w:val="24"/>
        </w:rPr>
        <w:t xml:space="preserve">magistrate convicts the accused, the sentence already served by the accused should be factored into the </w:t>
      </w:r>
      <w:r w:rsidR="00D26883">
        <w:rPr>
          <w:rFonts w:ascii="Times New Roman" w:hAnsi="Times New Roman" w:cs="Times New Roman"/>
          <w:sz w:val="24"/>
          <w:szCs w:val="24"/>
        </w:rPr>
        <w:t xml:space="preserve">new </w:t>
      </w:r>
      <w:r w:rsidR="00C36E6E">
        <w:rPr>
          <w:rFonts w:ascii="Times New Roman" w:hAnsi="Times New Roman" w:cs="Times New Roman"/>
          <w:sz w:val="24"/>
          <w:szCs w:val="24"/>
        </w:rPr>
        <w:t xml:space="preserve">sentence </w:t>
      </w:r>
      <w:r w:rsidR="00D26883">
        <w:rPr>
          <w:rFonts w:ascii="Times New Roman" w:hAnsi="Times New Roman" w:cs="Times New Roman"/>
          <w:sz w:val="24"/>
          <w:szCs w:val="24"/>
        </w:rPr>
        <w:t xml:space="preserve">which may be imposed </w:t>
      </w:r>
      <w:r w:rsidR="00C36E6E">
        <w:rPr>
          <w:rFonts w:ascii="Times New Roman" w:hAnsi="Times New Roman" w:cs="Times New Roman"/>
          <w:sz w:val="24"/>
          <w:szCs w:val="24"/>
        </w:rPr>
        <w:t xml:space="preserve">as portion of </w:t>
      </w:r>
      <w:r w:rsidR="00D26883">
        <w:rPr>
          <w:rFonts w:ascii="Times New Roman" w:hAnsi="Times New Roman" w:cs="Times New Roman"/>
          <w:sz w:val="24"/>
          <w:szCs w:val="24"/>
        </w:rPr>
        <w:t>an already served portion of that</w:t>
      </w:r>
      <w:r w:rsidR="00C36E6E">
        <w:rPr>
          <w:rFonts w:ascii="Times New Roman" w:hAnsi="Times New Roman" w:cs="Times New Roman"/>
          <w:sz w:val="24"/>
          <w:szCs w:val="24"/>
        </w:rPr>
        <w:t xml:space="preserve"> new sentence</w:t>
      </w:r>
      <w:r w:rsidR="00D26883">
        <w:rPr>
          <w:rFonts w:ascii="Times New Roman" w:hAnsi="Times New Roman" w:cs="Times New Roman"/>
          <w:sz w:val="24"/>
          <w:szCs w:val="24"/>
        </w:rPr>
        <w:t>.</w:t>
      </w:r>
    </w:p>
    <w:p w:rsidR="00C36E6E" w:rsidRDefault="00C36E6E" w:rsidP="00C36E6E">
      <w:pPr>
        <w:spacing w:after="0" w:line="360" w:lineRule="auto"/>
        <w:jc w:val="both"/>
        <w:rPr>
          <w:rFonts w:ascii="Times New Roman" w:hAnsi="Times New Roman" w:cs="Times New Roman"/>
          <w:sz w:val="24"/>
          <w:szCs w:val="24"/>
        </w:rPr>
      </w:pPr>
    </w:p>
    <w:p w:rsidR="00C36E6E" w:rsidRDefault="00C36E6E" w:rsidP="00C36E6E">
      <w:pPr>
        <w:spacing w:after="0" w:line="360" w:lineRule="auto"/>
        <w:jc w:val="both"/>
        <w:rPr>
          <w:rFonts w:ascii="Times New Roman" w:hAnsi="Times New Roman" w:cs="Times New Roman"/>
          <w:sz w:val="24"/>
          <w:szCs w:val="24"/>
        </w:rPr>
      </w:pPr>
    </w:p>
    <w:p w:rsidR="00C36E6E" w:rsidRDefault="00C36E6E" w:rsidP="00C36E6E">
      <w:pPr>
        <w:spacing w:after="0" w:line="360" w:lineRule="auto"/>
        <w:jc w:val="both"/>
        <w:rPr>
          <w:rFonts w:ascii="Times New Roman" w:hAnsi="Times New Roman" w:cs="Times New Roman"/>
          <w:sz w:val="24"/>
          <w:szCs w:val="24"/>
        </w:rPr>
      </w:pPr>
    </w:p>
    <w:p w:rsidR="00C36E6E" w:rsidRPr="00C36E6E" w:rsidRDefault="00C36E6E" w:rsidP="00C36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MUSITHU J Agrees:…………………………..</w:t>
      </w:r>
    </w:p>
    <w:p w:rsidR="005E2625" w:rsidRPr="00AD164A" w:rsidRDefault="00E6554D" w:rsidP="00C36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E2625" w:rsidRPr="00AD16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834" w:rsidRDefault="00A14834" w:rsidP="00C36E6E">
      <w:pPr>
        <w:spacing w:after="0" w:line="240" w:lineRule="auto"/>
      </w:pPr>
      <w:r>
        <w:separator/>
      </w:r>
    </w:p>
  </w:endnote>
  <w:endnote w:type="continuationSeparator" w:id="0">
    <w:p w:rsidR="00A14834" w:rsidRDefault="00A14834" w:rsidP="00C3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834" w:rsidRDefault="00A14834" w:rsidP="00C36E6E">
      <w:pPr>
        <w:spacing w:after="0" w:line="240" w:lineRule="auto"/>
      </w:pPr>
      <w:r>
        <w:separator/>
      </w:r>
    </w:p>
  </w:footnote>
  <w:footnote w:type="continuationSeparator" w:id="0">
    <w:p w:rsidR="00A14834" w:rsidRDefault="00A14834" w:rsidP="00C3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3461"/>
      <w:docPartObj>
        <w:docPartGallery w:val="Page Numbers (Top of Page)"/>
        <w:docPartUnique/>
      </w:docPartObj>
    </w:sdtPr>
    <w:sdtEndPr>
      <w:rPr>
        <w:noProof/>
      </w:rPr>
    </w:sdtEndPr>
    <w:sdtContent>
      <w:p w:rsidR="00C36E6E" w:rsidRDefault="00C36E6E">
        <w:pPr>
          <w:pStyle w:val="Header"/>
          <w:jc w:val="right"/>
          <w:rPr>
            <w:noProof/>
          </w:rPr>
        </w:pPr>
        <w:r>
          <w:fldChar w:fldCharType="begin"/>
        </w:r>
        <w:r>
          <w:instrText xml:space="preserve"> PAGE   \* MERGEFORMAT </w:instrText>
        </w:r>
        <w:r>
          <w:fldChar w:fldCharType="separate"/>
        </w:r>
        <w:r w:rsidR="00186A99">
          <w:rPr>
            <w:noProof/>
          </w:rPr>
          <w:t>1</w:t>
        </w:r>
        <w:r>
          <w:rPr>
            <w:noProof/>
          </w:rPr>
          <w:fldChar w:fldCharType="end"/>
        </w:r>
      </w:p>
      <w:p w:rsidR="00C36E6E" w:rsidRDefault="00C36E6E">
        <w:pPr>
          <w:pStyle w:val="Header"/>
          <w:jc w:val="right"/>
          <w:rPr>
            <w:noProof/>
          </w:rPr>
        </w:pPr>
        <w:r>
          <w:rPr>
            <w:noProof/>
          </w:rPr>
          <w:t>HH</w:t>
        </w:r>
        <w:r w:rsidR="00005604">
          <w:rPr>
            <w:noProof/>
          </w:rPr>
          <w:t xml:space="preserve"> 57-22</w:t>
        </w:r>
      </w:p>
      <w:p w:rsidR="00C36E6E" w:rsidRDefault="00C36E6E">
        <w:pPr>
          <w:pStyle w:val="Header"/>
          <w:jc w:val="right"/>
        </w:pPr>
        <w:r>
          <w:rPr>
            <w:noProof/>
          </w:rPr>
          <w:t>CRB NO. CHNP 1204-5/20</w:t>
        </w:r>
      </w:p>
    </w:sdtContent>
  </w:sdt>
  <w:p w:rsidR="00C36E6E" w:rsidRDefault="00C36E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E016E"/>
    <w:multiLevelType w:val="hybridMultilevel"/>
    <w:tmpl w:val="7F08CCC8"/>
    <w:lvl w:ilvl="0" w:tplc="FEB298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4A"/>
    <w:rsid w:val="00005604"/>
    <w:rsid w:val="00186A99"/>
    <w:rsid w:val="001C71A4"/>
    <w:rsid w:val="00333FEC"/>
    <w:rsid w:val="003A27DE"/>
    <w:rsid w:val="00420DB7"/>
    <w:rsid w:val="005A0C02"/>
    <w:rsid w:val="005E2625"/>
    <w:rsid w:val="006C7D84"/>
    <w:rsid w:val="007E635D"/>
    <w:rsid w:val="00902F06"/>
    <w:rsid w:val="009C4ADB"/>
    <w:rsid w:val="00A14834"/>
    <w:rsid w:val="00AD164A"/>
    <w:rsid w:val="00BD663B"/>
    <w:rsid w:val="00C36E6E"/>
    <w:rsid w:val="00CF48A9"/>
    <w:rsid w:val="00D26883"/>
    <w:rsid w:val="00E6554D"/>
    <w:rsid w:val="00F02D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8B5A-4A42-4574-BC4E-91ABEAF0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D84"/>
    <w:pPr>
      <w:ind w:left="720"/>
      <w:contextualSpacing/>
    </w:pPr>
  </w:style>
  <w:style w:type="paragraph" w:styleId="Header">
    <w:name w:val="header"/>
    <w:basedOn w:val="Normal"/>
    <w:link w:val="HeaderChar"/>
    <w:uiPriority w:val="99"/>
    <w:unhideWhenUsed/>
    <w:rsid w:val="00C36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6E"/>
  </w:style>
  <w:style w:type="paragraph" w:styleId="Footer">
    <w:name w:val="footer"/>
    <w:basedOn w:val="Normal"/>
    <w:link w:val="FooterChar"/>
    <w:uiPriority w:val="99"/>
    <w:unhideWhenUsed/>
    <w:rsid w:val="00C36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6E"/>
  </w:style>
  <w:style w:type="paragraph" w:styleId="BalloonText">
    <w:name w:val="Balloon Text"/>
    <w:basedOn w:val="Normal"/>
    <w:link w:val="BalloonTextChar"/>
    <w:uiPriority w:val="99"/>
    <w:semiHidden/>
    <w:unhideWhenUsed/>
    <w:rsid w:val="00C36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2022-01-27T10:16:00Z</cp:lastPrinted>
  <dcterms:created xsi:type="dcterms:W3CDTF">2022-01-28T08:41:00Z</dcterms:created>
  <dcterms:modified xsi:type="dcterms:W3CDTF">2022-01-28T08:41:00Z</dcterms:modified>
</cp:coreProperties>
</file>