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51B4" w14:textId="77777777" w:rsidR="00EE27B6" w:rsidRDefault="00EE27B6" w:rsidP="00EE27B6">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14:paraId="22D15FB4"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55132CA"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ERIC KAGORO </w:t>
      </w:r>
    </w:p>
    <w:p w14:paraId="27164447"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C4629EB"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BRIAN KAGORO </w:t>
      </w:r>
    </w:p>
    <w:p w14:paraId="4AC2D2D8" w14:textId="77777777" w:rsidR="00EE27B6" w:rsidRDefault="00EE27B6" w:rsidP="00EE27B6">
      <w:pPr>
        <w:spacing w:line="360" w:lineRule="auto"/>
        <w:jc w:val="both"/>
        <w:rPr>
          <w:rFonts w:ascii="Times New Roman" w:hAnsi="Times New Roman" w:cs="Times New Roman"/>
          <w:sz w:val="24"/>
          <w:szCs w:val="24"/>
          <w:lang w:val="en-US"/>
        </w:rPr>
      </w:pPr>
    </w:p>
    <w:p w14:paraId="2F1F8455" w14:textId="77777777" w:rsidR="00EE27B6" w:rsidRDefault="00EE27B6" w:rsidP="00EE27B6">
      <w:pPr>
        <w:pStyle w:val="NoSpacing"/>
        <w:rPr>
          <w:lang w:val="en-US"/>
        </w:rPr>
      </w:pPr>
    </w:p>
    <w:p w14:paraId="67247EE1"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E245AF2" w14:textId="77777777"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MUTEVEDZI J</w:t>
      </w:r>
    </w:p>
    <w:p w14:paraId="53C1F49E" w14:textId="52750AC3" w:rsidR="00EE27B6" w:rsidRDefault="00EE27B6" w:rsidP="00EE27B6">
      <w:pPr>
        <w:jc w:val="both"/>
        <w:rPr>
          <w:rFonts w:ascii="Times New Roman" w:hAnsi="Times New Roman" w:cs="Times New Roman"/>
          <w:sz w:val="24"/>
          <w:szCs w:val="24"/>
          <w:lang w:val="en-US"/>
        </w:rPr>
      </w:pPr>
      <w:r>
        <w:rPr>
          <w:rFonts w:ascii="Times New Roman" w:hAnsi="Times New Roman" w:cs="Times New Roman"/>
          <w:sz w:val="24"/>
          <w:szCs w:val="24"/>
          <w:lang w:val="en-US"/>
        </w:rPr>
        <w:t>HARARE, 26 June 2024</w:t>
      </w:r>
    </w:p>
    <w:p w14:paraId="52D2313B" w14:textId="77777777" w:rsidR="00EE27B6" w:rsidRDefault="00EE27B6" w:rsidP="00EE27B6">
      <w:pPr>
        <w:spacing w:line="360" w:lineRule="auto"/>
        <w:jc w:val="both"/>
        <w:rPr>
          <w:rFonts w:ascii="Times New Roman" w:hAnsi="Times New Roman" w:cs="Times New Roman"/>
          <w:sz w:val="24"/>
          <w:szCs w:val="24"/>
          <w:lang w:val="en-US"/>
        </w:rPr>
      </w:pPr>
    </w:p>
    <w:p w14:paraId="64B78A7C" w14:textId="77777777" w:rsidR="00EE27B6" w:rsidRDefault="00EE27B6" w:rsidP="00EE27B6">
      <w:pPr>
        <w:pStyle w:val="NoSpacing"/>
        <w:rPr>
          <w:lang w:val="en-US"/>
        </w:rPr>
      </w:pPr>
    </w:p>
    <w:p w14:paraId="7048A005" w14:textId="77777777" w:rsidR="00EE27B6" w:rsidRPr="00C8374A" w:rsidRDefault="00EE27B6" w:rsidP="00EE27B6">
      <w:pPr>
        <w:jc w:val="both"/>
        <w:rPr>
          <w:rFonts w:ascii="Times New Roman" w:hAnsi="Times New Roman" w:cs="Times New Roman"/>
          <w:i/>
          <w:iCs/>
          <w:sz w:val="24"/>
          <w:szCs w:val="24"/>
          <w:lang w:val="en-US"/>
        </w:rPr>
      </w:pPr>
      <w:r w:rsidRPr="00C8374A">
        <w:rPr>
          <w:rFonts w:ascii="Times New Roman" w:hAnsi="Times New Roman" w:cs="Times New Roman"/>
          <w:b/>
          <w:bCs/>
          <w:sz w:val="24"/>
          <w:szCs w:val="24"/>
          <w:lang w:val="en-US"/>
        </w:rPr>
        <w:t>Assessors: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374A">
        <w:rPr>
          <w:rFonts w:ascii="Times New Roman" w:hAnsi="Times New Roman" w:cs="Times New Roman"/>
          <w:i/>
          <w:iCs/>
          <w:sz w:val="24"/>
          <w:szCs w:val="24"/>
          <w:lang w:val="en-US"/>
        </w:rPr>
        <w:t>Mr Gweme</w:t>
      </w:r>
    </w:p>
    <w:p w14:paraId="2D2FCC04" w14:textId="77777777" w:rsidR="00EE27B6" w:rsidRPr="00C8374A" w:rsidRDefault="00EE27B6" w:rsidP="00EE27B6">
      <w:pPr>
        <w:jc w:val="both"/>
        <w:rPr>
          <w:rFonts w:ascii="Times New Roman" w:hAnsi="Times New Roman" w:cs="Times New Roman"/>
          <w:i/>
          <w:iCs/>
          <w:sz w:val="24"/>
          <w:szCs w:val="24"/>
          <w:lang w:val="en-US"/>
        </w:rPr>
      </w:pPr>
      <w:r w:rsidRPr="00C8374A">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ab/>
      </w:r>
      <w:r w:rsidRPr="00C8374A">
        <w:rPr>
          <w:rFonts w:ascii="Times New Roman" w:hAnsi="Times New Roman" w:cs="Times New Roman"/>
          <w:i/>
          <w:iCs/>
          <w:sz w:val="24"/>
          <w:szCs w:val="24"/>
          <w:lang w:val="en-US"/>
        </w:rPr>
        <w:t>Mr Gwatiringa</w:t>
      </w:r>
    </w:p>
    <w:p w14:paraId="6219B0FE" w14:textId="77777777" w:rsidR="00EE27B6" w:rsidRDefault="00EE27B6" w:rsidP="008118E1">
      <w:pPr>
        <w:pStyle w:val="NoSpacing"/>
        <w:rPr>
          <w:lang w:val="en-US"/>
        </w:rPr>
      </w:pPr>
    </w:p>
    <w:p w14:paraId="11B76A0F" w14:textId="77777777" w:rsidR="008118E1" w:rsidRDefault="008118E1" w:rsidP="008118E1">
      <w:pPr>
        <w:pStyle w:val="NoSpacing"/>
        <w:rPr>
          <w:lang w:val="en-US"/>
        </w:rPr>
      </w:pPr>
    </w:p>
    <w:p w14:paraId="0EA7DD90" w14:textId="55F76843" w:rsidR="00EE27B6" w:rsidRDefault="00EE27B6" w:rsidP="00EE27B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 – Murder-sentencing judgment</w:t>
      </w:r>
    </w:p>
    <w:p w14:paraId="58EB9642" w14:textId="77777777" w:rsidR="00EE27B6" w:rsidRDefault="00EE27B6" w:rsidP="00EE27B6">
      <w:pPr>
        <w:pStyle w:val="NoSpacing"/>
        <w:rPr>
          <w:lang w:val="en-US"/>
        </w:rPr>
      </w:pPr>
    </w:p>
    <w:p w14:paraId="60F03D9D" w14:textId="77777777" w:rsidR="00EE27B6" w:rsidRDefault="00EE27B6" w:rsidP="00EE27B6">
      <w:pPr>
        <w:pStyle w:val="NoSpacing"/>
        <w:rPr>
          <w:lang w:val="en-US"/>
        </w:rPr>
      </w:pPr>
    </w:p>
    <w:p w14:paraId="7B788F7E" w14:textId="77777777" w:rsidR="00EE27B6" w:rsidRPr="004E7B6B" w:rsidRDefault="00EE27B6" w:rsidP="00EE27B6">
      <w:pPr>
        <w:rPr>
          <w:rFonts w:ascii="Times New Roman" w:hAnsi="Times New Roman" w:cs="Times New Roman"/>
          <w:sz w:val="24"/>
          <w:szCs w:val="24"/>
        </w:rPr>
      </w:pPr>
      <w:r w:rsidRPr="004E7B6B">
        <w:rPr>
          <w:rFonts w:ascii="Times New Roman" w:hAnsi="Times New Roman" w:cs="Times New Roman"/>
          <w:i/>
          <w:iCs/>
          <w:sz w:val="24"/>
          <w:szCs w:val="24"/>
        </w:rPr>
        <w:t>D.H</w:t>
      </w:r>
      <w:r w:rsidRPr="004E7B6B">
        <w:rPr>
          <w:rFonts w:ascii="Times New Roman" w:hAnsi="Times New Roman" w:cs="Times New Roman"/>
          <w:sz w:val="24"/>
          <w:szCs w:val="24"/>
        </w:rPr>
        <w:t xml:space="preserve">. </w:t>
      </w:r>
      <w:r w:rsidRPr="004E7B6B">
        <w:rPr>
          <w:rFonts w:ascii="Times New Roman" w:hAnsi="Times New Roman" w:cs="Times New Roman"/>
          <w:i/>
          <w:iCs/>
          <w:sz w:val="24"/>
          <w:szCs w:val="24"/>
        </w:rPr>
        <w:t>Chesa</w:t>
      </w:r>
      <w:r>
        <w:rPr>
          <w:rFonts w:ascii="Times New Roman" w:hAnsi="Times New Roman" w:cs="Times New Roman"/>
          <w:i/>
          <w:iCs/>
          <w:sz w:val="24"/>
          <w:szCs w:val="24"/>
        </w:rPr>
        <w:t>,</w:t>
      </w:r>
      <w:r w:rsidRPr="004E7B6B">
        <w:rPr>
          <w:rFonts w:ascii="Times New Roman" w:hAnsi="Times New Roman" w:cs="Times New Roman"/>
          <w:sz w:val="24"/>
          <w:szCs w:val="24"/>
        </w:rPr>
        <w:t xml:space="preserve"> for the state</w:t>
      </w:r>
    </w:p>
    <w:p w14:paraId="5B25BE59" w14:textId="5D880F41" w:rsidR="00EE27B6" w:rsidRPr="004E7B6B" w:rsidRDefault="00EE27B6" w:rsidP="00EE27B6">
      <w:pPr>
        <w:rPr>
          <w:rFonts w:ascii="Times New Roman" w:hAnsi="Times New Roman" w:cs="Times New Roman"/>
          <w:sz w:val="24"/>
          <w:szCs w:val="24"/>
        </w:rPr>
      </w:pPr>
      <w:r w:rsidRPr="004E7B6B">
        <w:rPr>
          <w:rFonts w:ascii="Times New Roman" w:hAnsi="Times New Roman" w:cs="Times New Roman"/>
          <w:i/>
          <w:iCs/>
          <w:sz w:val="24"/>
          <w:szCs w:val="24"/>
        </w:rPr>
        <w:t>C. Tachiona</w:t>
      </w:r>
      <w:r>
        <w:rPr>
          <w:rFonts w:ascii="Times New Roman" w:hAnsi="Times New Roman" w:cs="Times New Roman"/>
          <w:i/>
          <w:iCs/>
          <w:sz w:val="24"/>
          <w:szCs w:val="24"/>
        </w:rPr>
        <w:t>,</w:t>
      </w:r>
      <w:r w:rsidRPr="004E7B6B">
        <w:rPr>
          <w:rFonts w:ascii="Times New Roman" w:hAnsi="Times New Roman" w:cs="Times New Roman"/>
          <w:sz w:val="24"/>
          <w:szCs w:val="24"/>
        </w:rPr>
        <w:t xml:space="preserve"> </w:t>
      </w:r>
      <w:r>
        <w:rPr>
          <w:rFonts w:ascii="Times New Roman" w:hAnsi="Times New Roman" w:cs="Times New Roman"/>
          <w:sz w:val="24"/>
          <w:szCs w:val="24"/>
        </w:rPr>
        <w:t>f</w:t>
      </w:r>
      <w:r w:rsidRPr="004E7B6B">
        <w:rPr>
          <w:rFonts w:ascii="Times New Roman" w:hAnsi="Times New Roman" w:cs="Times New Roman"/>
          <w:sz w:val="24"/>
          <w:szCs w:val="24"/>
        </w:rPr>
        <w:t xml:space="preserve">or </w:t>
      </w:r>
      <w:r w:rsidR="000A5B95">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8C7A68">
        <w:rPr>
          <w:rFonts w:ascii="Times New Roman" w:hAnsi="Times New Roman" w:cs="Times New Roman"/>
          <w:sz w:val="24"/>
          <w:szCs w:val="24"/>
        </w:rPr>
        <w:t>offender</w:t>
      </w:r>
    </w:p>
    <w:p w14:paraId="5204339F" w14:textId="316ABD36" w:rsidR="00EE27B6" w:rsidRDefault="00EE27B6" w:rsidP="00EE27B6">
      <w:pPr>
        <w:rPr>
          <w:rFonts w:ascii="Times New Roman" w:hAnsi="Times New Roman" w:cs="Times New Roman"/>
          <w:sz w:val="24"/>
          <w:szCs w:val="24"/>
        </w:rPr>
      </w:pPr>
      <w:r w:rsidRPr="004E7B6B">
        <w:rPr>
          <w:rFonts w:ascii="Times New Roman" w:hAnsi="Times New Roman" w:cs="Times New Roman"/>
          <w:i/>
          <w:iCs/>
          <w:sz w:val="24"/>
          <w:szCs w:val="24"/>
        </w:rPr>
        <w:t>G. Hoyi</w:t>
      </w:r>
      <w:r>
        <w:rPr>
          <w:rFonts w:ascii="Times New Roman" w:hAnsi="Times New Roman" w:cs="Times New Roman"/>
          <w:i/>
          <w:iCs/>
          <w:sz w:val="24"/>
          <w:szCs w:val="24"/>
        </w:rPr>
        <w:t>,</w:t>
      </w:r>
      <w:r w:rsidRPr="004E7B6B">
        <w:rPr>
          <w:rFonts w:ascii="Times New Roman" w:hAnsi="Times New Roman" w:cs="Times New Roman"/>
          <w:i/>
          <w:iCs/>
          <w:sz w:val="24"/>
          <w:szCs w:val="24"/>
        </w:rPr>
        <w:t xml:space="preserve"> </w:t>
      </w:r>
      <w:r w:rsidRPr="0049676C">
        <w:rPr>
          <w:rFonts w:ascii="Times New Roman" w:hAnsi="Times New Roman" w:cs="Times New Roman"/>
          <w:sz w:val="24"/>
          <w:szCs w:val="24"/>
        </w:rPr>
        <w:t>for</w:t>
      </w:r>
      <w:r>
        <w:rPr>
          <w:rFonts w:ascii="Times New Roman" w:hAnsi="Times New Roman" w:cs="Times New Roman"/>
          <w:i/>
          <w:iCs/>
          <w:sz w:val="24"/>
          <w:szCs w:val="24"/>
        </w:rPr>
        <w:t xml:space="preserve"> </w:t>
      </w:r>
      <w:r w:rsidR="000A5B95" w:rsidRPr="000A5B95">
        <w:rPr>
          <w:rFonts w:ascii="Times New Roman" w:hAnsi="Times New Roman" w:cs="Times New Roman"/>
          <w:sz w:val="24"/>
          <w:szCs w:val="24"/>
        </w:rPr>
        <w:t>the</w:t>
      </w:r>
      <w:r w:rsidR="000A5B95">
        <w:rPr>
          <w:rFonts w:ascii="Times New Roman" w:hAnsi="Times New Roman" w:cs="Times New Roman"/>
          <w:i/>
          <w:iCs/>
          <w:sz w:val="24"/>
          <w:szCs w:val="24"/>
        </w:rPr>
        <w:t xml:space="preserve"> </w:t>
      </w:r>
      <w:r>
        <w:rPr>
          <w:rFonts w:ascii="Times New Roman" w:hAnsi="Times New Roman" w:cs="Times New Roman"/>
          <w:sz w:val="24"/>
          <w:szCs w:val="24"/>
        </w:rPr>
        <w:t xml:space="preserve">second </w:t>
      </w:r>
      <w:r w:rsidR="008C7A68">
        <w:rPr>
          <w:rFonts w:ascii="Times New Roman" w:hAnsi="Times New Roman" w:cs="Times New Roman"/>
          <w:sz w:val="24"/>
          <w:szCs w:val="24"/>
        </w:rPr>
        <w:t>offender</w:t>
      </w:r>
    </w:p>
    <w:p w14:paraId="063D4C0F" w14:textId="77777777" w:rsidR="00EE27B6" w:rsidRPr="004E7B6B" w:rsidRDefault="00EE27B6" w:rsidP="00EE27B6">
      <w:pPr>
        <w:pStyle w:val="NoSpacing"/>
      </w:pPr>
    </w:p>
    <w:p w14:paraId="789B8123" w14:textId="77777777" w:rsidR="00EE27B6" w:rsidRDefault="00EE27B6" w:rsidP="008118E1">
      <w:pPr>
        <w:pStyle w:val="NoSpacing"/>
        <w:rPr>
          <w:lang w:val="en-US"/>
        </w:rPr>
      </w:pPr>
    </w:p>
    <w:p w14:paraId="044C9BF3" w14:textId="77777777" w:rsidR="0003706F" w:rsidRDefault="00EE27B6" w:rsidP="008C15CC">
      <w:pPr>
        <w:spacing w:line="360" w:lineRule="auto"/>
        <w:jc w:val="both"/>
        <w:rPr>
          <w:rFonts w:ascii="Times New Roman" w:hAnsi="Times New Roman"/>
          <w:sz w:val="24"/>
          <w:szCs w:val="24"/>
          <w:lang w:val="en-US"/>
        </w:rPr>
      </w:pPr>
      <w:r>
        <w:rPr>
          <w:rFonts w:ascii="Times New Roman" w:hAnsi="Times New Roman"/>
          <w:b/>
          <w:sz w:val="24"/>
          <w:szCs w:val="24"/>
          <w:lang w:val="en-US"/>
        </w:rPr>
        <w:tab/>
      </w:r>
      <w:r w:rsidRPr="0049676C">
        <w:rPr>
          <w:rFonts w:ascii="Times New Roman" w:hAnsi="Times New Roman"/>
          <w:bCs/>
          <w:sz w:val="24"/>
          <w:szCs w:val="24"/>
          <w:lang w:val="en-US"/>
        </w:rPr>
        <w:t>MUTEVEDZI J</w:t>
      </w:r>
      <w:r>
        <w:rPr>
          <w:rFonts w:ascii="Times New Roman" w:hAnsi="Times New Roman"/>
          <w:sz w:val="24"/>
          <w:szCs w:val="24"/>
          <w:lang w:val="en-US"/>
        </w:rPr>
        <w:t xml:space="preserve">:  This is a family tragedy of epic proportions. A father who died at the hands of his two eldest sons who on their part are likely to spend the rest of their more productive ages in prison. </w:t>
      </w:r>
    </w:p>
    <w:p w14:paraId="0E78BFE3" w14:textId="661B65B4" w:rsidR="007257DB" w:rsidRPr="0003706F" w:rsidRDefault="00EE27B6" w:rsidP="0003706F">
      <w:pPr>
        <w:pStyle w:val="ListParagraph"/>
        <w:numPr>
          <w:ilvl w:val="0"/>
          <w:numId w:val="1"/>
        </w:numPr>
        <w:spacing w:line="360" w:lineRule="auto"/>
        <w:jc w:val="both"/>
        <w:rPr>
          <w:rFonts w:ascii="Times New Roman" w:hAnsi="Times New Roman"/>
          <w:sz w:val="24"/>
          <w:szCs w:val="24"/>
          <w:lang w:val="en-US"/>
        </w:rPr>
      </w:pPr>
      <w:r w:rsidRPr="0003706F">
        <w:rPr>
          <w:rFonts w:ascii="Times New Roman" w:hAnsi="Times New Roman"/>
          <w:sz w:val="24"/>
          <w:szCs w:val="24"/>
          <w:lang w:val="en-US"/>
        </w:rPr>
        <w:t xml:space="preserve"> </w:t>
      </w:r>
      <w:r w:rsidR="0003706F">
        <w:rPr>
          <w:rFonts w:ascii="Times New Roman" w:hAnsi="Times New Roman"/>
          <w:sz w:val="24"/>
          <w:szCs w:val="24"/>
          <w:lang w:val="en-US"/>
        </w:rPr>
        <w:t>T</w:t>
      </w:r>
      <w:r w:rsidRPr="0003706F">
        <w:rPr>
          <w:rFonts w:ascii="Times New Roman" w:hAnsi="Times New Roman"/>
          <w:sz w:val="24"/>
          <w:szCs w:val="24"/>
          <w:lang w:val="en-US"/>
        </w:rPr>
        <w:t xml:space="preserve">he </w:t>
      </w:r>
      <w:r w:rsidR="0003706F">
        <w:rPr>
          <w:rFonts w:ascii="Times New Roman" w:hAnsi="Times New Roman"/>
          <w:sz w:val="24"/>
          <w:szCs w:val="24"/>
          <w:lang w:val="en-US"/>
        </w:rPr>
        <w:t>probability</w:t>
      </w:r>
      <w:r w:rsidRPr="0003706F">
        <w:rPr>
          <w:rFonts w:ascii="Times New Roman" w:hAnsi="Times New Roman"/>
          <w:sz w:val="24"/>
          <w:szCs w:val="24"/>
          <w:lang w:val="en-US"/>
        </w:rPr>
        <w:t xml:space="preserve"> of being sentenced to imprisonment following conviction on a charge of murder </w:t>
      </w:r>
      <w:r w:rsidR="0003706F">
        <w:rPr>
          <w:rFonts w:ascii="Times New Roman" w:hAnsi="Times New Roman"/>
          <w:sz w:val="24"/>
          <w:szCs w:val="24"/>
          <w:lang w:val="en-US"/>
        </w:rPr>
        <w:t xml:space="preserve">is very high because </w:t>
      </w:r>
      <w:r w:rsidRPr="0003706F">
        <w:rPr>
          <w:rFonts w:ascii="Times New Roman" w:hAnsi="Times New Roman"/>
          <w:sz w:val="24"/>
          <w:szCs w:val="24"/>
          <w:lang w:val="en-US"/>
        </w:rPr>
        <w:t xml:space="preserve">a court’s options are limited even before it starts assessing a suitable penalty. The </w:t>
      </w:r>
      <w:r w:rsidR="00A61FA2" w:rsidRPr="0003706F">
        <w:rPr>
          <w:rFonts w:ascii="Times New Roman" w:hAnsi="Times New Roman"/>
          <w:sz w:val="24"/>
          <w:szCs w:val="24"/>
          <w:lang w:val="en-US"/>
        </w:rPr>
        <w:t>C</w:t>
      </w:r>
      <w:r w:rsidRPr="0003706F">
        <w:rPr>
          <w:rFonts w:ascii="Times New Roman" w:hAnsi="Times New Roman"/>
          <w:sz w:val="24"/>
          <w:szCs w:val="24"/>
          <w:lang w:val="en-US"/>
        </w:rPr>
        <w:t xml:space="preserve">riminal </w:t>
      </w:r>
      <w:r w:rsidR="00A61FA2" w:rsidRPr="0003706F">
        <w:rPr>
          <w:rFonts w:ascii="Times New Roman" w:hAnsi="Times New Roman"/>
          <w:sz w:val="24"/>
          <w:szCs w:val="24"/>
          <w:lang w:val="en-US"/>
        </w:rPr>
        <w:t>Procedure (</w:t>
      </w:r>
      <w:r w:rsidRPr="0003706F">
        <w:rPr>
          <w:rFonts w:ascii="Times New Roman" w:hAnsi="Times New Roman"/>
          <w:sz w:val="24"/>
          <w:szCs w:val="24"/>
          <w:lang w:val="en-US"/>
        </w:rPr>
        <w:t xml:space="preserve">Sentencing Guidelines) Regulations, 2023 (the sentencing guidelines) pitch the presumptive penalty </w:t>
      </w:r>
      <w:r w:rsidR="00A61FA2" w:rsidRPr="0003706F">
        <w:rPr>
          <w:rFonts w:ascii="Times New Roman" w:hAnsi="Times New Roman"/>
          <w:sz w:val="24"/>
          <w:szCs w:val="24"/>
          <w:lang w:val="en-US"/>
        </w:rPr>
        <w:t xml:space="preserve">for murder at </w:t>
      </w:r>
      <w:r w:rsidR="0003706F" w:rsidRPr="0003706F">
        <w:rPr>
          <w:rFonts w:ascii="Times New Roman" w:hAnsi="Times New Roman"/>
          <w:sz w:val="24"/>
          <w:szCs w:val="24"/>
          <w:lang w:val="en-US"/>
        </w:rPr>
        <w:t>twenty (</w:t>
      </w:r>
      <w:r w:rsidR="00A61FA2" w:rsidRPr="0003706F">
        <w:rPr>
          <w:rFonts w:ascii="Times New Roman" w:hAnsi="Times New Roman"/>
          <w:sz w:val="24"/>
          <w:szCs w:val="24"/>
          <w:lang w:val="en-US"/>
        </w:rPr>
        <w:t>20</w:t>
      </w:r>
      <w:r w:rsidR="0003706F" w:rsidRPr="0003706F">
        <w:rPr>
          <w:rFonts w:ascii="Times New Roman" w:hAnsi="Times New Roman"/>
          <w:sz w:val="24"/>
          <w:szCs w:val="24"/>
          <w:lang w:val="en-US"/>
        </w:rPr>
        <w:t>)</w:t>
      </w:r>
      <w:r w:rsidR="00A61FA2" w:rsidRPr="0003706F">
        <w:rPr>
          <w:rFonts w:ascii="Times New Roman" w:hAnsi="Times New Roman"/>
          <w:sz w:val="24"/>
          <w:szCs w:val="24"/>
          <w:lang w:val="en-US"/>
        </w:rPr>
        <w:t xml:space="preserve"> years imprisonment. An offender is therefore expected to move mountains in order to persuade a court to climb down from that summit to impose a non-custodial penalty. </w:t>
      </w:r>
    </w:p>
    <w:p w14:paraId="0F9B75B2" w14:textId="75844FD7" w:rsidR="00A61FA2" w:rsidRDefault="0003706F"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In essence, t</w:t>
      </w:r>
      <w:r w:rsidR="00A61FA2">
        <w:rPr>
          <w:rFonts w:ascii="Times New Roman" w:hAnsi="Times New Roman"/>
          <w:sz w:val="24"/>
          <w:szCs w:val="24"/>
          <w:lang w:val="en-US"/>
        </w:rPr>
        <w:t xml:space="preserve">he crime of murder </w:t>
      </w:r>
      <w:r>
        <w:rPr>
          <w:rFonts w:ascii="Times New Roman" w:hAnsi="Times New Roman"/>
          <w:sz w:val="24"/>
          <w:szCs w:val="24"/>
          <w:lang w:val="en-US"/>
        </w:rPr>
        <w:t>carries</w:t>
      </w:r>
      <w:r w:rsidR="00A61FA2">
        <w:rPr>
          <w:rFonts w:ascii="Times New Roman" w:hAnsi="Times New Roman"/>
          <w:sz w:val="24"/>
          <w:szCs w:val="24"/>
          <w:lang w:val="en-US"/>
        </w:rPr>
        <w:t xml:space="preserve"> a minimum mandatory sentence of twenty years imprisonment </w:t>
      </w:r>
      <w:r>
        <w:rPr>
          <w:rFonts w:ascii="Times New Roman" w:hAnsi="Times New Roman"/>
          <w:sz w:val="24"/>
          <w:szCs w:val="24"/>
          <w:lang w:val="en-US"/>
        </w:rPr>
        <w:t xml:space="preserve">(not to be confused with the presumptive penalty) </w:t>
      </w:r>
      <w:r w:rsidR="00A61FA2">
        <w:rPr>
          <w:rFonts w:ascii="Times New Roman" w:hAnsi="Times New Roman"/>
          <w:sz w:val="24"/>
          <w:szCs w:val="24"/>
          <w:lang w:val="en-US"/>
        </w:rPr>
        <w:t>unless a court finds that the murder was not co</w:t>
      </w:r>
      <w:r>
        <w:rPr>
          <w:rFonts w:ascii="Times New Roman" w:hAnsi="Times New Roman"/>
          <w:sz w:val="24"/>
          <w:szCs w:val="24"/>
          <w:lang w:val="en-US"/>
        </w:rPr>
        <w:t>mmitted</w:t>
      </w:r>
      <w:r w:rsidR="00A61FA2">
        <w:rPr>
          <w:rFonts w:ascii="Times New Roman" w:hAnsi="Times New Roman"/>
          <w:sz w:val="24"/>
          <w:szCs w:val="24"/>
          <w:lang w:val="en-US"/>
        </w:rPr>
        <w:t xml:space="preserve"> in aggravating circumstances. </w:t>
      </w:r>
      <w:r>
        <w:rPr>
          <w:rFonts w:ascii="Times New Roman" w:hAnsi="Times New Roman"/>
          <w:sz w:val="24"/>
          <w:szCs w:val="24"/>
          <w:lang w:val="en-US"/>
        </w:rPr>
        <w:t>That is so because t</w:t>
      </w:r>
      <w:r w:rsidR="00A61FA2">
        <w:rPr>
          <w:rFonts w:ascii="Times New Roman" w:hAnsi="Times New Roman"/>
          <w:sz w:val="24"/>
          <w:szCs w:val="24"/>
          <w:lang w:val="en-US"/>
        </w:rPr>
        <w:t xml:space="preserve">he sentencing of murder convicts </w:t>
      </w:r>
      <w:r>
        <w:rPr>
          <w:rFonts w:ascii="Times New Roman" w:hAnsi="Times New Roman"/>
          <w:sz w:val="24"/>
          <w:szCs w:val="24"/>
          <w:lang w:val="en-US"/>
        </w:rPr>
        <w:t>shifted</w:t>
      </w:r>
      <w:r w:rsidR="00A61FA2">
        <w:rPr>
          <w:rFonts w:ascii="Times New Roman" w:hAnsi="Times New Roman"/>
          <w:sz w:val="24"/>
          <w:szCs w:val="24"/>
          <w:lang w:val="en-US"/>
        </w:rPr>
        <w:t xml:space="preserve"> drastically </w:t>
      </w:r>
      <w:r w:rsidR="00580612">
        <w:rPr>
          <w:rFonts w:ascii="Times New Roman" w:hAnsi="Times New Roman"/>
          <w:sz w:val="24"/>
          <w:szCs w:val="24"/>
          <w:lang w:val="en-US"/>
        </w:rPr>
        <w:t>w</w:t>
      </w:r>
      <w:r>
        <w:rPr>
          <w:rFonts w:ascii="Times New Roman" w:hAnsi="Times New Roman"/>
          <w:sz w:val="24"/>
          <w:szCs w:val="24"/>
          <w:lang w:val="en-US"/>
        </w:rPr>
        <w:t>ith the advent of</w:t>
      </w:r>
      <w:r w:rsidR="00A61FA2">
        <w:rPr>
          <w:rFonts w:ascii="Times New Roman" w:hAnsi="Times New Roman"/>
          <w:sz w:val="24"/>
          <w:szCs w:val="24"/>
          <w:lang w:val="en-US"/>
        </w:rPr>
        <w:t xml:space="preserve"> the </w:t>
      </w:r>
      <w:r w:rsidR="00733B06">
        <w:rPr>
          <w:rFonts w:ascii="Times New Roman" w:hAnsi="Times New Roman"/>
          <w:sz w:val="24"/>
          <w:szCs w:val="24"/>
          <w:lang w:val="en-US"/>
        </w:rPr>
        <w:t xml:space="preserve">Constitution of Zimbabwe, 2013 and the amendment of s 47 of the </w:t>
      </w:r>
      <w:r w:rsidR="00A61FA2">
        <w:rPr>
          <w:rFonts w:ascii="Times New Roman" w:hAnsi="Times New Roman"/>
          <w:sz w:val="24"/>
          <w:szCs w:val="24"/>
          <w:lang w:val="en-US"/>
        </w:rPr>
        <w:t xml:space="preserve">Criminal Law (Codification and </w:t>
      </w:r>
      <w:r w:rsidR="008118E1">
        <w:rPr>
          <w:rFonts w:ascii="Times New Roman" w:hAnsi="Times New Roman"/>
          <w:sz w:val="24"/>
          <w:szCs w:val="24"/>
          <w:lang w:val="en-US"/>
        </w:rPr>
        <w:t>R</w:t>
      </w:r>
      <w:r w:rsidR="00A61FA2">
        <w:rPr>
          <w:rFonts w:ascii="Times New Roman" w:hAnsi="Times New Roman"/>
          <w:sz w:val="24"/>
          <w:szCs w:val="24"/>
          <w:lang w:val="en-US"/>
        </w:rPr>
        <w:t>eform) Act [</w:t>
      </w:r>
      <w:r w:rsidR="00A61FA2" w:rsidRPr="008118E1">
        <w:rPr>
          <w:rFonts w:ascii="Times New Roman" w:hAnsi="Times New Roman"/>
          <w:i/>
          <w:iCs/>
          <w:sz w:val="24"/>
          <w:szCs w:val="24"/>
          <w:lang w:val="en-US"/>
        </w:rPr>
        <w:t>Chapter 9:23</w:t>
      </w:r>
      <w:r w:rsidR="00A61FA2">
        <w:rPr>
          <w:rFonts w:ascii="Times New Roman" w:hAnsi="Times New Roman"/>
          <w:sz w:val="24"/>
          <w:szCs w:val="24"/>
          <w:lang w:val="en-US"/>
        </w:rPr>
        <w:t>] (the Code)</w:t>
      </w:r>
      <w:r w:rsidR="00733B06">
        <w:rPr>
          <w:rFonts w:ascii="Times New Roman" w:hAnsi="Times New Roman"/>
          <w:sz w:val="24"/>
          <w:szCs w:val="24"/>
          <w:lang w:val="en-US"/>
        </w:rPr>
        <w:t xml:space="preserve"> by Act No. 3 of 2016 which introduced the </w:t>
      </w:r>
      <w:r w:rsidR="00733B06">
        <w:rPr>
          <w:rFonts w:ascii="Times New Roman" w:hAnsi="Times New Roman"/>
          <w:sz w:val="24"/>
          <w:szCs w:val="24"/>
          <w:lang w:val="en-US"/>
        </w:rPr>
        <w:lastRenderedPageBreak/>
        <w:t>concept of aggravating circumstances</w:t>
      </w:r>
      <w:r w:rsidR="00A61FA2">
        <w:rPr>
          <w:rFonts w:ascii="Times New Roman" w:hAnsi="Times New Roman"/>
          <w:sz w:val="24"/>
          <w:szCs w:val="24"/>
          <w:lang w:val="en-US"/>
        </w:rPr>
        <w:t xml:space="preserve">. </w:t>
      </w:r>
      <w:r w:rsidR="001610B7">
        <w:rPr>
          <w:rFonts w:ascii="Times New Roman" w:hAnsi="Times New Roman"/>
          <w:sz w:val="24"/>
          <w:szCs w:val="24"/>
          <w:lang w:val="en-US"/>
        </w:rPr>
        <w:t xml:space="preserve">The new regime </w:t>
      </w:r>
      <w:r w:rsidR="00733B06">
        <w:rPr>
          <w:rFonts w:ascii="Times New Roman" w:hAnsi="Times New Roman"/>
          <w:sz w:val="24"/>
          <w:szCs w:val="24"/>
          <w:lang w:val="en-US"/>
        </w:rPr>
        <w:t xml:space="preserve">also </w:t>
      </w:r>
      <w:r w:rsidR="001610B7">
        <w:rPr>
          <w:rFonts w:ascii="Times New Roman" w:hAnsi="Times New Roman"/>
          <w:sz w:val="24"/>
          <w:szCs w:val="24"/>
          <w:lang w:val="en-US"/>
        </w:rPr>
        <w:t xml:space="preserve">changed the onus that </w:t>
      </w:r>
      <w:r w:rsidR="00580612">
        <w:rPr>
          <w:rFonts w:ascii="Times New Roman" w:hAnsi="Times New Roman"/>
          <w:sz w:val="24"/>
          <w:szCs w:val="24"/>
          <w:lang w:val="en-US"/>
        </w:rPr>
        <w:t>was</w:t>
      </w:r>
      <w:r w:rsidR="001610B7">
        <w:rPr>
          <w:rFonts w:ascii="Times New Roman" w:hAnsi="Times New Roman"/>
          <w:sz w:val="24"/>
          <w:szCs w:val="24"/>
          <w:lang w:val="en-US"/>
        </w:rPr>
        <w:t xml:space="preserve"> borne by the offender and the prosecutor. Previously, the offender was required to show th</w:t>
      </w:r>
      <w:r>
        <w:rPr>
          <w:rFonts w:ascii="Times New Roman" w:hAnsi="Times New Roman"/>
          <w:sz w:val="24"/>
          <w:szCs w:val="24"/>
          <w:lang w:val="en-US"/>
        </w:rPr>
        <w:t>e existence of</w:t>
      </w:r>
      <w:r w:rsidR="001610B7">
        <w:rPr>
          <w:rFonts w:ascii="Times New Roman" w:hAnsi="Times New Roman"/>
          <w:sz w:val="24"/>
          <w:szCs w:val="24"/>
          <w:lang w:val="en-US"/>
        </w:rPr>
        <w:t xml:space="preserve"> extenuating circumstances in order for him/her to escape </w:t>
      </w:r>
      <w:r>
        <w:rPr>
          <w:rFonts w:ascii="Times New Roman" w:hAnsi="Times New Roman"/>
          <w:sz w:val="24"/>
          <w:szCs w:val="24"/>
          <w:lang w:val="en-US"/>
        </w:rPr>
        <w:t xml:space="preserve">the </w:t>
      </w:r>
      <w:r w:rsidR="001610B7">
        <w:rPr>
          <w:rFonts w:ascii="Times New Roman" w:hAnsi="Times New Roman"/>
          <w:sz w:val="24"/>
          <w:szCs w:val="24"/>
          <w:lang w:val="en-US"/>
        </w:rPr>
        <w:t xml:space="preserve">sentence </w:t>
      </w:r>
      <w:r>
        <w:rPr>
          <w:rFonts w:ascii="Times New Roman" w:hAnsi="Times New Roman"/>
          <w:sz w:val="24"/>
          <w:szCs w:val="24"/>
          <w:lang w:val="en-US"/>
        </w:rPr>
        <w:t>of</w:t>
      </w:r>
      <w:r w:rsidR="001610B7">
        <w:rPr>
          <w:rFonts w:ascii="Times New Roman" w:hAnsi="Times New Roman"/>
          <w:sz w:val="24"/>
          <w:szCs w:val="24"/>
          <w:lang w:val="en-US"/>
        </w:rPr>
        <w:t xml:space="preserve"> death. </w:t>
      </w:r>
      <w:r>
        <w:rPr>
          <w:rFonts w:ascii="Times New Roman" w:hAnsi="Times New Roman"/>
          <w:sz w:val="24"/>
          <w:szCs w:val="24"/>
          <w:lang w:val="en-US"/>
        </w:rPr>
        <w:t>In turn, t</w:t>
      </w:r>
      <w:r w:rsidR="001610B7">
        <w:rPr>
          <w:rFonts w:ascii="Times New Roman" w:hAnsi="Times New Roman"/>
          <w:sz w:val="24"/>
          <w:szCs w:val="24"/>
          <w:lang w:val="en-US"/>
        </w:rPr>
        <w:t xml:space="preserve">he prosecution’s duty </w:t>
      </w:r>
      <w:r>
        <w:rPr>
          <w:rFonts w:ascii="Times New Roman" w:hAnsi="Times New Roman"/>
          <w:sz w:val="24"/>
          <w:szCs w:val="24"/>
          <w:lang w:val="en-US"/>
        </w:rPr>
        <w:t xml:space="preserve">was, </w:t>
      </w:r>
      <w:r w:rsidR="001610B7">
        <w:rPr>
          <w:rFonts w:ascii="Times New Roman" w:hAnsi="Times New Roman"/>
          <w:sz w:val="24"/>
          <w:szCs w:val="24"/>
          <w:lang w:val="en-US"/>
        </w:rPr>
        <w:t xml:space="preserve">where it deemed it so, to show the </w:t>
      </w:r>
      <w:r>
        <w:rPr>
          <w:rFonts w:ascii="Times New Roman" w:hAnsi="Times New Roman"/>
          <w:sz w:val="24"/>
          <w:szCs w:val="24"/>
          <w:lang w:val="en-US"/>
        </w:rPr>
        <w:t>absence of any such</w:t>
      </w:r>
      <w:r w:rsidR="001610B7">
        <w:rPr>
          <w:rFonts w:ascii="Times New Roman" w:hAnsi="Times New Roman"/>
          <w:sz w:val="24"/>
          <w:szCs w:val="24"/>
          <w:lang w:val="en-US"/>
        </w:rPr>
        <w:t xml:space="preserve"> extenuati</w:t>
      </w:r>
      <w:r>
        <w:rPr>
          <w:rFonts w:ascii="Times New Roman" w:hAnsi="Times New Roman"/>
          <w:sz w:val="24"/>
          <w:szCs w:val="24"/>
          <w:lang w:val="en-US"/>
        </w:rPr>
        <w:t>on</w:t>
      </w:r>
      <w:r w:rsidR="001610B7">
        <w:rPr>
          <w:rFonts w:ascii="Times New Roman" w:hAnsi="Times New Roman"/>
          <w:sz w:val="24"/>
          <w:szCs w:val="24"/>
          <w:lang w:val="en-US"/>
        </w:rPr>
        <w:t xml:space="preserve"> and therefore </w:t>
      </w:r>
      <w:r>
        <w:rPr>
          <w:rFonts w:ascii="Times New Roman" w:hAnsi="Times New Roman"/>
          <w:sz w:val="24"/>
          <w:szCs w:val="24"/>
          <w:lang w:val="en-US"/>
        </w:rPr>
        <w:t xml:space="preserve">that </w:t>
      </w:r>
      <w:r w:rsidR="00580612">
        <w:rPr>
          <w:rFonts w:ascii="Times New Roman" w:hAnsi="Times New Roman"/>
          <w:sz w:val="24"/>
          <w:szCs w:val="24"/>
          <w:lang w:val="en-US"/>
        </w:rPr>
        <w:t>the case warranted the imposition of the punishment of death</w:t>
      </w:r>
      <w:r w:rsidR="00A61FA2">
        <w:rPr>
          <w:rFonts w:ascii="Times New Roman" w:hAnsi="Times New Roman"/>
          <w:sz w:val="24"/>
          <w:szCs w:val="24"/>
          <w:lang w:val="en-US"/>
        </w:rPr>
        <w:t xml:space="preserve"> </w:t>
      </w:r>
      <w:r w:rsidR="00580612">
        <w:rPr>
          <w:rFonts w:ascii="Times New Roman" w:hAnsi="Times New Roman"/>
          <w:sz w:val="24"/>
          <w:szCs w:val="24"/>
          <w:lang w:val="en-US"/>
        </w:rPr>
        <w:t xml:space="preserve">on the offender. </w:t>
      </w:r>
    </w:p>
    <w:p w14:paraId="2E38F27B" w14:textId="72508A24" w:rsidR="00580612" w:rsidRDefault="00733B06"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As stated above, t</w:t>
      </w:r>
      <w:r w:rsidR="00580612">
        <w:rPr>
          <w:rFonts w:ascii="Times New Roman" w:hAnsi="Times New Roman"/>
          <w:sz w:val="24"/>
          <w:szCs w:val="24"/>
          <w:lang w:val="en-US"/>
        </w:rPr>
        <w:t>he new practice ushered in the concept of aggravating circumstances</w:t>
      </w:r>
      <w:r w:rsidR="008A687E">
        <w:rPr>
          <w:rFonts w:ascii="Times New Roman" w:hAnsi="Times New Roman"/>
          <w:sz w:val="24"/>
          <w:szCs w:val="24"/>
          <w:lang w:val="en-US"/>
        </w:rPr>
        <w:t>,</w:t>
      </w:r>
      <w:r w:rsidR="00580612">
        <w:rPr>
          <w:rFonts w:ascii="Times New Roman" w:hAnsi="Times New Roman"/>
          <w:sz w:val="24"/>
          <w:szCs w:val="24"/>
          <w:lang w:val="en-US"/>
        </w:rPr>
        <w:t xml:space="preserve"> where prosecution is expected to do no more than point to the existence of one or more predetermined factors which are called aggravating circumstances. Although the law says a court can find more on its own initiative, several of those factors are listed in s 47(2) and (3) of the Code. </w:t>
      </w:r>
      <w:r w:rsidR="0003706F">
        <w:rPr>
          <w:rFonts w:ascii="Times New Roman" w:hAnsi="Times New Roman"/>
          <w:sz w:val="24"/>
          <w:szCs w:val="24"/>
          <w:lang w:val="en-US"/>
        </w:rPr>
        <w:t xml:space="preserve">The prosecutor’s task is therefore to simply rummage through the list, find the aggravating circumstances that relate to the case before the court and direct the court’s eyes to it. </w:t>
      </w:r>
      <w:r w:rsidR="00580612">
        <w:rPr>
          <w:rFonts w:ascii="Times New Roman" w:hAnsi="Times New Roman"/>
          <w:sz w:val="24"/>
          <w:szCs w:val="24"/>
          <w:lang w:val="en-US"/>
        </w:rPr>
        <w:t xml:space="preserve">Plainly </w:t>
      </w:r>
      <w:r w:rsidR="004E1AA1">
        <w:rPr>
          <w:rFonts w:ascii="Times New Roman" w:hAnsi="Times New Roman"/>
          <w:sz w:val="24"/>
          <w:szCs w:val="24"/>
          <w:lang w:val="en-US"/>
        </w:rPr>
        <w:t>put, and</w:t>
      </w:r>
      <w:r w:rsidR="0003706F">
        <w:rPr>
          <w:rFonts w:ascii="Times New Roman" w:hAnsi="Times New Roman"/>
          <w:sz w:val="24"/>
          <w:szCs w:val="24"/>
          <w:lang w:val="en-US"/>
        </w:rPr>
        <w:t xml:space="preserve"> as can be noted from the statutory list already referred to, </w:t>
      </w:r>
      <w:r w:rsidR="00580612">
        <w:rPr>
          <w:rFonts w:ascii="Times New Roman" w:hAnsi="Times New Roman"/>
          <w:sz w:val="24"/>
          <w:szCs w:val="24"/>
          <w:lang w:val="en-US"/>
        </w:rPr>
        <w:t xml:space="preserve">aggravating circumstances simply refer to those factors which serve to increase the severity of a criminal act or the culpability or moral blameworthiness of an offender. They are the direct opposite of what used to be called extenuating circumstances. </w:t>
      </w:r>
    </w:p>
    <w:p w14:paraId="6515D5B7" w14:textId="74A0ACEA" w:rsidR="00580612" w:rsidRDefault="00580612"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4E1AA1">
        <w:rPr>
          <w:rFonts w:ascii="Times New Roman" w:hAnsi="Times New Roman"/>
          <w:sz w:val="24"/>
          <w:szCs w:val="24"/>
          <w:lang w:val="en-US"/>
        </w:rPr>
        <w:t>F</w:t>
      </w:r>
      <w:r>
        <w:rPr>
          <w:rFonts w:ascii="Times New Roman" w:hAnsi="Times New Roman"/>
          <w:sz w:val="24"/>
          <w:szCs w:val="24"/>
          <w:lang w:val="en-US"/>
        </w:rPr>
        <w:t>or the above reason</w:t>
      </w:r>
      <w:r w:rsidR="004E1AA1">
        <w:rPr>
          <w:rFonts w:ascii="Times New Roman" w:hAnsi="Times New Roman"/>
          <w:sz w:val="24"/>
          <w:szCs w:val="24"/>
          <w:lang w:val="en-US"/>
        </w:rPr>
        <w:t>,</w:t>
      </w:r>
      <w:r>
        <w:rPr>
          <w:rFonts w:ascii="Times New Roman" w:hAnsi="Times New Roman"/>
          <w:sz w:val="24"/>
          <w:szCs w:val="24"/>
          <w:lang w:val="en-US"/>
        </w:rPr>
        <w:t xml:space="preserve"> this court has said that it is not possible for a</w:t>
      </w:r>
      <w:r w:rsidR="004E1AA1">
        <w:rPr>
          <w:rFonts w:ascii="Times New Roman" w:hAnsi="Times New Roman"/>
          <w:sz w:val="24"/>
          <w:szCs w:val="24"/>
          <w:lang w:val="en-US"/>
        </w:rPr>
        <w:t>ny</w:t>
      </w:r>
      <w:r>
        <w:rPr>
          <w:rFonts w:ascii="Times New Roman" w:hAnsi="Times New Roman"/>
          <w:sz w:val="24"/>
          <w:szCs w:val="24"/>
          <w:lang w:val="en-US"/>
        </w:rPr>
        <w:t xml:space="preserve"> court to assess an appropriate sentence in cases of murder without a prior determination of the existence or absence of aggravating circumstances. </w:t>
      </w:r>
    </w:p>
    <w:p w14:paraId="0FCB27E0" w14:textId="13339CF4" w:rsidR="00F84DB6" w:rsidRDefault="00580612"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two </w:t>
      </w:r>
      <w:r w:rsidR="00F44C9D">
        <w:rPr>
          <w:rFonts w:ascii="Times New Roman" w:hAnsi="Times New Roman"/>
          <w:sz w:val="24"/>
          <w:szCs w:val="24"/>
          <w:lang w:val="en-US"/>
        </w:rPr>
        <w:t>offenders</w:t>
      </w:r>
      <w:r>
        <w:rPr>
          <w:rFonts w:ascii="Times New Roman" w:hAnsi="Times New Roman"/>
          <w:sz w:val="24"/>
          <w:szCs w:val="24"/>
          <w:lang w:val="en-US"/>
        </w:rPr>
        <w:t xml:space="preserve"> in this case killed their father</w:t>
      </w:r>
      <w:r w:rsidR="004E1AA1">
        <w:rPr>
          <w:rFonts w:ascii="Times New Roman" w:hAnsi="Times New Roman"/>
          <w:sz w:val="24"/>
          <w:szCs w:val="24"/>
          <w:lang w:val="en-US"/>
        </w:rPr>
        <w:t xml:space="preserve">, </w:t>
      </w:r>
      <w:r>
        <w:rPr>
          <w:rFonts w:ascii="Times New Roman" w:hAnsi="Times New Roman"/>
          <w:sz w:val="24"/>
          <w:szCs w:val="24"/>
          <w:lang w:val="en-US"/>
        </w:rPr>
        <w:t xml:space="preserve">Zivanai Kagoro. They accused him of </w:t>
      </w:r>
      <w:r w:rsidR="00F44C9D">
        <w:rPr>
          <w:rFonts w:ascii="Times New Roman" w:hAnsi="Times New Roman"/>
          <w:sz w:val="24"/>
          <w:szCs w:val="24"/>
          <w:lang w:val="en-US"/>
        </w:rPr>
        <w:t xml:space="preserve">favoritism. In their eyes, he loved their younger brother called Kaphas more than he loved the two of them. Things got heated on the fateful day. The two teamed up to assault the deceased by tripping him to the ground, sitting astride his chest, throttling him and banging his head to the ground. The brawl took place just after dusk. The next morning the father was rushed to hospital where he died a few days later. The assailants were charged with murder in contravention of s 47(1) of the Code. They denied the charges when their trial commenced. We </w:t>
      </w:r>
      <w:r w:rsidR="004E1AA1">
        <w:rPr>
          <w:rFonts w:ascii="Times New Roman" w:hAnsi="Times New Roman"/>
          <w:sz w:val="24"/>
          <w:szCs w:val="24"/>
          <w:lang w:val="en-US"/>
        </w:rPr>
        <w:t xml:space="preserve">were </w:t>
      </w:r>
      <w:r w:rsidR="00F44C9D">
        <w:rPr>
          <w:rFonts w:ascii="Times New Roman" w:hAnsi="Times New Roman"/>
          <w:sz w:val="24"/>
          <w:szCs w:val="24"/>
          <w:lang w:val="en-US"/>
        </w:rPr>
        <w:t>however</w:t>
      </w:r>
      <w:r w:rsidR="004E1AA1">
        <w:rPr>
          <w:rFonts w:ascii="Times New Roman" w:hAnsi="Times New Roman"/>
          <w:sz w:val="24"/>
          <w:szCs w:val="24"/>
          <w:lang w:val="en-US"/>
        </w:rPr>
        <w:t xml:space="preserve"> </w:t>
      </w:r>
      <w:r w:rsidR="00F44C9D">
        <w:rPr>
          <w:rFonts w:ascii="Times New Roman" w:hAnsi="Times New Roman"/>
          <w:sz w:val="24"/>
          <w:szCs w:val="24"/>
          <w:lang w:val="en-US"/>
        </w:rPr>
        <w:t xml:space="preserve">convinced that their defences were palpably false and that the prosecution had managed to prove its case beyond reasonable doubt. We accordingly convicted them. </w:t>
      </w:r>
    </w:p>
    <w:p w14:paraId="39DC4B21" w14:textId="30CE164C" w:rsidR="00F84DB6" w:rsidRPr="00F84DB6" w:rsidRDefault="00F44C9D" w:rsidP="008C15CC">
      <w:pPr>
        <w:pStyle w:val="ListParagraph"/>
        <w:numPr>
          <w:ilvl w:val="0"/>
          <w:numId w:val="1"/>
        </w:numPr>
        <w:spacing w:line="360" w:lineRule="auto"/>
        <w:jc w:val="both"/>
        <w:rPr>
          <w:rFonts w:ascii="Times New Roman" w:hAnsi="Times New Roman"/>
          <w:sz w:val="24"/>
          <w:szCs w:val="24"/>
          <w:lang w:val="en-US"/>
        </w:rPr>
      </w:pPr>
      <w:r w:rsidRPr="00F84DB6">
        <w:rPr>
          <w:rFonts w:ascii="Times New Roman" w:hAnsi="Times New Roman"/>
          <w:sz w:val="24"/>
          <w:szCs w:val="24"/>
          <w:lang w:val="en-US"/>
        </w:rPr>
        <w:t xml:space="preserve">At the pre-sentencing hearing </w:t>
      </w:r>
      <w:r w:rsidR="00C316D1" w:rsidRPr="00F84DB6">
        <w:rPr>
          <w:rFonts w:ascii="Times New Roman" w:hAnsi="Times New Roman"/>
          <w:sz w:val="24"/>
          <w:szCs w:val="24"/>
          <w:lang w:val="en-US"/>
        </w:rPr>
        <w:t>stage</w:t>
      </w:r>
      <w:r w:rsidR="004E1AA1">
        <w:rPr>
          <w:rFonts w:ascii="Times New Roman" w:hAnsi="Times New Roman"/>
          <w:sz w:val="24"/>
          <w:szCs w:val="24"/>
          <w:lang w:val="en-US"/>
        </w:rPr>
        <w:t>,</w:t>
      </w:r>
      <w:r w:rsidR="00C316D1" w:rsidRPr="00F84DB6">
        <w:rPr>
          <w:rFonts w:ascii="Times New Roman" w:hAnsi="Times New Roman"/>
          <w:sz w:val="24"/>
          <w:szCs w:val="24"/>
          <w:lang w:val="en-US"/>
        </w:rPr>
        <w:t xml:space="preserve"> both </w:t>
      </w:r>
      <w:r w:rsidRPr="00F84DB6">
        <w:rPr>
          <w:rFonts w:ascii="Times New Roman" w:hAnsi="Times New Roman"/>
          <w:sz w:val="24"/>
          <w:szCs w:val="24"/>
          <w:lang w:val="en-US"/>
        </w:rPr>
        <w:t xml:space="preserve">counsel for the offenders </w:t>
      </w:r>
      <w:r w:rsidR="00C316D1" w:rsidRPr="00F84DB6">
        <w:rPr>
          <w:rFonts w:ascii="Times New Roman" w:hAnsi="Times New Roman"/>
          <w:sz w:val="24"/>
          <w:szCs w:val="24"/>
          <w:lang w:val="en-US"/>
        </w:rPr>
        <w:t xml:space="preserve">completely neglected to deal with the question of whether or not there were aggravating factors in this murder. They both concentrated on the personal circumstances of the offenders. </w:t>
      </w:r>
      <w:r w:rsidR="00F84DB6">
        <w:rPr>
          <w:rFonts w:ascii="Times New Roman" w:hAnsi="Times New Roman"/>
          <w:sz w:val="24"/>
          <w:szCs w:val="24"/>
          <w:lang w:val="en-US"/>
        </w:rPr>
        <w:lastRenderedPageBreak/>
        <w:t xml:space="preserve">Even then they omitted crucial aspects. </w:t>
      </w:r>
      <w:r w:rsidR="00C316D1" w:rsidRPr="00F84DB6">
        <w:rPr>
          <w:rFonts w:ascii="Times New Roman" w:hAnsi="Times New Roman"/>
          <w:sz w:val="24"/>
          <w:szCs w:val="24"/>
          <w:lang w:val="en-US"/>
        </w:rPr>
        <w:t xml:space="preserve">Whilst </w:t>
      </w:r>
      <w:r w:rsidR="00F84DB6">
        <w:rPr>
          <w:rFonts w:ascii="Times New Roman" w:hAnsi="Times New Roman"/>
          <w:sz w:val="24"/>
          <w:szCs w:val="24"/>
          <w:lang w:val="en-US"/>
        </w:rPr>
        <w:t>what they stated was</w:t>
      </w:r>
      <w:r w:rsidR="00C316D1" w:rsidRPr="00F84DB6">
        <w:rPr>
          <w:rFonts w:ascii="Times New Roman" w:hAnsi="Times New Roman"/>
          <w:sz w:val="24"/>
          <w:szCs w:val="24"/>
          <w:lang w:val="en-US"/>
        </w:rPr>
        <w:t xml:space="preserve"> necessary, the provisions of the sentencing guidelines must always be borne in mind. S 12 thereof provides that prior to sentencing an offender, a court shall inquire into and investigate the characteristics of the offender including his or her social background; the characteristics of the victim(s) of the offence including the impact of the offence on the victim(s); the probability of the offender reoffending; the desirability or need to protect the victim(s) or society from the offender  </w:t>
      </w:r>
      <w:r w:rsidRPr="00F84DB6">
        <w:rPr>
          <w:rFonts w:ascii="Times New Roman" w:hAnsi="Times New Roman"/>
          <w:sz w:val="24"/>
          <w:szCs w:val="24"/>
          <w:lang w:val="en-US"/>
        </w:rPr>
        <w:t xml:space="preserve"> </w:t>
      </w:r>
      <w:r w:rsidR="00F84DB6" w:rsidRPr="00F84DB6">
        <w:rPr>
          <w:rFonts w:ascii="Times New Roman" w:hAnsi="Times New Roman"/>
          <w:sz w:val="24"/>
          <w:szCs w:val="24"/>
          <w:lang w:val="en-US"/>
        </w:rPr>
        <w:t xml:space="preserve">among other considerations. It need not be emphasised that inquiring into and investigating the issues stated is not discretionary. It is mandatory. The rationale for making the inquiry peremptory were stated by this court in </w:t>
      </w:r>
      <w:r w:rsidR="00F84DB6" w:rsidRPr="00F84DB6">
        <w:rPr>
          <w:rFonts w:ascii="Times New Roman" w:hAnsi="Times New Roman"/>
          <w:i/>
          <w:iCs/>
          <w:sz w:val="24"/>
          <w:szCs w:val="24"/>
          <w:lang w:val="en-US"/>
        </w:rPr>
        <w:t xml:space="preserve">S </w:t>
      </w:r>
      <w:r w:rsidR="00F84DB6" w:rsidRPr="008118E1">
        <w:rPr>
          <w:rFonts w:ascii="Times New Roman" w:hAnsi="Times New Roman"/>
          <w:sz w:val="24"/>
          <w:szCs w:val="24"/>
          <w:lang w:val="en-US"/>
        </w:rPr>
        <w:t>v</w:t>
      </w:r>
      <w:r w:rsidR="00F84DB6" w:rsidRPr="00F84DB6">
        <w:rPr>
          <w:rFonts w:ascii="Times New Roman" w:hAnsi="Times New Roman"/>
          <w:i/>
          <w:iCs/>
          <w:sz w:val="24"/>
          <w:szCs w:val="24"/>
          <w:lang w:val="en-US"/>
        </w:rPr>
        <w:t xml:space="preserve"> Blessed Sixpence and Others</w:t>
      </w:r>
      <w:r w:rsidR="008C15CC">
        <w:rPr>
          <w:rFonts w:ascii="Times New Roman" w:hAnsi="Times New Roman"/>
          <w:sz w:val="24"/>
          <w:szCs w:val="24"/>
          <w:lang w:val="en-US"/>
        </w:rPr>
        <w:t xml:space="preserve"> HH 567/23</w:t>
      </w:r>
    </w:p>
    <w:p w14:paraId="51AF9959" w14:textId="6FF7DFC4" w:rsidR="006A25AF" w:rsidRDefault="00F84DB6"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Like in all cases</w:t>
      </w:r>
      <w:r w:rsidR="004E1AA1">
        <w:rPr>
          <w:rFonts w:ascii="Times New Roman" w:hAnsi="Times New Roman"/>
          <w:sz w:val="24"/>
          <w:szCs w:val="24"/>
          <w:lang w:val="en-US"/>
        </w:rPr>
        <w:t>,</w:t>
      </w:r>
      <w:r>
        <w:rPr>
          <w:rFonts w:ascii="Times New Roman" w:hAnsi="Times New Roman"/>
          <w:sz w:val="24"/>
          <w:szCs w:val="24"/>
          <w:lang w:val="en-US"/>
        </w:rPr>
        <w:t xml:space="preserve"> the investigation and the inquiry expected of the court when dealing with unrepresented litigants is different from the approach it takes where an offender is represented by a legal practitioner. In the former instance, the court takes it upon itself to exhaust the stated considerations. In the latter though, it is the legal practitioner who must present those issues to the court. We were advised</w:t>
      </w:r>
      <w:r w:rsidR="00C70211">
        <w:rPr>
          <w:rFonts w:ascii="Times New Roman" w:hAnsi="Times New Roman"/>
          <w:sz w:val="24"/>
          <w:szCs w:val="24"/>
          <w:lang w:val="en-US"/>
        </w:rPr>
        <w:t xml:space="preserve"> that the second offender Brian has no formal education to talk of; he has no family in that he is single and has no children or any one else dependent on him. Counsel said he was very remorseful and amenable to undergo rehabilitation. T</w:t>
      </w:r>
      <w:r>
        <w:rPr>
          <w:rFonts w:ascii="Times New Roman" w:hAnsi="Times New Roman"/>
          <w:sz w:val="24"/>
          <w:szCs w:val="24"/>
          <w:lang w:val="en-US"/>
        </w:rPr>
        <w:t xml:space="preserve">he social background of </w:t>
      </w:r>
      <w:r w:rsidR="00C70211">
        <w:rPr>
          <w:rFonts w:ascii="Times New Roman" w:hAnsi="Times New Roman"/>
          <w:sz w:val="24"/>
          <w:szCs w:val="24"/>
          <w:lang w:val="en-US"/>
        </w:rPr>
        <w:t xml:space="preserve">the first </w:t>
      </w:r>
      <w:r>
        <w:rPr>
          <w:rFonts w:ascii="Times New Roman" w:hAnsi="Times New Roman"/>
          <w:sz w:val="24"/>
          <w:szCs w:val="24"/>
          <w:lang w:val="en-US"/>
        </w:rPr>
        <w:t>offender</w:t>
      </w:r>
      <w:r w:rsidR="00C70211">
        <w:rPr>
          <w:rFonts w:ascii="Times New Roman" w:hAnsi="Times New Roman"/>
          <w:sz w:val="24"/>
          <w:szCs w:val="24"/>
          <w:lang w:val="en-US"/>
        </w:rPr>
        <w:t xml:space="preserve"> Eric was not disclosed to us</w:t>
      </w:r>
      <w:r w:rsidR="00CD6552">
        <w:rPr>
          <w:rFonts w:ascii="Times New Roman" w:hAnsi="Times New Roman"/>
          <w:sz w:val="24"/>
          <w:szCs w:val="24"/>
          <w:lang w:val="en-US"/>
        </w:rPr>
        <w:t xml:space="preserve"> by counsel. It was only through the prosecutor’s submissions that we learnt that he is a married man with a wife and one child. </w:t>
      </w:r>
      <w:r w:rsidR="00C70211">
        <w:rPr>
          <w:rFonts w:ascii="Times New Roman" w:hAnsi="Times New Roman"/>
          <w:sz w:val="24"/>
          <w:szCs w:val="24"/>
          <w:lang w:val="en-US"/>
        </w:rPr>
        <w:t xml:space="preserve">We were also told </w:t>
      </w:r>
      <w:r>
        <w:rPr>
          <w:rFonts w:ascii="Times New Roman" w:hAnsi="Times New Roman"/>
          <w:sz w:val="24"/>
          <w:szCs w:val="24"/>
          <w:lang w:val="en-US"/>
        </w:rPr>
        <w:t xml:space="preserve">that both </w:t>
      </w:r>
      <w:r w:rsidR="00C70211">
        <w:rPr>
          <w:rFonts w:ascii="Times New Roman" w:hAnsi="Times New Roman"/>
          <w:sz w:val="24"/>
          <w:szCs w:val="24"/>
          <w:lang w:val="en-US"/>
        </w:rPr>
        <w:t xml:space="preserve">of them are </w:t>
      </w:r>
      <w:r>
        <w:rPr>
          <w:rFonts w:ascii="Times New Roman" w:hAnsi="Times New Roman"/>
          <w:sz w:val="24"/>
          <w:szCs w:val="24"/>
          <w:lang w:val="en-US"/>
        </w:rPr>
        <w:t xml:space="preserve">youthful first offenders aged </w:t>
      </w:r>
      <w:r w:rsidR="00C70211">
        <w:rPr>
          <w:rFonts w:ascii="Times New Roman" w:hAnsi="Times New Roman"/>
          <w:sz w:val="24"/>
          <w:szCs w:val="24"/>
          <w:lang w:val="en-US"/>
        </w:rPr>
        <w:t>thirty years and twenty</w:t>
      </w:r>
      <w:r w:rsidR="008118E1">
        <w:rPr>
          <w:rFonts w:ascii="Times New Roman" w:hAnsi="Times New Roman"/>
          <w:sz w:val="24"/>
          <w:szCs w:val="24"/>
          <w:lang w:val="en-US"/>
        </w:rPr>
        <w:t xml:space="preserve"> </w:t>
      </w:r>
      <w:r w:rsidR="00C70211">
        <w:rPr>
          <w:rFonts w:ascii="Times New Roman" w:hAnsi="Times New Roman"/>
          <w:sz w:val="24"/>
          <w:szCs w:val="24"/>
          <w:lang w:val="en-US"/>
        </w:rPr>
        <w:t xml:space="preserve">- seven years respectively. They were each about two years younger than that at the time the murder occurred. </w:t>
      </w:r>
    </w:p>
    <w:p w14:paraId="7226052C" w14:textId="545C2D75" w:rsidR="006A25AF" w:rsidRPr="008C15CC" w:rsidRDefault="00CD6552" w:rsidP="008C15CC">
      <w:pPr>
        <w:pStyle w:val="ListParagraph"/>
        <w:numPr>
          <w:ilvl w:val="0"/>
          <w:numId w:val="1"/>
        </w:numPr>
        <w:spacing w:line="360" w:lineRule="auto"/>
        <w:jc w:val="both"/>
        <w:rPr>
          <w:rFonts w:ascii="Times New Roman" w:hAnsi="Times New Roman" w:cs="Times New Roman"/>
          <w:sz w:val="24"/>
          <w:szCs w:val="24"/>
          <w:lang w:val="en-US"/>
        </w:rPr>
      </w:pPr>
      <w:r w:rsidRPr="006A25AF">
        <w:rPr>
          <w:rFonts w:ascii="Times New Roman" w:hAnsi="Times New Roman" w:cs="Times New Roman"/>
          <w:sz w:val="24"/>
          <w:szCs w:val="24"/>
          <w:lang w:val="en-US"/>
        </w:rPr>
        <w:t xml:space="preserve">In utter contrast to the somewhat cursory approach taken by the legal practitioners, the prosecutor was thorough in his submissions to the court. He commenced by </w:t>
      </w:r>
      <w:r w:rsidR="004E1AA1">
        <w:rPr>
          <w:rFonts w:ascii="Times New Roman" w:hAnsi="Times New Roman" w:cs="Times New Roman"/>
          <w:sz w:val="24"/>
          <w:szCs w:val="24"/>
          <w:lang w:val="en-US"/>
        </w:rPr>
        <w:t xml:space="preserve">illustrating to the court the existence of aggravating circumstances in this case. </w:t>
      </w:r>
      <w:r w:rsidR="00DD250B">
        <w:rPr>
          <w:rFonts w:ascii="Times New Roman" w:hAnsi="Times New Roman" w:cs="Times New Roman"/>
          <w:sz w:val="24"/>
          <w:szCs w:val="24"/>
          <w:lang w:val="en-US"/>
        </w:rPr>
        <w:t>H</w:t>
      </w:r>
      <w:r w:rsidR="004E1AA1">
        <w:rPr>
          <w:rFonts w:ascii="Times New Roman" w:hAnsi="Times New Roman" w:cs="Times New Roman"/>
          <w:sz w:val="24"/>
          <w:szCs w:val="24"/>
          <w:lang w:val="en-US"/>
        </w:rPr>
        <w:t>e argued</w:t>
      </w:r>
      <w:r w:rsidRPr="006A25AF">
        <w:rPr>
          <w:rFonts w:ascii="Times New Roman" w:hAnsi="Times New Roman" w:cs="Times New Roman"/>
          <w:sz w:val="24"/>
          <w:szCs w:val="24"/>
          <w:lang w:val="en-US"/>
        </w:rPr>
        <w:t xml:space="preserve"> that the two offenders possibly fell into a category which a psychologist called</w:t>
      </w:r>
      <w:r w:rsidRPr="006A25AF">
        <w:rPr>
          <w:rFonts w:ascii="Times New Roman" w:hAnsi="Times New Roman" w:cs="Times New Roman"/>
          <w:sz w:val="24"/>
          <w:szCs w:val="24"/>
        </w:rPr>
        <w:t xml:space="preserve"> Dr. Kathleen M. Heide, in her article, </w:t>
      </w:r>
      <w:r w:rsidRPr="006A25AF">
        <w:rPr>
          <w:rFonts w:ascii="Times New Roman" w:hAnsi="Times New Roman" w:cs="Times New Roman"/>
          <w:i/>
          <w:iCs/>
          <w:sz w:val="24"/>
          <w:szCs w:val="24"/>
        </w:rPr>
        <w:t>Matricide: A Critique of the Literature,</w:t>
      </w:r>
      <w:r w:rsidRPr="006A25AF">
        <w:rPr>
          <w:rFonts w:ascii="Times New Roman" w:hAnsi="Times New Roman" w:cs="Times New Roman"/>
          <w:sz w:val="24"/>
          <w:szCs w:val="24"/>
        </w:rPr>
        <w:t xml:space="preserve"> </w:t>
      </w:r>
      <w:r w:rsidR="00556EFB" w:rsidRPr="006A25AF">
        <w:rPr>
          <w:rFonts w:ascii="Times New Roman" w:hAnsi="Times New Roman" w:cs="Times New Roman"/>
          <w:sz w:val="24"/>
          <w:szCs w:val="24"/>
        </w:rPr>
        <w:t xml:space="preserve">which was </w:t>
      </w:r>
      <w:r w:rsidR="009E31DD" w:rsidRPr="006A25AF">
        <w:rPr>
          <w:rFonts w:ascii="Times New Roman" w:hAnsi="Times New Roman" w:cs="Times New Roman"/>
          <w:sz w:val="24"/>
          <w:szCs w:val="24"/>
        </w:rPr>
        <w:t>quoted with approval in the case of</w:t>
      </w:r>
      <w:r w:rsidR="009E31DD" w:rsidRPr="006A25AF">
        <w:rPr>
          <w:rFonts w:ascii="Times New Roman" w:hAnsi="Times New Roman" w:cs="Times New Roman"/>
          <w:i/>
          <w:iCs/>
          <w:sz w:val="24"/>
          <w:szCs w:val="24"/>
        </w:rPr>
        <w:t xml:space="preserve"> State </w:t>
      </w:r>
      <w:r w:rsidR="009E31DD" w:rsidRPr="008118E1">
        <w:rPr>
          <w:rFonts w:ascii="Times New Roman" w:hAnsi="Times New Roman" w:cs="Times New Roman"/>
          <w:sz w:val="24"/>
          <w:szCs w:val="24"/>
        </w:rPr>
        <w:t>v</w:t>
      </w:r>
      <w:r w:rsidR="009E31DD" w:rsidRPr="006A25AF">
        <w:rPr>
          <w:rFonts w:ascii="Times New Roman" w:hAnsi="Times New Roman" w:cs="Times New Roman"/>
          <w:i/>
          <w:iCs/>
          <w:sz w:val="24"/>
          <w:szCs w:val="24"/>
        </w:rPr>
        <w:t xml:space="preserve"> Patrick Mapita</w:t>
      </w:r>
      <w:r w:rsidR="009E31DD" w:rsidRPr="006A25AF">
        <w:rPr>
          <w:rFonts w:ascii="Times New Roman" w:hAnsi="Times New Roman" w:cs="Times New Roman"/>
          <w:sz w:val="24"/>
          <w:szCs w:val="24"/>
        </w:rPr>
        <w:t xml:space="preserve">, HH 113/18 at p. 3 termed the Dangerously Anti-social Child (DAC). In general, so the argument </w:t>
      </w:r>
      <w:r w:rsidR="00556EFB" w:rsidRPr="006A25AF">
        <w:rPr>
          <w:rFonts w:ascii="Times New Roman" w:hAnsi="Times New Roman" w:cs="Times New Roman"/>
          <w:sz w:val="24"/>
          <w:szCs w:val="24"/>
        </w:rPr>
        <w:t>went, such</w:t>
      </w:r>
      <w:r w:rsidR="009E31DD" w:rsidRPr="006A25AF">
        <w:rPr>
          <w:rFonts w:ascii="Times New Roman" w:hAnsi="Times New Roman" w:cs="Times New Roman"/>
          <w:sz w:val="24"/>
          <w:szCs w:val="24"/>
        </w:rPr>
        <w:t xml:space="preserve"> children may kill their parent in furtherance of their own goals. They view the parent as an obstacle in their path to getting what they want.  For instance, they may kill the parent in order to have more freedom, or to inherit money they believe is </w:t>
      </w:r>
      <w:r w:rsidR="009E31DD" w:rsidRPr="008C15CC">
        <w:rPr>
          <w:rFonts w:ascii="Times New Roman" w:hAnsi="Times New Roman" w:cs="Times New Roman"/>
          <w:sz w:val="24"/>
          <w:szCs w:val="24"/>
        </w:rPr>
        <w:t xml:space="preserve">eventually coming </w:t>
      </w:r>
      <w:r w:rsidR="009E31DD" w:rsidRPr="008C15CC">
        <w:rPr>
          <w:rFonts w:ascii="Times New Roman" w:hAnsi="Times New Roman" w:cs="Times New Roman"/>
          <w:sz w:val="24"/>
          <w:szCs w:val="24"/>
        </w:rPr>
        <w:lastRenderedPageBreak/>
        <w:t xml:space="preserve">to them. In </w:t>
      </w:r>
      <w:r w:rsidR="00556EFB" w:rsidRPr="008C15CC">
        <w:rPr>
          <w:rFonts w:ascii="Times New Roman" w:hAnsi="Times New Roman" w:cs="Times New Roman"/>
          <w:sz w:val="24"/>
          <w:szCs w:val="24"/>
        </w:rPr>
        <w:t>addition,</w:t>
      </w:r>
      <w:r w:rsidR="009E31DD" w:rsidRPr="008C15CC">
        <w:rPr>
          <w:rFonts w:ascii="Times New Roman" w:hAnsi="Times New Roman" w:cs="Times New Roman"/>
          <w:sz w:val="24"/>
          <w:szCs w:val="24"/>
        </w:rPr>
        <w:t xml:space="preserve"> the children run a pattern of violating the rights of others when it suits them; they defy adults, and do what they want in their own time and terms; they do not accept responsibility for their actions; </w:t>
      </w:r>
      <w:r w:rsidR="00556EFB" w:rsidRPr="008C15CC">
        <w:rPr>
          <w:rFonts w:ascii="Times New Roman" w:hAnsi="Times New Roman" w:cs="Times New Roman"/>
          <w:sz w:val="24"/>
          <w:szCs w:val="24"/>
        </w:rPr>
        <w:t xml:space="preserve">may </w:t>
      </w:r>
      <w:r w:rsidR="009E31DD" w:rsidRPr="008C15CC">
        <w:rPr>
          <w:rFonts w:ascii="Times New Roman" w:hAnsi="Times New Roman" w:cs="Times New Roman"/>
          <w:sz w:val="24"/>
          <w:szCs w:val="24"/>
        </w:rPr>
        <w:t xml:space="preserve">engage in criminal activities such as violence on other people or animals, </w:t>
      </w:r>
      <w:r w:rsidR="00556EFB" w:rsidRPr="008C15CC">
        <w:rPr>
          <w:rFonts w:ascii="Times New Roman" w:hAnsi="Times New Roman" w:cs="Times New Roman"/>
          <w:sz w:val="24"/>
          <w:szCs w:val="24"/>
        </w:rPr>
        <w:t xml:space="preserve">and are generally </w:t>
      </w:r>
      <w:r w:rsidR="009E31DD" w:rsidRPr="008C15CC">
        <w:rPr>
          <w:rFonts w:ascii="Times New Roman" w:hAnsi="Times New Roman" w:cs="Times New Roman"/>
          <w:sz w:val="24"/>
          <w:szCs w:val="24"/>
        </w:rPr>
        <w:t xml:space="preserve">deceitful. </w:t>
      </w:r>
      <w:r w:rsidR="00556EFB" w:rsidRPr="008C15CC">
        <w:rPr>
          <w:rStyle w:val="FootnoteReference"/>
          <w:rFonts w:ascii="Times New Roman" w:hAnsi="Times New Roman" w:cs="Times New Roman"/>
          <w:sz w:val="24"/>
          <w:szCs w:val="24"/>
        </w:rPr>
        <w:footnoteReference w:id="1"/>
      </w:r>
      <w:r w:rsidRPr="008C15CC">
        <w:rPr>
          <w:rFonts w:ascii="Times New Roman" w:hAnsi="Times New Roman" w:cs="Times New Roman"/>
          <w:sz w:val="24"/>
          <w:szCs w:val="24"/>
        </w:rPr>
        <w:t xml:space="preserve"> </w:t>
      </w:r>
      <w:r w:rsidR="00556EFB" w:rsidRPr="008C15CC">
        <w:rPr>
          <w:rFonts w:ascii="Times New Roman" w:hAnsi="Times New Roman" w:cs="Times New Roman"/>
          <w:sz w:val="24"/>
          <w:szCs w:val="24"/>
        </w:rPr>
        <w:t xml:space="preserve">The prosecutor then related these traits to the case at hand. He said </w:t>
      </w:r>
      <w:r w:rsidR="0045184F">
        <w:rPr>
          <w:rFonts w:ascii="Times New Roman" w:hAnsi="Times New Roman" w:cs="Times New Roman"/>
          <w:sz w:val="24"/>
          <w:szCs w:val="24"/>
        </w:rPr>
        <w:t xml:space="preserve">both </w:t>
      </w:r>
      <w:r w:rsidR="00556EFB" w:rsidRPr="008C15CC">
        <w:rPr>
          <w:rFonts w:ascii="Times New Roman" w:hAnsi="Times New Roman" w:cs="Times New Roman"/>
          <w:sz w:val="24"/>
          <w:szCs w:val="24"/>
        </w:rPr>
        <w:t xml:space="preserve">the offenders defied their father; refused to take responsibility of what they did to their parent; they accused him of favouritism; were drunks who were generally violent. Mr </w:t>
      </w:r>
      <w:r w:rsidR="00556EFB" w:rsidRPr="008C15CC">
        <w:rPr>
          <w:rFonts w:ascii="Times New Roman" w:hAnsi="Times New Roman" w:cs="Times New Roman"/>
          <w:i/>
          <w:iCs/>
          <w:sz w:val="24"/>
          <w:szCs w:val="24"/>
        </w:rPr>
        <w:t>Chesa</w:t>
      </w:r>
      <w:r w:rsidR="00556EFB" w:rsidRPr="008C15CC">
        <w:rPr>
          <w:rFonts w:ascii="Times New Roman" w:hAnsi="Times New Roman" w:cs="Times New Roman"/>
          <w:sz w:val="24"/>
          <w:szCs w:val="24"/>
        </w:rPr>
        <w:t xml:space="preserve"> rounded his argument by saying because the law allowed us to extend the considerations listed under s 47</w:t>
      </w:r>
      <w:r w:rsidR="004E1AA1">
        <w:rPr>
          <w:rFonts w:ascii="Times New Roman" w:hAnsi="Times New Roman" w:cs="Times New Roman"/>
          <w:sz w:val="24"/>
          <w:szCs w:val="24"/>
        </w:rPr>
        <w:t>(2) and (3)</w:t>
      </w:r>
      <w:r w:rsidR="00556EFB" w:rsidRPr="008C15CC">
        <w:rPr>
          <w:rFonts w:ascii="Times New Roman" w:hAnsi="Times New Roman" w:cs="Times New Roman"/>
          <w:sz w:val="24"/>
          <w:szCs w:val="24"/>
        </w:rPr>
        <w:t xml:space="preserve"> as constituting aggravation, the court in its discretion</w:t>
      </w:r>
      <w:r w:rsidR="0045184F">
        <w:rPr>
          <w:rFonts w:ascii="Times New Roman" w:hAnsi="Times New Roman" w:cs="Times New Roman"/>
          <w:sz w:val="24"/>
          <w:szCs w:val="24"/>
        </w:rPr>
        <w:t>,</w:t>
      </w:r>
      <w:r w:rsidR="00556EFB" w:rsidRPr="008C15CC">
        <w:rPr>
          <w:rFonts w:ascii="Times New Roman" w:hAnsi="Times New Roman" w:cs="Times New Roman"/>
          <w:sz w:val="24"/>
          <w:szCs w:val="24"/>
        </w:rPr>
        <w:t xml:space="preserve"> could add situations where this kind of behaviour was present </w:t>
      </w:r>
      <w:r w:rsidR="006A25AF" w:rsidRPr="008C15CC">
        <w:rPr>
          <w:rFonts w:ascii="Times New Roman" w:hAnsi="Times New Roman" w:cs="Times New Roman"/>
          <w:sz w:val="24"/>
          <w:szCs w:val="24"/>
        </w:rPr>
        <w:t xml:space="preserve">in an offender </w:t>
      </w:r>
      <w:r w:rsidR="00556EFB" w:rsidRPr="008C15CC">
        <w:rPr>
          <w:rFonts w:ascii="Times New Roman" w:hAnsi="Times New Roman" w:cs="Times New Roman"/>
          <w:sz w:val="24"/>
          <w:szCs w:val="24"/>
        </w:rPr>
        <w:t xml:space="preserve">to the list of aggravating factors. </w:t>
      </w:r>
    </w:p>
    <w:p w14:paraId="2145C11A" w14:textId="67774E7A" w:rsidR="00A61FA2" w:rsidRPr="008C15CC" w:rsidRDefault="00556EFB" w:rsidP="008C15CC">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 xml:space="preserve">We however decline </w:t>
      </w:r>
      <w:r w:rsidR="006A25AF" w:rsidRPr="008C15CC">
        <w:rPr>
          <w:rFonts w:ascii="Times New Roman" w:hAnsi="Times New Roman" w:cs="Times New Roman"/>
          <w:sz w:val="24"/>
          <w:szCs w:val="24"/>
        </w:rPr>
        <w:t>the prosecutor’s</w:t>
      </w:r>
      <w:r w:rsidRPr="008C15CC">
        <w:rPr>
          <w:rFonts w:ascii="Times New Roman" w:hAnsi="Times New Roman" w:cs="Times New Roman"/>
          <w:sz w:val="24"/>
          <w:szCs w:val="24"/>
        </w:rPr>
        <w:t xml:space="preserve"> the invitation</w:t>
      </w:r>
      <w:r w:rsidR="006A25AF" w:rsidRPr="008C15CC">
        <w:rPr>
          <w:rFonts w:ascii="Times New Roman" w:hAnsi="Times New Roman" w:cs="Times New Roman"/>
          <w:sz w:val="24"/>
          <w:szCs w:val="24"/>
        </w:rPr>
        <w:t>, tempting as it is,</w:t>
      </w:r>
      <w:r w:rsidRPr="008C15CC">
        <w:rPr>
          <w:rFonts w:ascii="Times New Roman" w:hAnsi="Times New Roman" w:cs="Times New Roman"/>
          <w:sz w:val="24"/>
          <w:szCs w:val="24"/>
        </w:rPr>
        <w:t xml:space="preserve"> for two reasons. First because </w:t>
      </w:r>
      <w:r w:rsidR="003F7C6B" w:rsidRPr="008C15CC">
        <w:rPr>
          <w:rFonts w:ascii="Times New Roman" w:hAnsi="Times New Roman" w:cs="Times New Roman"/>
          <w:sz w:val="24"/>
          <w:szCs w:val="24"/>
        </w:rPr>
        <w:t xml:space="preserve">the argument appears to be </w:t>
      </w:r>
      <w:r w:rsidR="004E1AA1">
        <w:rPr>
          <w:rFonts w:ascii="Times New Roman" w:hAnsi="Times New Roman" w:cs="Times New Roman"/>
          <w:sz w:val="24"/>
          <w:szCs w:val="24"/>
        </w:rPr>
        <w:t>based on</w:t>
      </w:r>
      <w:r w:rsidR="003F7C6B" w:rsidRPr="008C15CC">
        <w:rPr>
          <w:rFonts w:ascii="Times New Roman" w:hAnsi="Times New Roman" w:cs="Times New Roman"/>
          <w:sz w:val="24"/>
          <w:szCs w:val="24"/>
        </w:rPr>
        <w:t xml:space="preserve"> psycholog</w:t>
      </w:r>
      <w:r w:rsidR="004E1AA1">
        <w:rPr>
          <w:rFonts w:ascii="Times New Roman" w:hAnsi="Times New Roman" w:cs="Times New Roman"/>
          <w:sz w:val="24"/>
          <w:szCs w:val="24"/>
        </w:rPr>
        <w:t>y which</w:t>
      </w:r>
      <w:r w:rsidR="003F7C6B" w:rsidRPr="008C15CC">
        <w:rPr>
          <w:rFonts w:ascii="Times New Roman" w:hAnsi="Times New Roman" w:cs="Times New Roman"/>
          <w:sz w:val="24"/>
          <w:szCs w:val="24"/>
        </w:rPr>
        <w:t xml:space="preserve"> </w:t>
      </w:r>
      <w:r w:rsidR="004E1AA1">
        <w:rPr>
          <w:rFonts w:ascii="Times New Roman" w:hAnsi="Times New Roman" w:cs="Times New Roman"/>
          <w:sz w:val="24"/>
          <w:szCs w:val="24"/>
        </w:rPr>
        <w:t>happens to be</w:t>
      </w:r>
      <w:r w:rsidR="003F7C6B" w:rsidRPr="008C15CC">
        <w:rPr>
          <w:rFonts w:ascii="Times New Roman" w:hAnsi="Times New Roman" w:cs="Times New Roman"/>
          <w:sz w:val="24"/>
          <w:szCs w:val="24"/>
        </w:rPr>
        <w:t xml:space="preserve"> a</w:t>
      </w:r>
      <w:r w:rsidR="004E1AA1">
        <w:rPr>
          <w:rFonts w:ascii="Times New Roman" w:hAnsi="Times New Roman" w:cs="Times New Roman"/>
          <w:sz w:val="24"/>
          <w:szCs w:val="24"/>
        </w:rPr>
        <w:t xml:space="preserve"> subject that is</w:t>
      </w:r>
      <w:r w:rsidR="003F7C6B" w:rsidRPr="008C15CC">
        <w:rPr>
          <w:rFonts w:ascii="Times New Roman" w:hAnsi="Times New Roman" w:cs="Times New Roman"/>
          <w:sz w:val="24"/>
          <w:szCs w:val="24"/>
        </w:rPr>
        <w:t xml:space="preserve"> beyond the court’s expertise. If he wanted it to be so, the prosecutor </w:t>
      </w:r>
      <w:r w:rsidR="004E1AA1">
        <w:rPr>
          <w:rFonts w:ascii="Times New Roman" w:hAnsi="Times New Roman" w:cs="Times New Roman"/>
          <w:sz w:val="24"/>
          <w:szCs w:val="24"/>
        </w:rPr>
        <w:t xml:space="preserve">must have known better. He was required to </w:t>
      </w:r>
      <w:r w:rsidR="004E1AA1" w:rsidRPr="008C15CC">
        <w:rPr>
          <w:rFonts w:ascii="Times New Roman" w:hAnsi="Times New Roman" w:cs="Times New Roman"/>
          <w:sz w:val="24"/>
          <w:szCs w:val="24"/>
        </w:rPr>
        <w:t>have</w:t>
      </w:r>
      <w:r w:rsidR="003F7C6B" w:rsidRPr="008C15CC">
        <w:rPr>
          <w:rFonts w:ascii="Times New Roman" w:hAnsi="Times New Roman" w:cs="Times New Roman"/>
          <w:sz w:val="24"/>
          <w:szCs w:val="24"/>
        </w:rPr>
        <w:t xml:space="preserve"> called a psychologist to explain the issues in detail and educate the court on how and why </w:t>
      </w:r>
      <w:r w:rsidR="006A25AF" w:rsidRPr="008C15CC">
        <w:rPr>
          <w:rFonts w:ascii="Times New Roman" w:hAnsi="Times New Roman" w:cs="Times New Roman"/>
          <w:sz w:val="24"/>
          <w:szCs w:val="24"/>
        </w:rPr>
        <w:t>such factors</w:t>
      </w:r>
      <w:r w:rsidR="003F7C6B" w:rsidRPr="008C15CC">
        <w:rPr>
          <w:rFonts w:ascii="Times New Roman" w:hAnsi="Times New Roman" w:cs="Times New Roman"/>
          <w:sz w:val="24"/>
          <w:szCs w:val="24"/>
        </w:rPr>
        <w:t xml:space="preserve"> must be considered as aggravating the murder. </w:t>
      </w:r>
      <w:r w:rsidRPr="008C15CC">
        <w:rPr>
          <w:rFonts w:ascii="Times New Roman" w:hAnsi="Times New Roman" w:cs="Times New Roman"/>
          <w:sz w:val="24"/>
          <w:szCs w:val="24"/>
        </w:rPr>
        <w:t xml:space="preserve"> </w:t>
      </w:r>
      <w:r w:rsidR="003F7C6B" w:rsidRPr="008C15CC">
        <w:rPr>
          <w:rFonts w:ascii="Times New Roman" w:hAnsi="Times New Roman" w:cs="Times New Roman"/>
          <w:sz w:val="24"/>
          <w:szCs w:val="24"/>
        </w:rPr>
        <w:t>Second, besides the speculative arguments</w:t>
      </w:r>
      <w:r w:rsidR="004E1AA1">
        <w:rPr>
          <w:rFonts w:ascii="Times New Roman" w:hAnsi="Times New Roman" w:cs="Times New Roman"/>
          <w:sz w:val="24"/>
          <w:szCs w:val="24"/>
        </w:rPr>
        <w:t>,</w:t>
      </w:r>
      <w:r w:rsidR="006A25AF" w:rsidRPr="008C15CC">
        <w:rPr>
          <w:rFonts w:ascii="Times New Roman" w:hAnsi="Times New Roman" w:cs="Times New Roman"/>
          <w:sz w:val="24"/>
          <w:szCs w:val="24"/>
        </w:rPr>
        <w:t xml:space="preserve"> there is virtually no evidence that the two offenders are dangerously anti-social men. For now, the court </w:t>
      </w:r>
      <w:r w:rsidR="00E920AC">
        <w:rPr>
          <w:rFonts w:ascii="Times New Roman" w:hAnsi="Times New Roman" w:cs="Times New Roman"/>
          <w:sz w:val="24"/>
          <w:szCs w:val="24"/>
        </w:rPr>
        <w:t xml:space="preserve">therefore </w:t>
      </w:r>
      <w:r w:rsidR="006A25AF" w:rsidRPr="008C15CC">
        <w:rPr>
          <w:rFonts w:ascii="Times New Roman" w:hAnsi="Times New Roman" w:cs="Times New Roman"/>
          <w:sz w:val="24"/>
          <w:szCs w:val="24"/>
        </w:rPr>
        <w:t xml:space="preserve">says no. We </w:t>
      </w:r>
      <w:r w:rsidR="00E920AC">
        <w:rPr>
          <w:rFonts w:ascii="Times New Roman" w:hAnsi="Times New Roman" w:cs="Times New Roman"/>
          <w:sz w:val="24"/>
          <w:szCs w:val="24"/>
        </w:rPr>
        <w:t>opt to</w:t>
      </w:r>
      <w:r w:rsidR="006A25AF" w:rsidRPr="008C15CC">
        <w:rPr>
          <w:rFonts w:ascii="Times New Roman" w:hAnsi="Times New Roman" w:cs="Times New Roman"/>
          <w:sz w:val="24"/>
          <w:szCs w:val="24"/>
        </w:rPr>
        <w:t xml:space="preserve"> leave th</w:t>
      </w:r>
      <w:r w:rsidR="00E920AC">
        <w:rPr>
          <w:rFonts w:ascii="Times New Roman" w:hAnsi="Times New Roman" w:cs="Times New Roman"/>
          <w:sz w:val="24"/>
          <w:szCs w:val="24"/>
        </w:rPr>
        <w:t>e proposition</w:t>
      </w:r>
      <w:r w:rsidR="006A25AF" w:rsidRPr="008C15CC">
        <w:rPr>
          <w:rFonts w:ascii="Times New Roman" w:hAnsi="Times New Roman" w:cs="Times New Roman"/>
          <w:sz w:val="24"/>
          <w:szCs w:val="24"/>
        </w:rPr>
        <w:t xml:space="preserve"> open for consideration in instances where fuller and more informed arguments may be made. </w:t>
      </w:r>
    </w:p>
    <w:p w14:paraId="27233826" w14:textId="1276DEE8" w:rsidR="006A25AF" w:rsidRPr="008C15CC" w:rsidRDefault="006A25AF" w:rsidP="008C15CC">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 xml:space="preserve">In addition to the above argument, the prosecutor also procured victim impact statements from the deceased’s other children namely Primrose Kagoro, Tsungirirai Kagoro and Kaphas Kagoro. Primrose, is the eldest of the children. She has naturally assumed the role of the parent and breadwinner because the deceased left a </w:t>
      </w:r>
      <w:r w:rsidR="00BF73EE" w:rsidRPr="008C15CC">
        <w:rPr>
          <w:rFonts w:ascii="Times New Roman" w:hAnsi="Times New Roman" w:cs="Times New Roman"/>
          <w:sz w:val="24"/>
          <w:szCs w:val="24"/>
        </w:rPr>
        <w:t>five-year-old</w:t>
      </w:r>
      <w:r w:rsidRPr="008C15CC">
        <w:rPr>
          <w:rFonts w:ascii="Times New Roman" w:hAnsi="Times New Roman" w:cs="Times New Roman"/>
          <w:sz w:val="24"/>
          <w:szCs w:val="24"/>
        </w:rPr>
        <w:t xml:space="preserve"> child</w:t>
      </w:r>
      <w:r w:rsidR="00BF73EE" w:rsidRPr="008C15CC">
        <w:rPr>
          <w:rFonts w:ascii="Times New Roman" w:hAnsi="Times New Roman" w:cs="Times New Roman"/>
          <w:sz w:val="24"/>
          <w:szCs w:val="24"/>
        </w:rPr>
        <w:t>. In that statement Promise said although Tsungirirai and Kaphas also assist with other needs she</w:t>
      </w:r>
      <w:r w:rsidRPr="008C15CC">
        <w:rPr>
          <w:rFonts w:ascii="Times New Roman" w:hAnsi="Times New Roman" w:cs="Times New Roman"/>
          <w:sz w:val="24"/>
          <w:szCs w:val="24"/>
        </w:rPr>
        <w:t xml:space="preserve"> </w:t>
      </w:r>
      <w:r w:rsidR="00BF73EE" w:rsidRPr="008C15CC">
        <w:rPr>
          <w:rFonts w:ascii="Times New Roman" w:hAnsi="Times New Roman" w:cs="Times New Roman"/>
          <w:sz w:val="24"/>
          <w:szCs w:val="24"/>
        </w:rPr>
        <w:t>now carries the</w:t>
      </w:r>
      <w:r w:rsidRPr="008C15CC">
        <w:rPr>
          <w:rFonts w:ascii="Times New Roman" w:hAnsi="Times New Roman" w:cs="Times New Roman"/>
          <w:sz w:val="24"/>
          <w:szCs w:val="24"/>
        </w:rPr>
        <w:t xml:space="preserve"> burden</w:t>
      </w:r>
      <w:r w:rsidR="00BF73EE" w:rsidRPr="008C15CC">
        <w:rPr>
          <w:rFonts w:ascii="Times New Roman" w:hAnsi="Times New Roman" w:cs="Times New Roman"/>
          <w:sz w:val="24"/>
          <w:szCs w:val="24"/>
        </w:rPr>
        <w:t xml:space="preserve"> of providing for</w:t>
      </w:r>
      <w:r w:rsidRPr="008C15CC">
        <w:rPr>
          <w:rFonts w:ascii="Times New Roman" w:hAnsi="Times New Roman" w:cs="Times New Roman"/>
          <w:sz w:val="24"/>
          <w:szCs w:val="24"/>
        </w:rPr>
        <w:t xml:space="preserve"> the basic n</w:t>
      </w:r>
      <w:r w:rsidR="00BF73EE" w:rsidRPr="008C15CC">
        <w:rPr>
          <w:rFonts w:ascii="Times New Roman" w:hAnsi="Times New Roman" w:cs="Times New Roman"/>
          <w:sz w:val="24"/>
          <w:szCs w:val="24"/>
        </w:rPr>
        <w:t>ecessities</w:t>
      </w:r>
      <w:r w:rsidRPr="008C15CC">
        <w:rPr>
          <w:rFonts w:ascii="Times New Roman" w:hAnsi="Times New Roman" w:cs="Times New Roman"/>
          <w:sz w:val="24"/>
          <w:szCs w:val="24"/>
        </w:rPr>
        <w:t xml:space="preserve"> of the child. </w:t>
      </w:r>
      <w:r w:rsidR="00BF73EE" w:rsidRPr="008C15CC">
        <w:rPr>
          <w:rFonts w:ascii="Times New Roman" w:hAnsi="Times New Roman" w:cs="Times New Roman"/>
          <w:sz w:val="24"/>
          <w:szCs w:val="24"/>
        </w:rPr>
        <w:t xml:space="preserve">On his part, </w:t>
      </w:r>
      <w:r w:rsidRPr="008C15CC">
        <w:rPr>
          <w:rFonts w:ascii="Times New Roman" w:hAnsi="Times New Roman" w:cs="Times New Roman"/>
          <w:sz w:val="24"/>
          <w:szCs w:val="24"/>
        </w:rPr>
        <w:t xml:space="preserve">Kaphas was forced to leave school since no one </w:t>
      </w:r>
      <w:r w:rsidR="00BF73EE" w:rsidRPr="008C15CC">
        <w:rPr>
          <w:rFonts w:ascii="Times New Roman" w:hAnsi="Times New Roman" w:cs="Times New Roman"/>
          <w:sz w:val="24"/>
          <w:szCs w:val="24"/>
        </w:rPr>
        <w:t>could pay for his tuition and other educational requirements</w:t>
      </w:r>
      <w:r w:rsidRPr="008C15CC">
        <w:rPr>
          <w:rFonts w:ascii="Times New Roman" w:hAnsi="Times New Roman" w:cs="Times New Roman"/>
          <w:sz w:val="24"/>
          <w:szCs w:val="24"/>
        </w:rPr>
        <w:t>. He has resorted to taking up menial jobs in order to fend for himself as well as assist in the upkeep of his young</w:t>
      </w:r>
      <w:r w:rsidR="00BF73EE" w:rsidRPr="008C15CC">
        <w:rPr>
          <w:rFonts w:ascii="Times New Roman" w:hAnsi="Times New Roman" w:cs="Times New Roman"/>
          <w:sz w:val="24"/>
          <w:szCs w:val="24"/>
        </w:rPr>
        <w:t>er</w:t>
      </w:r>
      <w:r w:rsidRPr="008C15CC">
        <w:rPr>
          <w:rFonts w:ascii="Times New Roman" w:hAnsi="Times New Roman" w:cs="Times New Roman"/>
          <w:sz w:val="24"/>
          <w:szCs w:val="24"/>
        </w:rPr>
        <w:t xml:space="preserve"> sister. </w:t>
      </w:r>
      <w:r w:rsidR="00BF73EE" w:rsidRPr="008C15CC">
        <w:rPr>
          <w:rFonts w:ascii="Times New Roman" w:hAnsi="Times New Roman" w:cs="Times New Roman"/>
          <w:sz w:val="24"/>
          <w:szCs w:val="24"/>
        </w:rPr>
        <w:t xml:space="preserve">Because Primrose and Tsungirirai are married and stay with their husbands elsewhere, Kaphas stays alone at the family homestead. He suffers from loneliness. It must be unbearable </w:t>
      </w:r>
      <w:r w:rsidR="00BF73EE" w:rsidRPr="008C15CC">
        <w:rPr>
          <w:rFonts w:ascii="Times New Roman" w:hAnsi="Times New Roman" w:cs="Times New Roman"/>
          <w:sz w:val="24"/>
          <w:szCs w:val="24"/>
        </w:rPr>
        <w:lastRenderedPageBreak/>
        <w:t xml:space="preserve">for a boy only seventeen years old. </w:t>
      </w:r>
      <w:r w:rsidR="00E920AC" w:rsidRPr="008C15CC">
        <w:rPr>
          <w:rFonts w:ascii="Times New Roman" w:hAnsi="Times New Roman" w:cs="Times New Roman"/>
          <w:sz w:val="24"/>
          <w:szCs w:val="24"/>
        </w:rPr>
        <w:t>Th</w:t>
      </w:r>
      <w:r w:rsidR="00E920AC">
        <w:rPr>
          <w:rFonts w:ascii="Times New Roman" w:hAnsi="Times New Roman" w:cs="Times New Roman"/>
          <w:sz w:val="24"/>
          <w:szCs w:val="24"/>
        </w:rPr>
        <w:t>e above</w:t>
      </w:r>
      <w:r w:rsidR="00BF73EE" w:rsidRPr="008C15CC">
        <w:rPr>
          <w:rFonts w:ascii="Times New Roman" w:hAnsi="Times New Roman" w:cs="Times New Roman"/>
          <w:sz w:val="24"/>
          <w:szCs w:val="24"/>
        </w:rPr>
        <w:t xml:space="preserve"> problem</w:t>
      </w:r>
      <w:r w:rsidR="00E920AC">
        <w:rPr>
          <w:rFonts w:ascii="Times New Roman" w:hAnsi="Times New Roman" w:cs="Times New Roman"/>
          <w:sz w:val="24"/>
          <w:szCs w:val="24"/>
        </w:rPr>
        <w:t>s were all</w:t>
      </w:r>
      <w:r w:rsidR="00BF73EE" w:rsidRPr="008C15CC">
        <w:rPr>
          <w:rFonts w:ascii="Times New Roman" w:hAnsi="Times New Roman" w:cs="Times New Roman"/>
          <w:sz w:val="24"/>
          <w:szCs w:val="24"/>
        </w:rPr>
        <w:t xml:space="preserve"> created by the two offenders’ conduct. </w:t>
      </w:r>
      <w:r w:rsidR="00E920AC">
        <w:rPr>
          <w:rFonts w:ascii="Times New Roman" w:hAnsi="Times New Roman" w:cs="Times New Roman"/>
          <w:sz w:val="24"/>
          <w:szCs w:val="24"/>
        </w:rPr>
        <w:t xml:space="preserve">They are what are called the unintended consequences of crime. </w:t>
      </w:r>
    </w:p>
    <w:p w14:paraId="78692B34" w14:textId="55E73690" w:rsidR="0026319E" w:rsidRPr="008C15CC" w:rsidRDefault="0026319E" w:rsidP="008C15CC">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From the above</w:t>
      </w:r>
      <w:r w:rsidR="00E920AC">
        <w:rPr>
          <w:rFonts w:ascii="Times New Roman" w:hAnsi="Times New Roman" w:cs="Times New Roman"/>
          <w:sz w:val="24"/>
          <w:szCs w:val="24"/>
        </w:rPr>
        <w:t xml:space="preserve"> however</w:t>
      </w:r>
      <w:r w:rsidRPr="008C15CC">
        <w:rPr>
          <w:rFonts w:ascii="Times New Roman" w:hAnsi="Times New Roman" w:cs="Times New Roman"/>
          <w:sz w:val="24"/>
          <w:szCs w:val="24"/>
        </w:rPr>
        <w:t xml:space="preserve">, what is clear is that nothing tangible has been proffered to put this crime into the realm of aggravated murders. We make the finding that the murder was not committed in aggravating circumstances. That conclusion restores the court’s </w:t>
      </w:r>
      <w:r w:rsidR="00E920AC">
        <w:rPr>
          <w:rFonts w:ascii="Times New Roman" w:hAnsi="Times New Roman" w:cs="Times New Roman"/>
          <w:sz w:val="24"/>
          <w:szCs w:val="24"/>
        </w:rPr>
        <w:t xml:space="preserve">full </w:t>
      </w:r>
      <w:r w:rsidRPr="008C15CC">
        <w:rPr>
          <w:rFonts w:ascii="Times New Roman" w:hAnsi="Times New Roman" w:cs="Times New Roman"/>
          <w:sz w:val="24"/>
          <w:szCs w:val="24"/>
        </w:rPr>
        <w:t>discretion to sentence the offenders</w:t>
      </w:r>
      <w:r w:rsidR="00E920AC">
        <w:rPr>
          <w:rFonts w:ascii="Times New Roman" w:hAnsi="Times New Roman" w:cs="Times New Roman"/>
          <w:sz w:val="24"/>
          <w:szCs w:val="24"/>
        </w:rPr>
        <w:t xml:space="preserve"> as it sees fit</w:t>
      </w:r>
      <w:r w:rsidRPr="008C15CC">
        <w:rPr>
          <w:rFonts w:ascii="Times New Roman" w:hAnsi="Times New Roman" w:cs="Times New Roman"/>
          <w:sz w:val="24"/>
          <w:szCs w:val="24"/>
        </w:rPr>
        <w:t xml:space="preserve">. </w:t>
      </w:r>
    </w:p>
    <w:p w14:paraId="53A35A8E" w14:textId="77777777" w:rsidR="00E920AC" w:rsidRPr="00E920AC" w:rsidRDefault="0026319E" w:rsidP="008C15CC">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We have already accepted that the</w:t>
      </w:r>
      <w:r w:rsidR="00E920AC">
        <w:rPr>
          <w:rFonts w:ascii="Times New Roman" w:hAnsi="Times New Roman" w:cs="Times New Roman"/>
          <w:sz w:val="24"/>
          <w:szCs w:val="24"/>
        </w:rPr>
        <w:t xml:space="preserve"> offenders</w:t>
      </w:r>
      <w:r w:rsidRPr="008C15CC">
        <w:rPr>
          <w:rFonts w:ascii="Times New Roman" w:hAnsi="Times New Roman" w:cs="Times New Roman"/>
          <w:sz w:val="24"/>
          <w:szCs w:val="24"/>
        </w:rPr>
        <w:t xml:space="preserve"> are youthful first </w:t>
      </w:r>
      <w:r w:rsidR="00E920AC">
        <w:rPr>
          <w:rFonts w:ascii="Times New Roman" w:hAnsi="Times New Roman" w:cs="Times New Roman"/>
          <w:sz w:val="24"/>
          <w:szCs w:val="24"/>
        </w:rPr>
        <w:t>timers</w:t>
      </w:r>
      <w:r w:rsidRPr="008C15CC">
        <w:rPr>
          <w:rFonts w:ascii="Times New Roman" w:hAnsi="Times New Roman" w:cs="Times New Roman"/>
          <w:sz w:val="24"/>
          <w:szCs w:val="24"/>
        </w:rPr>
        <w:t xml:space="preserve">; that both of them know they killed their father for no apparent reason. Such thoughts are likely to live with them for the rest of their natural lives. The stigma will not be easy to deal with. In addition, both of them have spent some considerable period in pre-trial incarceration. We stand ready to discount that </w:t>
      </w:r>
      <w:r w:rsidR="00E920AC">
        <w:rPr>
          <w:rFonts w:ascii="Times New Roman" w:hAnsi="Times New Roman" w:cs="Times New Roman"/>
          <w:sz w:val="24"/>
          <w:szCs w:val="24"/>
        </w:rPr>
        <w:t xml:space="preserve">period </w:t>
      </w:r>
      <w:r w:rsidRPr="008C15CC">
        <w:rPr>
          <w:rFonts w:ascii="Times New Roman" w:hAnsi="Times New Roman" w:cs="Times New Roman"/>
          <w:sz w:val="24"/>
          <w:szCs w:val="24"/>
        </w:rPr>
        <w:t xml:space="preserve">from the sentence we intended to initially impose. </w:t>
      </w:r>
    </w:p>
    <w:p w14:paraId="2DA81A7F" w14:textId="7EC1FF76" w:rsidR="00E920AC" w:rsidRPr="00E920AC" w:rsidRDefault="00E920AC" w:rsidP="008C15C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possibility of the offenders reoffending has been heavily watered down given their circumstances. Reoffending is a phenomenon which is difficult to second guess. The factors which are usually suggestive of that</w:t>
      </w:r>
      <w:r w:rsidR="0045184F">
        <w:rPr>
          <w:rFonts w:ascii="Times New Roman" w:hAnsi="Times New Roman" w:cs="Times New Roman"/>
          <w:sz w:val="24"/>
          <w:szCs w:val="24"/>
        </w:rPr>
        <w:t xml:space="preserve"> </w:t>
      </w:r>
      <w:r>
        <w:rPr>
          <w:rFonts w:ascii="Times New Roman" w:hAnsi="Times New Roman" w:cs="Times New Roman"/>
          <w:sz w:val="24"/>
          <w:szCs w:val="24"/>
        </w:rPr>
        <w:t xml:space="preserve">danger include previous convictions, pending criminal cases and unreported but generally known criminal behaviour such as violence. </w:t>
      </w:r>
      <w:r w:rsidR="00382DD9">
        <w:rPr>
          <w:rFonts w:ascii="Times New Roman" w:hAnsi="Times New Roman" w:cs="Times New Roman"/>
          <w:sz w:val="24"/>
          <w:szCs w:val="24"/>
        </w:rPr>
        <w:t xml:space="preserve">The offenders do not fit that bill. </w:t>
      </w:r>
    </w:p>
    <w:p w14:paraId="5C9CD262" w14:textId="6A6001C0" w:rsidR="00FE22C7" w:rsidRPr="008C15CC" w:rsidRDefault="0026319E" w:rsidP="008C15CC">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 xml:space="preserve">In the end </w:t>
      </w:r>
      <w:r w:rsidR="009555A7">
        <w:rPr>
          <w:rFonts w:ascii="Times New Roman" w:hAnsi="Times New Roman" w:cs="Times New Roman"/>
          <w:sz w:val="24"/>
          <w:szCs w:val="24"/>
        </w:rPr>
        <w:t>all parties to this trial were agreed that the offenders cannot escape imprisonment. The differences only related to the duration of the terms. T</w:t>
      </w:r>
      <w:r w:rsidRPr="008C15CC">
        <w:rPr>
          <w:rFonts w:ascii="Times New Roman" w:hAnsi="Times New Roman" w:cs="Times New Roman"/>
          <w:sz w:val="24"/>
          <w:szCs w:val="24"/>
        </w:rPr>
        <w:t>he state suggested a sentence in the region of twenty-five years (25)</w:t>
      </w:r>
      <w:r w:rsidR="009555A7">
        <w:rPr>
          <w:rFonts w:ascii="Times New Roman" w:hAnsi="Times New Roman" w:cs="Times New Roman"/>
          <w:sz w:val="24"/>
          <w:szCs w:val="24"/>
        </w:rPr>
        <w:t>;</w:t>
      </w:r>
      <w:r w:rsidRPr="008C15CC">
        <w:rPr>
          <w:rFonts w:ascii="Times New Roman" w:hAnsi="Times New Roman" w:cs="Times New Roman"/>
          <w:sz w:val="24"/>
          <w:szCs w:val="24"/>
        </w:rPr>
        <w:t xml:space="preserve"> counsel for the first offender urged the court to impose ten (10) years imprisonment with a few years suspended on conditions whilst that for the second offender suggested seven (7) years imprisonment with two years suspended on condition of future good behaviour. </w:t>
      </w:r>
      <w:r w:rsidR="009555A7">
        <w:rPr>
          <w:rFonts w:ascii="Times New Roman" w:hAnsi="Times New Roman" w:cs="Times New Roman"/>
          <w:sz w:val="24"/>
          <w:szCs w:val="24"/>
        </w:rPr>
        <w:t xml:space="preserve">We are not sure what method each of them used to arrive at those figures if any. Our hope is that the suggested figures were not just plucked from nowhere and used to fulfil the obligation which counsels had. </w:t>
      </w:r>
    </w:p>
    <w:p w14:paraId="72E00CF3" w14:textId="5616436F" w:rsidR="008C15CC" w:rsidRPr="00E80236" w:rsidRDefault="0026319E" w:rsidP="00E80236">
      <w:pPr>
        <w:pStyle w:val="ListParagraph"/>
        <w:numPr>
          <w:ilvl w:val="0"/>
          <w:numId w:val="1"/>
        </w:numPr>
        <w:spacing w:line="360" w:lineRule="auto"/>
        <w:jc w:val="both"/>
        <w:rPr>
          <w:rFonts w:ascii="Times New Roman" w:hAnsi="Times New Roman" w:cs="Times New Roman"/>
          <w:sz w:val="24"/>
          <w:szCs w:val="24"/>
          <w:lang w:val="en-US"/>
        </w:rPr>
      </w:pPr>
      <w:r w:rsidRPr="008C15CC">
        <w:rPr>
          <w:rFonts w:ascii="Times New Roman" w:hAnsi="Times New Roman" w:cs="Times New Roman"/>
          <w:sz w:val="24"/>
          <w:szCs w:val="24"/>
        </w:rPr>
        <w:t xml:space="preserve">The </w:t>
      </w:r>
      <w:r w:rsidR="009555A7">
        <w:rPr>
          <w:rFonts w:ascii="Times New Roman" w:hAnsi="Times New Roman" w:cs="Times New Roman"/>
          <w:sz w:val="24"/>
          <w:szCs w:val="24"/>
        </w:rPr>
        <w:t>propositions</w:t>
      </w:r>
      <w:r w:rsidRPr="008C15CC">
        <w:rPr>
          <w:rFonts w:ascii="Times New Roman" w:hAnsi="Times New Roman" w:cs="Times New Roman"/>
          <w:sz w:val="24"/>
          <w:szCs w:val="24"/>
        </w:rPr>
        <w:t xml:space="preserve"> that the court suspends part of the terms of imprisonment by </w:t>
      </w:r>
      <w:r w:rsidR="009555A7" w:rsidRPr="008C15CC">
        <w:rPr>
          <w:rFonts w:ascii="Times New Roman" w:hAnsi="Times New Roman" w:cs="Times New Roman"/>
          <w:sz w:val="24"/>
          <w:szCs w:val="24"/>
        </w:rPr>
        <w:t>counse</w:t>
      </w:r>
      <w:r w:rsidR="009555A7">
        <w:rPr>
          <w:rFonts w:ascii="Times New Roman" w:hAnsi="Times New Roman" w:cs="Times New Roman"/>
          <w:sz w:val="24"/>
          <w:szCs w:val="24"/>
        </w:rPr>
        <w:t xml:space="preserve">ls for both offenders deserves the court’s comment if not its censure. </w:t>
      </w:r>
      <w:r w:rsidRPr="008C15CC">
        <w:rPr>
          <w:rFonts w:ascii="Times New Roman" w:hAnsi="Times New Roman" w:cs="Times New Roman"/>
          <w:sz w:val="24"/>
          <w:szCs w:val="24"/>
        </w:rPr>
        <w:t xml:space="preserve"> </w:t>
      </w:r>
      <w:r w:rsidR="009555A7">
        <w:rPr>
          <w:rFonts w:ascii="Times New Roman" w:hAnsi="Times New Roman" w:cs="Times New Roman"/>
          <w:sz w:val="24"/>
          <w:szCs w:val="24"/>
        </w:rPr>
        <w:t xml:space="preserve">It </w:t>
      </w:r>
      <w:r w:rsidRPr="008C15CC">
        <w:rPr>
          <w:rFonts w:ascii="Times New Roman" w:hAnsi="Times New Roman" w:cs="Times New Roman"/>
          <w:sz w:val="24"/>
          <w:szCs w:val="24"/>
        </w:rPr>
        <w:t xml:space="preserve">drags us back to the </w:t>
      </w:r>
      <w:r w:rsidR="009555A7">
        <w:rPr>
          <w:rFonts w:ascii="Times New Roman" w:hAnsi="Times New Roman" w:cs="Times New Roman"/>
          <w:sz w:val="24"/>
          <w:szCs w:val="24"/>
        </w:rPr>
        <w:t xml:space="preserve">position </w:t>
      </w:r>
      <w:r w:rsidR="009760CC">
        <w:rPr>
          <w:rFonts w:ascii="Times New Roman" w:hAnsi="Times New Roman" w:cs="Times New Roman"/>
          <w:sz w:val="24"/>
          <w:szCs w:val="24"/>
        </w:rPr>
        <w:t xml:space="preserve">which </w:t>
      </w:r>
      <w:r w:rsidR="009760CC" w:rsidRPr="008C15CC">
        <w:rPr>
          <w:rFonts w:ascii="Times New Roman" w:hAnsi="Times New Roman" w:cs="Times New Roman"/>
          <w:sz w:val="24"/>
          <w:szCs w:val="24"/>
        </w:rPr>
        <w:t>this</w:t>
      </w:r>
      <w:r w:rsidR="00E31CAF" w:rsidRPr="008C15CC">
        <w:rPr>
          <w:rFonts w:ascii="Times New Roman" w:hAnsi="Times New Roman" w:cs="Times New Roman"/>
          <w:sz w:val="24"/>
          <w:szCs w:val="24"/>
        </w:rPr>
        <w:t xml:space="preserve"> court previously </w:t>
      </w:r>
      <w:r w:rsidR="009555A7">
        <w:rPr>
          <w:rFonts w:ascii="Times New Roman" w:hAnsi="Times New Roman" w:cs="Times New Roman"/>
          <w:sz w:val="24"/>
          <w:szCs w:val="24"/>
        </w:rPr>
        <w:t>stated as untenable</w:t>
      </w:r>
      <w:r w:rsidR="00E31CAF" w:rsidRPr="008C15CC">
        <w:rPr>
          <w:rFonts w:ascii="Times New Roman" w:hAnsi="Times New Roman" w:cs="Times New Roman"/>
          <w:sz w:val="24"/>
          <w:szCs w:val="24"/>
        </w:rPr>
        <w:t xml:space="preserve"> in </w:t>
      </w:r>
      <w:r w:rsidR="009555A7">
        <w:rPr>
          <w:rFonts w:ascii="Times New Roman" w:hAnsi="Times New Roman" w:cs="Times New Roman"/>
          <w:sz w:val="24"/>
          <w:szCs w:val="24"/>
        </w:rPr>
        <w:t xml:space="preserve">the case of </w:t>
      </w:r>
      <w:r w:rsidR="00E31CAF" w:rsidRPr="008C15CC">
        <w:rPr>
          <w:rFonts w:ascii="Times New Roman" w:hAnsi="Times New Roman" w:cs="Times New Roman"/>
          <w:i/>
          <w:iCs/>
          <w:sz w:val="24"/>
          <w:szCs w:val="24"/>
        </w:rPr>
        <w:t xml:space="preserve">S </w:t>
      </w:r>
      <w:r w:rsidR="00E31CAF" w:rsidRPr="008118E1">
        <w:rPr>
          <w:rFonts w:ascii="Times New Roman" w:hAnsi="Times New Roman" w:cs="Times New Roman"/>
          <w:sz w:val="24"/>
          <w:szCs w:val="24"/>
        </w:rPr>
        <w:t>v</w:t>
      </w:r>
      <w:r w:rsidR="00E31CAF" w:rsidRPr="008C15CC">
        <w:rPr>
          <w:rFonts w:ascii="Times New Roman" w:hAnsi="Times New Roman" w:cs="Times New Roman"/>
          <w:i/>
          <w:iCs/>
          <w:sz w:val="24"/>
          <w:szCs w:val="24"/>
        </w:rPr>
        <w:t xml:space="preserve"> Emelda Marazani </w:t>
      </w:r>
      <w:r w:rsidR="00FE22C7" w:rsidRPr="008C15CC">
        <w:rPr>
          <w:rFonts w:ascii="Times New Roman" w:hAnsi="Times New Roman" w:cs="Times New Roman"/>
          <w:sz w:val="24"/>
          <w:szCs w:val="24"/>
        </w:rPr>
        <w:t xml:space="preserve">HH 212/23 at p. 5 of the cyclostyled judgment </w:t>
      </w:r>
      <w:r w:rsidR="009760CC">
        <w:rPr>
          <w:rFonts w:ascii="Times New Roman" w:hAnsi="Times New Roman" w:cs="Times New Roman"/>
          <w:sz w:val="24"/>
          <w:szCs w:val="24"/>
        </w:rPr>
        <w:t xml:space="preserve">where it remarked </w:t>
      </w:r>
      <w:r w:rsidR="00FE22C7" w:rsidRPr="008C15CC">
        <w:rPr>
          <w:rFonts w:ascii="Times New Roman" w:hAnsi="Times New Roman" w:cs="Times New Roman"/>
          <w:sz w:val="24"/>
          <w:szCs w:val="24"/>
        </w:rPr>
        <w:t>that:</w:t>
      </w:r>
    </w:p>
    <w:p w14:paraId="2A24A237" w14:textId="63A60378" w:rsidR="00FE22C7" w:rsidRPr="00E80236" w:rsidRDefault="00FE22C7" w:rsidP="00FE22C7">
      <w:pPr>
        <w:pStyle w:val="ListParagraph"/>
        <w:shd w:val="clear" w:color="auto" w:fill="FFFFFF"/>
        <w:spacing w:before="100" w:beforeAutospacing="1"/>
        <w:ind w:left="1440"/>
        <w:jc w:val="both"/>
        <w:rPr>
          <w:rFonts w:ascii="Times New Roman" w:eastAsia="Times New Roman" w:hAnsi="Times New Roman" w:cs="Times New Roman"/>
          <w:color w:val="000000" w:themeColor="text1"/>
          <w:lang w:eastAsia="en-ZW"/>
        </w:rPr>
      </w:pPr>
      <w:r w:rsidRPr="00E80236">
        <w:rPr>
          <w:rFonts w:ascii="Times New Roman" w:eastAsia="Times New Roman" w:hAnsi="Times New Roman" w:cs="Times New Roman"/>
          <w:color w:val="000000" w:themeColor="text1"/>
          <w:lang w:eastAsia="en-ZW"/>
        </w:rPr>
        <w:t xml:space="preserve">“Clearly therefore murder, except murder by a woman of her newly born baby which in any case has now been given the nomenclature of infanticide in our law, is one of the offences where a court is expressly prohibited from suspending any portion of a </w:t>
      </w:r>
      <w:r w:rsidRPr="00E80236">
        <w:rPr>
          <w:rFonts w:ascii="Times New Roman" w:eastAsia="Times New Roman" w:hAnsi="Times New Roman" w:cs="Times New Roman"/>
          <w:color w:val="000000" w:themeColor="text1"/>
          <w:lang w:eastAsia="en-ZW"/>
        </w:rPr>
        <w:lastRenderedPageBreak/>
        <w:t xml:space="preserve">sentence it would have imposed. See also the case of </w:t>
      </w:r>
      <w:r w:rsidRPr="00E80236">
        <w:rPr>
          <w:rFonts w:ascii="Times New Roman" w:eastAsia="Times New Roman" w:hAnsi="Times New Roman" w:cs="Times New Roman"/>
          <w:i/>
          <w:color w:val="000000" w:themeColor="text1"/>
          <w:lang w:eastAsia="en-ZW"/>
        </w:rPr>
        <w:t xml:space="preserve">S </w:t>
      </w:r>
      <w:r w:rsidRPr="00E80236">
        <w:rPr>
          <w:rFonts w:ascii="Times New Roman" w:eastAsia="Times New Roman" w:hAnsi="Times New Roman" w:cs="Times New Roman"/>
          <w:color w:val="000000" w:themeColor="text1"/>
          <w:lang w:eastAsia="en-ZW"/>
        </w:rPr>
        <w:t>v</w:t>
      </w:r>
      <w:r w:rsidRPr="00E80236">
        <w:rPr>
          <w:rFonts w:ascii="Times New Roman" w:eastAsia="Times New Roman" w:hAnsi="Times New Roman" w:cs="Times New Roman"/>
          <w:i/>
          <w:color w:val="000000" w:themeColor="text1"/>
          <w:lang w:eastAsia="en-ZW"/>
        </w:rPr>
        <w:t xml:space="preserve"> Pritchard Zimondi</w:t>
      </w:r>
      <w:r w:rsidRPr="00E80236">
        <w:rPr>
          <w:rFonts w:ascii="Times New Roman" w:eastAsia="Times New Roman" w:hAnsi="Times New Roman" w:cs="Times New Roman"/>
          <w:color w:val="000000" w:themeColor="text1"/>
          <w:lang w:eastAsia="en-ZW"/>
        </w:rPr>
        <w:t xml:space="preserve"> </w:t>
      </w:r>
      <w:r w:rsidRPr="00E80236">
        <w:rPr>
          <w:rStyle w:val="FootnoteReference"/>
          <w:rFonts w:ascii="Times New Roman" w:eastAsia="Times New Roman" w:hAnsi="Times New Roman" w:cs="Times New Roman"/>
          <w:color w:val="000000" w:themeColor="text1"/>
          <w:lang w:eastAsia="en-ZW"/>
        </w:rPr>
        <w:footnoteReference w:id="2"/>
      </w:r>
      <w:r w:rsidRPr="00E80236">
        <w:rPr>
          <w:rFonts w:ascii="Times New Roman" w:eastAsia="Times New Roman" w:hAnsi="Times New Roman" w:cs="Times New Roman"/>
          <w:color w:val="000000" w:themeColor="text1"/>
          <w:lang w:eastAsia="en-ZW"/>
        </w:rPr>
        <w:t xml:space="preserve"> for the same proposition. It is for that reason that we are unable to follow the course taken in </w:t>
      </w:r>
      <w:r w:rsidRPr="00E80236">
        <w:rPr>
          <w:rFonts w:ascii="Times New Roman" w:eastAsia="Times New Roman" w:hAnsi="Times New Roman" w:cs="Times New Roman"/>
          <w:i/>
          <w:color w:val="000000" w:themeColor="text1"/>
          <w:lang w:eastAsia="en-ZW"/>
        </w:rPr>
        <w:t>Locardia Ranganai</w:t>
      </w:r>
      <w:r w:rsidRPr="00E80236">
        <w:rPr>
          <w:rFonts w:ascii="Times New Roman" w:eastAsia="Times New Roman" w:hAnsi="Times New Roman" w:cs="Times New Roman"/>
          <w:color w:val="000000" w:themeColor="text1"/>
          <w:lang w:eastAsia="en-ZW"/>
        </w:rPr>
        <w:t xml:space="preserve"> and recommended by both the prosecutor and defence counsel.”</w:t>
      </w:r>
      <w:r w:rsidRPr="00E80236">
        <w:rPr>
          <w:color w:val="000000" w:themeColor="text1"/>
        </w:rPr>
        <w:t xml:space="preserve"> </w:t>
      </w:r>
    </w:p>
    <w:p w14:paraId="1C3245FA" w14:textId="65A9C72E" w:rsidR="00FE22C7" w:rsidRPr="00FE22C7" w:rsidRDefault="00FE22C7" w:rsidP="00FE22C7">
      <w:pPr>
        <w:pStyle w:val="ListParagraph"/>
        <w:rPr>
          <w:rFonts w:ascii="Times New Roman" w:hAnsi="Times New Roman"/>
          <w:sz w:val="24"/>
          <w:szCs w:val="24"/>
          <w:lang w:val="en-US"/>
        </w:rPr>
      </w:pPr>
    </w:p>
    <w:p w14:paraId="16957956" w14:textId="6FD31866" w:rsidR="00FE22C7" w:rsidRDefault="00FE22C7" w:rsidP="008C15CC">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We state it once more, that in terms of s 358(2) of the Criminal Procedure and Evidence Act [</w:t>
      </w:r>
      <w:r w:rsidRPr="008118E1">
        <w:rPr>
          <w:rFonts w:ascii="Times New Roman" w:hAnsi="Times New Roman"/>
          <w:i/>
          <w:iCs/>
          <w:sz w:val="24"/>
          <w:szCs w:val="24"/>
          <w:lang w:val="en-US"/>
        </w:rPr>
        <w:t>Chapter 9:07</w:t>
      </w:r>
      <w:r>
        <w:rPr>
          <w:rFonts w:ascii="Times New Roman" w:hAnsi="Times New Roman"/>
          <w:sz w:val="24"/>
          <w:szCs w:val="24"/>
          <w:lang w:val="en-US"/>
        </w:rPr>
        <w:t xml:space="preserve">] as read with the eighth schedule to the same Act, it is not permissible to suspend the whole or any portion of a sentence </w:t>
      </w:r>
      <w:r w:rsidR="00AC65EF">
        <w:rPr>
          <w:rFonts w:ascii="Times New Roman" w:hAnsi="Times New Roman"/>
          <w:sz w:val="24"/>
          <w:szCs w:val="24"/>
          <w:lang w:val="en-US"/>
        </w:rPr>
        <w:t>imposed for</w:t>
      </w:r>
      <w:r>
        <w:rPr>
          <w:rFonts w:ascii="Times New Roman" w:hAnsi="Times New Roman"/>
          <w:sz w:val="24"/>
          <w:szCs w:val="24"/>
          <w:lang w:val="en-US"/>
        </w:rPr>
        <w:t xml:space="preserve"> an offence listed in that schedule. Murder is one of those offences. As such the propositions by counsel are not lawful. </w:t>
      </w:r>
    </w:p>
    <w:p w14:paraId="6FB3A504" w14:textId="155F2C96" w:rsidR="00FE22C7" w:rsidRPr="00FE22C7" w:rsidRDefault="00FE22C7" w:rsidP="008C15CC">
      <w:pPr>
        <w:pStyle w:val="ListParagraph"/>
        <w:numPr>
          <w:ilvl w:val="0"/>
          <w:numId w:val="1"/>
        </w:numPr>
        <w:spacing w:line="360" w:lineRule="auto"/>
        <w:jc w:val="both"/>
        <w:rPr>
          <w:rFonts w:ascii="Times New Roman" w:hAnsi="Times New Roman"/>
          <w:b/>
          <w:bCs/>
          <w:sz w:val="24"/>
          <w:szCs w:val="24"/>
          <w:lang w:val="en-US"/>
        </w:rPr>
      </w:pPr>
      <w:r>
        <w:rPr>
          <w:rFonts w:ascii="Times New Roman" w:hAnsi="Times New Roman"/>
          <w:sz w:val="24"/>
          <w:szCs w:val="24"/>
          <w:lang w:val="en-US"/>
        </w:rPr>
        <w:t xml:space="preserve">Each of the </w:t>
      </w:r>
      <w:r w:rsidR="008C15CC">
        <w:rPr>
          <w:rFonts w:ascii="Times New Roman" w:hAnsi="Times New Roman"/>
          <w:sz w:val="24"/>
          <w:szCs w:val="24"/>
          <w:lang w:val="en-US"/>
        </w:rPr>
        <w:t>offenders played</w:t>
      </w:r>
      <w:r>
        <w:rPr>
          <w:rFonts w:ascii="Times New Roman" w:hAnsi="Times New Roman"/>
          <w:sz w:val="24"/>
          <w:szCs w:val="24"/>
          <w:lang w:val="en-US"/>
        </w:rPr>
        <w:t xml:space="preserve"> an equal role in this murder. There </w:t>
      </w:r>
      <w:r w:rsidR="009760CC">
        <w:rPr>
          <w:rFonts w:ascii="Times New Roman" w:hAnsi="Times New Roman"/>
          <w:sz w:val="24"/>
          <w:szCs w:val="24"/>
          <w:lang w:val="en-US"/>
        </w:rPr>
        <w:t>is</w:t>
      </w:r>
      <w:r>
        <w:rPr>
          <w:rFonts w:ascii="Times New Roman" w:hAnsi="Times New Roman"/>
          <w:sz w:val="24"/>
          <w:szCs w:val="24"/>
          <w:lang w:val="en-US"/>
        </w:rPr>
        <w:t xml:space="preserve"> no need for </w:t>
      </w:r>
      <w:r w:rsidR="009760CC">
        <w:rPr>
          <w:rFonts w:ascii="Times New Roman" w:hAnsi="Times New Roman"/>
          <w:sz w:val="24"/>
          <w:szCs w:val="24"/>
          <w:lang w:val="en-US"/>
        </w:rPr>
        <w:t xml:space="preserve">the court </w:t>
      </w:r>
      <w:r>
        <w:rPr>
          <w:rFonts w:ascii="Times New Roman" w:hAnsi="Times New Roman"/>
          <w:sz w:val="24"/>
          <w:szCs w:val="24"/>
          <w:lang w:val="en-US"/>
        </w:rPr>
        <w:t>to differentiate</w:t>
      </w:r>
      <w:r w:rsidR="008C15CC">
        <w:rPr>
          <w:rFonts w:ascii="Times New Roman" w:hAnsi="Times New Roman"/>
          <w:sz w:val="24"/>
          <w:szCs w:val="24"/>
          <w:lang w:val="en-US"/>
        </w:rPr>
        <w:t xml:space="preserve"> </w:t>
      </w:r>
      <w:r>
        <w:rPr>
          <w:rFonts w:ascii="Times New Roman" w:hAnsi="Times New Roman"/>
          <w:sz w:val="24"/>
          <w:szCs w:val="24"/>
          <w:lang w:val="en-US"/>
        </w:rPr>
        <w:t xml:space="preserve">the </w:t>
      </w:r>
      <w:r w:rsidR="008C15CC">
        <w:rPr>
          <w:rFonts w:ascii="Times New Roman" w:hAnsi="Times New Roman"/>
          <w:sz w:val="24"/>
          <w:szCs w:val="24"/>
          <w:lang w:val="en-US"/>
        </w:rPr>
        <w:t>punishments</w:t>
      </w:r>
      <w:r>
        <w:rPr>
          <w:rFonts w:ascii="Times New Roman" w:hAnsi="Times New Roman"/>
          <w:sz w:val="24"/>
          <w:szCs w:val="24"/>
          <w:lang w:val="en-US"/>
        </w:rPr>
        <w:t xml:space="preserve">. </w:t>
      </w:r>
      <w:r w:rsidR="008C15CC">
        <w:rPr>
          <w:rFonts w:ascii="Times New Roman" w:hAnsi="Times New Roman"/>
          <w:sz w:val="24"/>
          <w:szCs w:val="24"/>
          <w:lang w:val="en-US"/>
        </w:rPr>
        <w:t>With all</w:t>
      </w:r>
      <w:r>
        <w:rPr>
          <w:rFonts w:ascii="Times New Roman" w:hAnsi="Times New Roman"/>
          <w:sz w:val="24"/>
          <w:szCs w:val="24"/>
          <w:lang w:val="en-US"/>
        </w:rPr>
        <w:t xml:space="preserve"> the above considerations </w:t>
      </w:r>
      <w:r w:rsidRPr="00FE22C7">
        <w:rPr>
          <w:rFonts w:ascii="Times New Roman" w:hAnsi="Times New Roman"/>
          <w:b/>
          <w:bCs/>
          <w:sz w:val="24"/>
          <w:szCs w:val="24"/>
          <w:lang w:val="en-US"/>
        </w:rPr>
        <w:t xml:space="preserve">each offender is sentenced to eighteen (18) years imprisonment. </w:t>
      </w:r>
    </w:p>
    <w:p w14:paraId="54D43E80" w14:textId="77777777" w:rsidR="00FE22C7" w:rsidRDefault="00FE22C7" w:rsidP="008C15CC">
      <w:pPr>
        <w:pStyle w:val="ListParagraph"/>
        <w:spacing w:line="360" w:lineRule="auto"/>
        <w:jc w:val="both"/>
        <w:rPr>
          <w:rFonts w:ascii="Times New Roman" w:hAnsi="Times New Roman"/>
          <w:b/>
          <w:bCs/>
          <w:sz w:val="24"/>
          <w:szCs w:val="24"/>
          <w:lang w:val="en-US"/>
        </w:rPr>
      </w:pPr>
    </w:p>
    <w:p w14:paraId="6515C80C" w14:textId="77777777" w:rsidR="008118E1" w:rsidRDefault="008118E1" w:rsidP="008C15CC">
      <w:pPr>
        <w:pStyle w:val="ListParagraph"/>
        <w:spacing w:line="360" w:lineRule="auto"/>
        <w:jc w:val="both"/>
        <w:rPr>
          <w:rFonts w:ascii="Times New Roman" w:hAnsi="Times New Roman"/>
          <w:b/>
          <w:bCs/>
          <w:sz w:val="24"/>
          <w:szCs w:val="24"/>
          <w:lang w:val="en-US"/>
        </w:rPr>
      </w:pPr>
    </w:p>
    <w:p w14:paraId="2D1BC74E" w14:textId="77777777" w:rsidR="008118E1" w:rsidRDefault="008118E1" w:rsidP="008118E1">
      <w:pPr>
        <w:spacing w:line="360" w:lineRule="auto"/>
        <w:jc w:val="both"/>
        <w:rPr>
          <w:rFonts w:ascii="Times New Roman" w:hAnsi="Times New Roman" w:cs="Times New Roman"/>
          <w:sz w:val="24"/>
          <w:szCs w:val="24"/>
        </w:rPr>
      </w:pPr>
      <w:r w:rsidRPr="006264A8">
        <w:rPr>
          <w:rFonts w:ascii="Times New Roman" w:hAnsi="Times New Roman" w:cs="Times New Roman"/>
          <w:b/>
          <w:bCs/>
          <w:smallCaps/>
          <w:sz w:val="24"/>
          <w:szCs w:val="24"/>
        </w:rPr>
        <w:t>Mutevedzi J</w:t>
      </w:r>
      <w:r>
        <w:rPr>
          <w:rFonts w:ascii="Times New Roman" w:hAnsi="Times New Roman" w:cs="Times New Roman"/>
          <w:sz w:val="24"/>
          <w:szCs w:val="24"/>
        </w:rPr>
        <w:t>:………………………………..</w:t>
      </w:r>
    </w:p>
    <w:p w14:paraId="1DB9D58D" w14:textId="77777777" w:rsidR="008118E1" w:rsidRDefault="008118E1" w:rsidP="008118E1">
      <w:pPr>
        <w:pStyle w:val="NoSpacing"/>
      </w:pPr>
    </w:p>
    <w:p w14:paraId="7D42505F" w14:textId="77777777" w:rsidR="008118E1" w:rsidRDefault="008118E1" w:rsidP="008118E1">
      <w:pPr>
        <w:pStyle w:val="NoSpacing"/>
        <w:rPr>
          <w:rFonts w:ascii="Times New Roman" w:hAnsi="Times New Roman" w:cs="Times New Roman"/>
          <w:sz w:val="24"/>
          <w:szCs w:val="24"/>
        </w:rPr>
      </w:pPr>
      <w:r w:rsidRPr="006264A8">
        <w:rPr>
          <w:rFonts w:ascii="Times New Roman" w:hAnsi="Times New Roman" w:cs="Times New Roman"/>
          <w:i/>
          <w:iCs/>
          <w:sz w:val="24"/>
          <w:szCs w:val="24"/>
        </w:rPr>
        <w:t>National Prosecuting Authority</w:t>
      </w:r>
      <w:r w:rsidRPr="006264A8">
        <w:rPr>
          <w:rFonts w:ascii="Times New Roman" w:hAnsi="Times New Roman" w:cs="Times New Roman"/>
          <w:sz w:val="24"/>
          <w:szCs w:val="24"/>
        </w:rPr>
        <w:t>, state’s legal practitioners</w:t>
      </w:r>
    </w:p>
    <w:p w14:paraId="741237A8" w14:textId="77777777" w:rsidR="008118E1" w:rsidRPr="006264A8" w:rsidRDefault="008118E1" w:rsidP="008118E1">
      <w:pPr>
        <w:pStyle w:val="NoSpacing"/>
        <w:rPr>
          <w:rFonts w:ascii="Times New Roman" w:hAnsi="Times New Roman" w:cs="Times New Roman"/>
          <w:sz w:val="24"/>
          <w:szCs w:val="24"/>
        </w:rPr>
      </w:pPr>
      <w:r w:rsidRPr="004A13DC">
        <w:rPr>
          <w:rFonts w:ascii="Times New Roman" w:hAnsi="Times New Roman" w:cs="Times New Roman"/>
          <w:i/>
          <w:iCs/>
          <w:sz w:val="24"/>
          <w:szCs w:val="24"/>
        </w:rPr>
        <w:t>Ngwerume Attorneys at Law</w:t>
      </w:r>
      <w:r w:rsidRPr="006264A8">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Pr="006264A8">
        <w:rPr>
          <w:rFonts w:ascii="Times New Roman" w:hAnsi="Times New Roman" w:cs="Times New Roman"/>
          <w:sz w:val="24"/>
          <w:szCs w:val="24"/>
        </w:rPr>
        <w:t>accused’s legal practitioners</w:t>
      </w:r>
    </w:p>
    <w:p w14:paraId="79EE1EA4" w14:textId="77777777" w:rsidR="008118E1" w:rsidRPr="00342B72" w:rsidRDefault="008118E1" w:rsidP="008118E1">
      <w:pPr>
        <w:spacing w:line="360" w:lineRule="auto"/>
        <w:jc w:val="both"/>
        <w:rPr>
          <w:rFonts w:ascii="Times New Roman" w:hAnsi="Times New Roman" w:cs="Times New Roman"/>
          <w:sz w:val="24"/>
          <w:szCs w:val="24"/>
        </w:rPr>
      </w:pPr>
      <w:r w:rsidRPr="004A13DC">
        <w:rPr>
          <w:rFonts w:ascii="Times New Roman" w:hAnsi="Times New Roman" w:cs="Times New Roman"/>
          <w:i/>
          <w:iCs/>
          <w:sz w:val="24"/>
          <w:szCs w:val="24"/>
        </w:rPr>
        <w:t>Nyahuma’s Law Golden Stars Chambers</w:t>
      </w:r>
      <w:r>
        <w:rPr>
          <w:rFonts w:ascii="Times New Roman" w:hAnsi="Times New Roman" w:cs="Times New Roman"/>
          <w:sz w:val="24"/>
          <w:szCs w:val="24"/>
        </w:rPr>
        <w:t xml:space="preserve">, second </w:t>
      </w:r>
      <w:r w:rsidRPr="006264A8">
        <w:rPr>
          <w:rFonts w:ascii="Times New Roman" w:hAnsi="Times New Roman" w:cs="Times New Roman"/>
          <w:sz w:val="24"/>
          <w:szCs w:val="24"/>
        </w:rPr>
        <w:t>accused’s legal practitioners</w:t>
      </w:r>
    </w:p>
    <w:p w14:paraId="1E8D484F" w14:textId="77777777" w:rsidR="008118E1" w:rsidRPr="00FE22C7" w:rsidRDefault="008118E1" w:rsidP="008118E1">
      <w:pPr>
        <w:pStyle w:val="ListParagraph"/>
        <w:spacing w:line="360" w:lineRule="auto"/>
        <w:ind w:left="0"/>
        <w:jc w:val="both"/>
        <w:rPr>
          <w:rFonts w:ascii="Times New Roman" w:hAnsi="Times New Roman"/>
          <w:b/>
          <w:bCs/>
          <w:sz w:val="24"/>
          <w:szCs w:val="24"/>
          <w:lang w:val="en-US"/>
        </w:rPr>
      </w:pPr>
    </w:p>
    <w:sectPr w:rsidR="008118E1" w:rsidRPr="00FE22C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040C" w14:textId="77777777" w:rsidR="00627705" w:rsidRDefault="00627705" w:rsidP="009E31DD">
      <w:r>
        <w:separator/>
      </w:r>
    </w:p>
  </w:endnote>
  <w:endnote w:type="continuationSeparator" w:id="0">
    <w:p w14:paraId="676FF182" w14:textId="77777777" w:rsidR="00627705" w:rsidRDefault="00627705" w:rsidP="009E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81A74" w14:textId="77777777" w:rsidR="00627705" w:rsidRDefault="00627705" w:rsidP="009E31DD">
      <w:r>
        <w:separator/>
      </w:r>
    </w:p>
  </w:footnote>
  <w:footnote w:type="continuationSeparator" w:id="0">
    <w:p w14:paraId="4CD3C121" w14:textId="77777777" w:rsidR="00627705" w:rsidRDefault="00627705" w:rsidP="009E31DD">
      <w:r>
        <w:continuationSeparator/>
      </w:r>
    </w:p>
  </w:footnote>
  <w:footnote w:id="1">
    <w:p w14:paraId="1B26ED5C" w14:textId="77777777" w:rsidR="00556EFB" w:rsidRDefault="00556EFB" w:rsidP="00556EFB">
      <w:pPr>
        <w:pStyle w:val="FootnoteText"/>
      </w:pPr>
      <w:r>
        <w:rPr>
          <w:rStyle w:val="FootnoteReference"/>
        </w:rPr>
        <w:footnoteRef/>
      </w:r>
      <w:r>
        <w:t xml:space="preserve"> </w:t>
      </w:r>
      <w:r>
        <w:rPr>
          <w:rStyle w:val="FootnoteReference"/>
        </w:rPr>
        <w:footnoteRef/>
      </w:r>
      <w:r>
        <w:t xml:space="preserve"> </w:t>
      </w:r>
      <w:hyperlink r:id="rId1" w:history="1">
        <w:r w:rsidRPr="00603106">
          <w:rPr>
            <w:rStyle w:val="Hyperlink"/>
          </w:rPr>
          <w:t>https://www.crimetraveller.org/2017/02/parricide-psychology-when-children-kill-parents</w:t>
        </w:r>
      </w:hyperlink>
      <w:r>
        <w:t>; accessed on 25 June 2024</w:t>
      </w:r>
    </w:p>
    <w:p w14:paraId="3478D8E1" w14:textId="3F6CA57C" w:rsidR="00556EFB" w:rsidRDefault="00556EFB">
      <w:pPr>
        <w:pStyle w:val="FootnoteText"/>
      </w:pPr>
    </w:p>
  </w:footnote>
  <w:footnote w:id="2">
    <w:p w14:paraId="5A6FD5CC" w14:textId="77777777" w:rsidR="00FE22C7" w:rsidRDefault="00FE22C7" w:rsidP="00FE22C7">
      <w:pPr>
        <w:pStyle w:val="FootnoteText"/>
      </w:pPr>
      <w:r>
        <w:rPr>
          <w:rStyle w:val="FootnoteReference"/>
        </w:rPr>
        <w:footnoteRef/>
      </w:r>
      <w:r>
        <w:t xml:space="preserve"> </w:t>
      </w:r>
      <w:r w:rsidRPr="00D57E05">
        <w:rPr>
          <w:rFonts w:ascii="Times New Roman" w:hAnsi="Times New Roman" w:cs="Times New Roman"/>
        </w:rPr>
        <w:t>HH 179/2015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42378"/>
      <w:docPartObj>
        <w:docPartGallery w:val="Page Numbers (Top of Page)"/>
        <w:docPartUnique/>
      </w:docPartObj>
    </w:sdtPr>
    <w:sdtEndPr>
      <w:rPr>
        <w:noProof/>
      </w:rPr>
    </w:sdtEndPr>
    <w:sdtContent>
      <w:p w14:paraId="3FAC758D" w14:textId="1E1E3A3D" w:rsidR="008118E1" w:rsidRDefault="008118E1">
        <w:pPr>
          <w:pStyle w:val="Header"/>
          <w:jc w:val="right"/>
          <w:rPr>
            <w:noProof/>
          </w:rPr>
        </w:pPr>
        <w:r>
          <w:fldChar w:fldCharType="begin"/>
        </w:r>
        <w:r>
          <w:instrText xml:space="preserve"> PAGE   \* MERGEFORMAT </w:instrText>
        </w:r>
        <w:r>
          <w:fldChar w:fldCharType="separate"/>
        </w:r>
        <w:r w:rsidR="0056290C">
          <w:rPr>
            <w:noProof/>
          </w:rPr>
          <w:t>1</w:t>
        </w:r>
        <w:r>
          <w:rPr>
            <w:noProof/>
          </w:rPr>
          <w:fldChar w:fldCharType="end"/>
        </w:r>
      </w:p>
      <w:p w14:paraId="5074D083" w14:textId="30F32831" w:rsidR="00E80236" w:rsidRDefault="00E80236">
        <w:pPr>
          <w:pStyle w:val="Header"/>
          <w:jc w:val="right"/>
          <w:rPr>
            <w:noProof/>
          </w:rPr>
        </w:pPr>
        <w:r>
          <w:rPr>
            <w:noProof/>
          </w:rPr>
          <w:t>HH 264 - 24</w:t>
        </w:r>
      </w:p>
      <w:p w14:paraId="13DBF56E" w14:textId="7D24B422" w:rsidR="008118E1" w:rsidRDefault="008118E1">
        <w:pPr>
          <w:pStyle w:val="Header"/>
          <w:jc w:val="right"/>
        </w:pPr>
        <w:r>
          <w:rPr>
            <w:noProof/>
          </w:rPr>
          <w:t>CRB 6260/23</w:t>
        </w:r>
      </w:p>
    </w:sdtContent>
  </w:sdt>
  <w:p w14:paraId="7779D30E" w14:textId="77777777" w:rsidR="008118E1" w:rsidRDefault="008118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25260"/>
    <w:multiLevelType w:val="hybridMultilevel"/>
    <w:tmpl w:val="DA56C7B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B6"/>
    <w:rsid w:val="0003706F"/>
    <w:rsid w:val="000A5B95"/>
    <w:rsid w:val="001610B7"/>
    <w:rsid w:val="0026319E"/>
    <w:rsid w:val="00382DD9"/>
    <w:rsid w:val="00384F5F"/>
    <w:rsid w:val="003F7C6B"/>
    <w:rsid w:val="00427BC0"/>
    <w:rsid w:val="0045184F"/>
    <w:rsid w:val="00472B18"/>
    <w:rsid w:val="004E1AA1"/>
    <w:rsid w:val="00556EFB"/>
    <w:rsid w:val="0056290C"/>
    <w:rsid w:val="00580612"/>
    <w:rsid w:val="00627705"/>
    <w:rsid w:val="006A25AF"/>
    <w:rsid w:val="007257DB"/>
    <w:rsid w:val="00733B06"/>
    <w:rsid w:val="007850C4"/>
    <w:rsid w:val="008118E1"/>
    <w:rsid w:val="00873547"/>
    <w:rsid w:val="008A687E"/>
    <w:rsid w:val="008C15CC"/>
    <w:rsid w:val="008C7A68"/>
    <w:rsid w:val="009555A7"/>
    <w:rsid w:val="009760CC"/>
    <w:rsid w:val="009E31DD"/>
    <w:rsid w:val="00A61FA2"/>
    <w:rsid w:val="00AC65EF"/>
    <w:rsid w:val="00BF73EE"/>
    <w:rsid w:val="00C316D1"/>
    <w:rsid w:val="00C70211"/>
    <w:rsid w:val="00CD6552"/>
    <w:rsid w:val="00D5493D"/>
    <w:rsid w:val="00DD250B"/>
    <w:rsid w:val="00E31CAF"/>
    <w:rsid w:val="00E350E4"/>
    <w:rsid w:val="00E80236"/>
    <w:rsid w:val="00E920AC"/>
    <w:rsid w:val="00EE27B6"/>
    <w:rsid w:val="00F44C9D"/>
    <w:rsid w:val="00F84DB6"/>
    <w:rsid w:val="00FE22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4FA2"/>
  <w15:chartTrackingRefBased/>
  <w15:docId w15:val="{B9F4C44A-D144-4146-90F6-98B7116E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B6"/>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7B6"/>
    <w:pPr>
      <w:spacing w:after="0" w:line="240" w:lineRule="auto"/>
    </w:pPr>
    <w:rPr>
      <w:rFonts w:eastAsiaTheme="minorEastAsia"/>
      <w:lang w:eastAsia="en-GB"/>
    </w:rPr>
  </w:style>
  <w:style w:type="paragraph" w:styleId="ListParagraph">
    <w:name w:val="List Paragraph"/>
    <w:basedOn w:val="Normal"/>
    <w:uiPriority w:val="34"/>
    <w:qFormat/>
    <w:rsid w:val="00A61FA2"/>
    <w:pPr>
      <w:ind w:left="720"/>
      <w:contextualSpacing/>
    </w:pPr>
  </w:style>
  <w:style w:type="character" w:styleId="Hyperlink">
    <w:name w:val="Hyperlink"/>
    <w:basedOn w:val="DefaultParagraphFont"/>
    <w:uiPriority w:val="99"/>
    <w:unhideWhenUsed/>
    <w:rsid w:val="001610B7"/>
    <w:rPr>
      <w:color w:val="0000FF"/>
      <w:u w:val="single"/>
    </w:rPr>
  </w:style>
  <w:style w:type="paragraph" w:styleId="FootnoteText">
    <w:name w:val="footnote text"/>
    <w:basedOn w:val="Normal"/>
    <w:link w:val="FootnoteTextChar"/>
    <w:uiPriority w:val="99"/>
    <w:semiHidden/>
    <w:unhideWhenUsed/>
    <w:rsid w:val="009E31DD"/>
    <w:rPr>
      <w:sz w:val="20"/>
      <w:szCs w:val="20"/>
    </w:rPr>
  </w:style>
  <w:style w:type="character" w:customStyle="1" w:styleId="FootnoteTextChar">
    <w:name w:val="Footnote Text Char"/>
    <w:basedOn w:val="DefaultParagraphFont"/>
    <w:link w:val="FootnoteText"/>
    <w:uiPriority w:val="99"/>
    <w:semiHidden/>
    <w:rsid w:val="009E31DD"/>
    <w:rPr>
      <w:rFonts w:eastAsiaTheme="minorEastAsia"/>
      <w:sz w:val="20"/>
      <w:szCs w:val="20"/>
      <w:lang w:eastAsia="en-GB"/>
    </w:rPr>
  </w:style>
  <w:style w:type="character" w:styleId="FootnoteReference">
    <w:name w:val="footnote reference"/>
    <w:basedOn w:val="DefaultParagraphFont"/>
    <w:uiPriority w:val="99"/>
    <w:semiHidden/>
    <w:unhideWhenUsed/>
    <w:rsid w:val="009E31DD"/>
    <w:rPr>
      <w:vertAlign w:val="superscript"/>
    </w:rPr>
  </w:style>
  <w:style w:type="character" w:customStyle="1" w:styleId="UnresolvedMention">
    <w:name w:val="Unresolved Mention"/>
    <w:basedOn w:val="DefaultParagraphFont"/>
    <w:uiPriority w:val="99"/>
    <w:semiHidden/>
    <w:unhideWhenUsed/>
    <w:rsid w:val="009E31DD"/>
    <w:rPr>
      <w:color w:val="605E5C"/>
      <w:shd w:val="clear" w:color="auto" w:fill="E1DFDD"/>
    </w:rPr>
  </w:style>
  <w:style w:type="paragraph" w:styleId="Header">
    <w:name w:val="header"/>
    <w:basedOn w:val="Normal"/>
    <w:link w:val="HeaderChar"/>
    <w:uiPriority w:val="99"/>
    <w:unhideWhenUsed/>
    <w:rsid w:val="008118E1"/>
    <w:pPr>
      <w:tabs>
        <w:tab w:val="center" w:pos="4513"/>
        <w:tab w:val="right" w:pos="9026"/>
      </w:tabs>
    </w:pPr>
  </w:style>
  <w:style w:type="character" w:customStyle="1" w:styleId="HeaderChar">
    <w:name w:val="Header Char"/>
    <w:basedOn w:val="DefaultParagraphFont"/>
    <w:link w:val="Header"/>
    <w:uiPriority w:val="99"/>
    <w:rsid w:val="008118E1"/>
    <w:rPr>
      <w:rFonts w:eastAsiaTheme="minorEastAsia"/>
      <w:lang w:eastAsia="en-GB"/>
    </w:rPr>
  </w:style>
  <w:style w:type="paragraph" w:styleId="Footer">
    <w:name w:val="footer"/>
    <w:basedOn w:val="Normal"/>
    <w:link w:val="FooterChar"/>
    <w:uiPriority w:val="99"/>
    <w:unhideWhenUsed/>
    <w:rsid w:val="008118E1"/>
    <w:pPr>
      <w:tabs>
        <w:tab w:val="center" w:pos="4513"/>
        <w:tab w:val="right" w:pos="9026"/>
      </w:tabs>
    </w:pPr>
  </w:style>
  <w:style w:type="character" w:customStyle="1" w:styleId="FooterChar">
    <w:name w:val="Footer Char"/>
    <w:basedOn w:val="DefaultParagraphFont"/>
    <w:link w:val="Footer"/>
    <w:uiPriority w:val="99"/>
    <w:rsid w:val="008118E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imetraveller.org/2017/02/parricide-psychology-when-children-kill-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D5C30-1C21-48C9-BF63-CEDAA7B4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2024-06-28T09:12:00Z</dcterms:created>
  <dcterms:modified xsi:type="dcterms:W3CDTF">2024-06-28T09:12:00Z</dcterms:modified>
</cp:coreProperties>
</file>