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F3386A" w:rsidP="00F3386A">
      <w:pPr>
        <w:pStyle w:val="NoSpacing"/>
        <w:rPr>
          <w:b/>
        </w:rPr>
      </w:pPr>
      <w:r>
        <w:rPr>
          <w:b/>
        </w:rPr>
        <w:t>THE STATE</w:t>
      </w:r>
    </w:p>
    <w:p w:rsidR="00F3386A" w:rsidRDefault="00F3386A" w:rsidP="00F3386A">
      <w:pPr>
        <w:pStyle w:val="NoSpacing"/>
        <w:rPr>
          <w:b/>
        </w:rPr>
      </w:pPr>
    </w:p>
    <w:p w:rsidR="00F3386A" w:rsidRDefault="00F3386A" w:rsidP="00F3386A">
      <w:pPr>
        <w:pStyle w:val="NoSpacing"/>
        <w:rPr>
          <w:b/>
        </w:rPr>
      </w:pPr>
      <w:r>
        <w:rPr>
          <w:b/>
        </w:rPr>
        <w:t>Versus</w:t>
      </w:r>
    </w:p>
    <w:p w:rsidR="00F3386A" w:rsidRDefault="00F3386A" w:rsidP="00F3386A">
      <w:pPr>
        <w:pStyle w:val="NoSpacing"/>
        <w:rPr>
          <w:b/>
        </w:rPr>
      </w:pPr>
    </w:p>
    <w:p w:rsidR="00F3386A" w:rsidRDefault="00F3386A" w:rsidP="00F3386A">
      <w:pPr>
        <w:pStyle w:val="NoSpacing"/>
        <w:rPr>
          <w:b/>
        </w:rPr>
      </w:pPr>
      <w:r>
        <w:rPr>
          <w:b/>
        </w:rPr>
        <w:t>EDMORE NDLOVU</w:t>
      </w:r>
    </w:p>
    <w:p w:rsidR="00F3386A" w:rsidRDefault="00F3386A" w:rsidP="00F3386A">
      <w:pPr>
        <w:pStyle w:val="NoSpacing"/>
        <w:rPr>
          <w:b/>
        </w:rPr>
      </w:pPr>
    </w:p>
    <w:p w:rsidR="00F3386A" w:rsidRDefault="00F3386A" w:rsidP="00F3386A">
      <w:pPr>
        <w:pStyle w:val="NoSpacing"/>
      </w:pPr>
      <w:r>
        <w:t>IN THE HIGH COURT OF ZIMBABWE</w:t>
      </w:r>
    </w:p>
    <w:p w:rsidR="00F3386A" w:rsidRDefault="00F3386A" w:rsidP="00F3386A">
      <w:pPr>
        <w:pStyle w:val="NoSpacing"/>
      </w:pPr>
      <w:r>
        <w:t>MAKONESE J</w:t>
      </w:r>
    </w:p>
    <w:p w:rsidR="00F3386A" w:rsidRDefault="00F3386A" w:rsidP="00F3386A">
      <w:pPr>
        <w:pStyle w:val="NoSpacing"/>
      </w:pPr>
      <w:r>
        <w:t>BULAWAYO 22 OCTOBER 2020</w:t>
      </w:r>
    </w:p>
    <w:p w:rsidR="00F3386A" w:rsidRDefault="00F3386A" w:rsidP="00F3386A">
      <w:pPr>
        <w:pStyle w:val="NoSpacing"/>
      </w:pPr>
    </w:p>
    <w:p w:rsidR="00F3386A" w:rsidRDefault="00F3386A" w:rsidP="00F3386A">
      <w:pPr>
        <w:pStyle w:val="NoSpacing"/>
        <w:rPr>
          <w:b/>
        </w:rPr>
      </w:pPr>
      <w:r>
        <w:rPr>
          <w:b/>
        </w:rPr>
        <w:t>Criminal Review</w:t>
      </w:r>
    </w:p>
    <w:p w:rsidR="00F3386A" w:rsidRPr="0060748C" w:rsidRDefault="00F3386A" w:rsidP="0060748C">
      <w:pPr>
        <w:jc w:val="both"/>
        <w:rPr>
          <w:szCs w:val="24"/>
        </w:rPr>
      </w:pPr>
      <w:r w:rsidRPr="0060748C">
        <w:rPr>
          <w:szCs w:val="24"/>
        </w:rPr>
        <w:tab/>
      </w:r>
      <w:r w:rsidRPr="0060748C">
        <w:rPr>
          <w:b/>
          <w:szCs w:val="24"/>
        </w:rPr>
        <w:t>MAKONESE J:</w:t>
      </w:r>
      <w:r w:rsidRPr="0060748C">
        <w:rPr>
          <w:szCs w:val="24"/>
        </w:rPr>
        <w:tab/>
        <w:t>This criminal review raises the question of the competency of treating the offences of negligent driving and driving without a drivers’ licence as one for the purposes of sentence.</w:t>
      </w:r>
    </w:p>
    <w:p w:rsidR="00F3386A" w:rsidRPr="0060748C" w:rsidRDefault="00F3386A" w:rsidP="0060748C">
      <w:pPr>
        <w:jc w:val="both"/>
        <w:rPr>
          <w:szCs w:val="24"/>
        </w:rPr>
      </w:pPr>
      <w:r w:rsidRPr="0060748C">
        <w:rPr>
          <w:szCs w:val="24"/>
        </w:rPr>
        <w:tab/>
        <w:t xml:space="preserve">The accused was arraigned before a magistrate facing one count of driving a motor vehicle negligently in contravention of section 52 (2) (a) of the Road Traffic Act (Chapter 13:11) and a second count of driving a motor vehicle without a valid licence in violation of section 6 (1) (a) of the same Act.  The </w:t>
      </w:r>
      <w:r w:rsidR="009542AB">
        <w:rPr>
          <w:szCs w:val="24"/>
        </w:rPr>
        <w:t>accused was convicted on his own</w:t>
      </w:r>
      <w:r w:rsidRPr="0060748C">
        <w:rPr>
          <w:szCs w:val="24"/>
        </w:rPr>
        <w:t xml:space="preserve"> plea of guilty and sentenced to 12 months imprisonment of which 6 months imprisonment was suspended for 3 years on condition accused was not within that p</w:t>
      </w:r>
      <w:r w:rsidR="009542AB">
        <w:rPr>
          <w:szCs w:val="24"/>
        </w:rPr>
        <w:t>eriod convicted of an offence involving the</w:t>
      </w:r>
      <w:r w:rsidRPr="0060748C">
        <w:rPr>
          <w:szCs w:val="24"/>
        </w:rPr>
        <w:t xml:space="preserve"> driving a motor vehicle without a valid drivers’ licence.</w:t>
      </w:r>
    </w:p>
    <w:p w:rsidR="00F3386A" w:rsidRPr="0060748C" w:rsidRDefault="00F3386A" w:rsidP="0060748C">
      <w:pPr>
        <w:jc w:val="both"/>
        <w:rPr>
          <w:szCs w:val="24"/>
        </w:rPr>
      </w:pPr>
      <w:r w:rsidRPr="0060748C">
        <w:rPr>
          <w:szCs w:val="24"/>
        </w:rPr>
        <w:tab/>
        <w:t>The scrutinizing Regional Magistrate raised a query regarding the competency of the sentence.  Firstly, the issue was raised why the two offences were treated as one for purposes of sentence.  Secondly, the issue was raised how competent it was to suspend the sentence in respect of both counts, whose essential elements are totally different, regardless of the fact that they arise from the s</w:t>
      </w:r>
      <w:r w:rsidR="00B17F59">
        <w:rPr>
          <w:szCs w:val="24"/>
        </w:rPr>
        <w:t>ame incident.  The third aspect</w:t>
      </w:r>
      <w:r w:rsidRPr="0060748C">
        <w:rPr>
          <w:szCs w:val="24"/>
        </w:rPr>
        <w:t xml:space="preserve"> is that the trial magistrate failed to endorse his name, designation and the date of proceedings.  It is important for magistrate</w:t>
      </w:r>
      <w:r w:rsidR="00EE09D0">
        <w:rPr>
          <w:szCs w:val="24"/>
        </w:rPr>
        <w:t>s to ensure that the record is complete by endorsing</w:t>
      </w:r>
      <w:r w:rsidR="00C174FC" w:rsidRPr="0060748C">
        <w:rPr>
          <w:szCs w:val="24"/>
        </w:rPr>
        <w:t xml:space="preserve"> all the details that will show the</w:t>
      </w:r>
      <w:r w:rsidR="009547AF">
        <w:rPr>
          <w:szCs w:val="24"/>
        </w:rPr>
        <w:t xml:space="preserve"> designation of the magistrate and the date of the proceedings. </w:t>
      </w:r>
      <w:r w:rsidR="00C174FC" w:rsidRPr="0060748C">
        <w:rPr>
          <w:szCs w:val="24"/>
        </w:rPr>
        <w:t xml:space="preserve"> Such information is in fact merely completed by inserting the name of the trial magistrate in a space provided on the charge shee</w:t>
      </w:r>
      <w:r w:rsidR="007D7D08" w:rsidRPr="0060748C">
        <w:rPr>
          <w:szCs w:val="24"/>
        </w:rPr>
        <w:t>t</w:t>
      </w:r>
      <w:r w:rsidR="00C174FC" w:rsidRPr="0060748C">
        <w:rPr>
          <w:szCs w:val="24"/>
        </w:rPr>
        <w:t xml:space="preserve">.  This </w:t>
      </w:r>
      <w:r w:rsidR="00C174FC" w:rsidRPr="0060748C">
        <w:rPr>
          <w:szCs w:val="24"/>
        </w:rPr>
        <w:lastRenderedPageBreak/>
        <w:t xml:space="preserve">procedural </w:t>
      </w:r>
      <w:r w:rsidR="007D7D08" w:rsidRPr="0060748C">
        <w:rPr>
          <w:szCs w:val="24"/>
        </w:rPr>
        <w:t>r</w:t>
      </w:r>
      <w:r w:rsidR="00C174FC" w:rsidRPr="0060748C">
        <w:rPr>
          <w:szCs w:val="24"/>
        </w:rPr>
        <w:t>equirement does not involve an onerous task</w:t>
      </w:r>
      <w:r w:rsidR="002A46B3">
        <w:rPr>
          <w:szCs w:val="24"/>
        </w:rPr>
        <w:t xml:space="preserve"> on the trial magistrate.</w:t>
      </w:r>
      <w:r w:rsidR="00C174FC" w:rsidRPr="0060748C">
        <w:rPr>
          <w:szCs w:val="24"/>
        </w:rPr>
        <w:t xml:space="preserve"> The same goes for the date of the proceedings.  The date must be clearly written and shown</w:t>
      </w:r>
      <w:r w:rsidR="001D109E">
        <w:rPr>
          <w:szCs w:val="24"/>
        </w:rPr>
        <w:t>. W</w:t>
      </w:r>
      <w:r w:rsidR="00C174FC" w:rsidRPr="0060748C">
        <w:rPr>
          <w:szCs w:val="24"/>
        </w:rPr>
        <w:t>here an appeal is noted the date becomes an extremely important detail.  Trial magistrates must not take for granted all details they are ordinarily required to provide on the charge sheet.</w:t>
      </w:r>
    </w:p>
    <w:p w:rsidR="00C174FC" w:rsidRPr="0060748C" w:rsidRDefault="00C174FC" w:rsidP="0060748C">
      <w:pPr>
        <w:jc w:val="both"/>
        <w:rPr>
          <w:szCs w:val="24"/>
        </w:rPr>
      </w:pPr>
      <w:r w:rsidRPr="0060748C">
        <w:rPr>
          <w:szCs w:val="24"/>
        </w:rPr>
        <w:tab/>
        <w:t>I now turn to deal with the substantiv</w:t>
      </w:r>
      <w:r w:rsidR="0056112C">
        <w:rPr>
          <w:szCs w:val="24"/>
        </w:rPr>
        <w:t xml:space="preserve">e matters raised in this </w:t>
      </w:r>
      <w:r w:rsidRPr="0060748C">
        <w:rPr>
          <w:szCs w:val="24"/>
        </w:rPr>
        <w:t>review.</w:t>
      </w:r>
    </w:p>
    <w:p w:rsidR="00C174FC" w:rsidRPr="0060748C" w:rsidRDefault="00C174FC" w:rsidP="0060748C">
      <w:pPr>
        <w:jc w:val="both"/>
        <w:rPr>
          <w:b/>
          <w:szCs w:val="24"/>
        </w:rPr>
      </w:pPr>
      <w:r w:rsidRPr="0060748C">
        <w:rPr>
          <w:b/>
          <w:szCs w:val="24"/>
        </w:rPr>
        <w:t>Factual background</w:t>
      </w:r>
    </w:p>
    <w:p w:rsidR="00C174FC" w:rsidRPr="0060748C" w:rsidRDefault="00C174FC" w:rsidP="0060748C">
      <w:pPr>
        <w:jc w:val="both"/>
        <w:rPr>
          <w:szCs w:val="24"/>
        </w:rPr>
      </w:pPr>
      <w:r w:rsidRPr="0060748C">
        <w:rPr>
          <w:szCs w:val="24"/>
        </w:rPr>
        <w:tab/>
        <w:t>On 31</w:t>
      </w:r>
      <w:r w:rsidRPr="0060748C">
        <w:rPr>
          <w:szCs w:val="24"/>
          <w:vertAlign w:val="superscript"/>
        </w:rPr>
        <w:t>st</w:t>
      </w:r>
      <w:r w:rsidRPr="0060748C">
        <w:rPr>
          <w:szCs w:val="24"/>
        </w:rPr>
        <w:t xml:space="preserve"> January 2020, around 1730 hours the accused was driving a Honda Fit motor vehicle, registration number AFF 5984 along an unnamed road near Nkanyiso Primary School, Tsholotsho, with two passengers on board.  Accused knew that he was not the holder of a valid drivers’ </w:t>
      </w:r>
      <w:r w:rsidR="0047513B" w:rsidRPr="0060748C">
        <w:rPr>
          <w:szCs w:val="24"/>
        </w:rPr>
        <w:t>l</w:t>
      </w:r>
      <w:r w:rsidRPr="0060748C">
        <w:rPr>
          <w:szCs w:val="24"/>
        </w:rPr>
        <w:t>icence.  On approaching</w:t>
      </w:r>
      <w:r w:rsidR="0047513B" w:rsidRPr="0060748C">
        <w:rPr>
          <w:szCs w:val="24"/>
        </w:rPr>
        <w:t xml:space="preserve"> Nkanyiso Primary School gate, accused lost control of the vehicle, hit and injured a pedestrian, Lintle Sibanda, a 3 year old girl who was crossing the road.  After hitting the girl, accused’s vehicle veered off the road to the right, slamming into a gate on a house on the opposite side of the road.  The accused fled from the scene of the accident without rendering assistance.  As a result of this accident, Lintle Sibanda sustained serious injuries and was conveyed to hospital for treatment.  The accused was later arrested by the police along the Bulawayo-Tsholotsho road.</w:t>
      </w:r>
    </w:p>
    <w:p w:rsidR="0047513B" w:rsidRPr="0060748C" w:rsidRDefault="0047513B" w:rsidP="0060748C">
      <w:pPr>
        <w:jc w:val="both"/>
        <w:rPr>
          <w:szCs w:val="24"/>
        </w:rPr>
      </w:pPr>
      <w:r w:rsidRPr="0060748C">
        <w:rPr>
          <w:szCs w:val="24"/>
        </w:rPr>
        <w:tab/>
        <w:t>In the outline of the state case the particulars of negligence are listed as:</w:t>
      </w:r>
    </w:p>
    <w:p w:rsidR="0047513B" w:rsidRPr="0060748C" w:rsidRDefault="006F67D3" w:rsidP="0060748C">
      <w:pPr>
        <w:pStyle w:val="ListParagraph"/>
        <w:numPr>
          <w:ilvl w:val="0"/>
          <w:numId w:val="1"/>
        </w:numPr>
        <w:jc w:val="both"/>
        <w:rPr>
          <w:szCs w:val="24"/>
        </w:rPr>
      </w:pPr>
      <w:r>
        <w:rPr>
          <w:szCs w:val="24"/>
        </w:rPr>
        <w:t>t</w:t>
      </w:r>
      <w:r w:rsidR="0047513B" w:rsidRPr="0060748C">
        <w:rPr>
          <w:szCs w:val="24"/>
        </w:rPr>
        <w:t>ravelling at an excessive speed in the circumstances.</w:t>
      </w:r>
    </w:p>
    <w:p w:rsidR="0047513B" w:rsidRPr="0060748C" w:rsidRDefault="007D7D08" w:rsidP="0060748C">
      <w:pPr>
        <w:pStyle w:val="ListParagraph"/>
        <w:numPr>
          <w:ilvl w:val="0"/>
          <w:numId w:val="1"/>
        </w:numPr>
        <w:jc w:val="both"/>
        <w:rPr>
          <w:szCs w:val="24"/>
        </w:rPr>
      </w:pPr>
      <w:r w:rsidRPr="0060748C">
        <w:rPr>
          <w:szCs w:val="24"/>
        </w:rPr>
        <w:t>f</w:t>
      </w:r>
      <w:r w:rsidR="0047513B" w:rsidRPr="0060748C">
        <w:rPr>
          <w:szCs w:val="24"/>
        </w:rPr>
        <w:t>ailing</w:t>
      </w:r>
      <w:r w:rsidR="004D1358">
        <w:rPr>
          <w:szCs w:val="24"/>
        </w:rPr>
        <w:t xml:space="preserve"> to stop or act reasonably when</w:t>
      </w:r>
      <w:r w:rsidR="0047513B" w:rsidRPr="0060748C">
        <w:rPr>
          <w:szCs w:val="24"/>
        </w:rPr>
        <w:t xml:space="preserve"> a collision seemed imminent</w:t>
      </w:r>
    </w:p>
    <w:p w:rsidR="0047513B" w:rsidRPr="0060748C" w:rsidRDefault="007D7D08" w:rsidP="0060748C">
      <w:pPr>
        <w:pStyle w:val="ListParagraph"/>
        <w:numPr>
          <w:ilvl w:val="0"/>
          <w:numId w:val="1"/>
        </w:numPr>
        <w:jc w:val="both"/>
        <w:rPr>
          <w:szCs w:val="24"/>
        </w:rPr>
      </w:pPr>
      <w:r w:rsidRPr="0060748C">
        <w:rPr>
          <w:szCs w:val="24"/>
        </w:rPr>
        <w:t>f</w:t>
      </w:r>
      <w:r w:rsidR="0047513B" w:rsidRPr="0060748C">
        <w:rPr>
          <w:szCs w:val="24"/>
        </w:rPr>
        <w:t>ailing to keep a proper look out</w:t>
      </w:r>
    </w:p>
    <w:p w:rsidR="0047513B" w:rsidRPr="0060748C" w:rsidRDefault="007D7D08" w:rsidP="0060748C">
      <w:pPr>
        <w:pStyle w:val="ListParagraph"/>
        <w:numPr>
          <w:ilvl w:val="0"/>
          <w:numId w:val="1"/>
        </w:numPr>
        <w:jc w:val="both"/>
        <w:rPr>
          <w:szCs w:val="24"/>
        </w:rPr>
      </w:pPr>
      <w:r w:rsidRPr="0060748C">
        <w:rPr>
          <w:szCs w:val="24"/>
        </w:rPr>
        <w:t>f</w:t>
      </w:r>
      <w:r w:rsidR="0047513B" w:rsidRPr="0060748C">
        <w:rPr>
          <w:szCs w:val="24"/>
        </w:rPr>
        <w:t>ailing to keep the vehicle under proper control.</w:t>
      </w:r>
    </w:p>
    <w:p w:rsidR="0047513B" w:rsidRPr="0060748C" w:rsidRDefault="0047513B" w:rsidP="0060748C">
      <w:pPr>
        <w:ind w:firstLine="720"/>
        <w:jc w:val="both"/>
        <w:rPr>
          <w:szCs w:val="24"/>
        </w:rPr>
      </w:pPr>
      <w:r w:rsidRPr="0060748C">
        <w:rPr>
          <w:szCs w:val="24"/>
        </w:rPr>
        <w:t>What becomes apparent is that the essential elements on a charge of negligent driving</w:t>
      </w:r>
      <w:r w:rsidR="0030182E">
        <w:rPr>
          <w:szCs w:val="24"/>
        </w:rPr>
        <w:t xml:space="preserve"> are different from those on a</w:t>
      </w:r>
      <w:r w:rsidRPr="0060748C">
        <w:rPr>
          <w:szCs w:val="24"/>
        </w:rPr>
        <w:t xml:space="preserve"> charge of driving without a valid divers’ licence.  Whilst it is proper to treat two counts as one for the purposes of sentence where the charges arise out of the same facts </w:t>
      </w:r>
      <w:r w:rsidRPr="0060748C">
        <w:rPr>
          <w:szCs w:val="24"/>
        </w:rPr>
        <w:lastRenderedPageBreak/>
        <w:t>other considerations are at play.  In his response to the query by the Regional Magistrate, the trial magistrate reasoned as follows:</w:t>
      </w:r>
    </w:p>
    <w:p w:rsidR="0047513B" w:rsidRPr="0060748C" w:rsidRDefault="004C73B5" w:rsidP="0060748C">
      <w:pPr>
        <w:pStyle w:val="NoSpacing"/>
        <w:ind w:left="1440" w:hanging="720"/>
        <w:jc w:val="both"/>
        <w:rPr>
          <w:i/>
          <w:szCs w:val="24"/>
        </w:rPr>
      </w:pPr>
      <w:r w:rsidRPr="0060748C">
        <w:rPr>
          <w:i/>
          <w:szCs w:val="24"/>
        </w:rPr>
        <w:t>“1.</w:t>
      </w:r>
      <w:r w:rsidRPr="0060748C">
        <w:rPr>
          <w:i/>
          <w:szCs w:val="24"/>
        </w:rPr>
        <w:tab/>
        <w:t>The trial magistrate treated the two counts as one for sentencing purposes due to the fact that both counts were committed spontaneously from the same act.  Whilst the accused drove negligently, the accused also had no licence.</w:t>
      </w:r>
    </w:p>
    <w:p w:rsidR="004C73B5" w:rsidRPr="0060748C" w:rsidRDefault="004C73B5" w:rsidP="0060748C">
      <w:pPr>
        <w:pStyle w:val="NoSpacing"/>
        <w:ind w:left="1440" w:hanging="720"/>
        <w:jc w:val="both"/>
        <w:rPr>
          <w:i/>
          <w:szCs w:val="24"/>
        </w:rPr>
      </w:pPr>
      <w:r w:rsidRPr="0060748C">
        <w:rPr>
          <w:i/>
          <w:szCs w:val="24"/>
        </w:rPr>
        <w:t>2.</w:t>
      </w:r>
      <w:r w:rsidRPr="0060748C">
        <w:rPr>
          <w:i/>
          <w:szCs w:val="24"/>
        </w:rPr>
        <w:tab/>
        <w:t xml:space="preserve">Secondly, the suspension of sentence on condition that accused does not drive a motor vehicle without a licence was militated, in the opinion of the trial magistrate, by the fact that the negligence on the road may have  been largely contributed by the accused’s lack of appreciation of road rules.  This appreciation is realised when one acquired a valid drivers’ licence in terms of the law.  </w:t>
      </w:r>
      <w:r w:rsidRPr="0060748C">
        <w:rPr>
          <w:i/>
          <w:szCs w:val="24"/>
          <w:u w:val="single"/>
        </w:rPr>
        <w:t>Th</w:t>
      </w:r>
      <w:r w:rsidR="007D7D08" w:rsidRPr="0060748C">
        <w:rPr>
          <w:i/>
          <w:szCs w:val="24"/>
          <w:u w:val="single"/>
        </w:rPr>
        <w:t>e</w:t>
      </w:r>
      <w:r w:rsidRPr="0060748C">
        <w:rPr>
          <w:i/>
          <w:szCs w:val="24"/>
          <w:u w:val="single"/>
        </w:rPr>
        <w:t>se are the facts peculiar to this particular case.  Had it been that the accused had a valid licence and yet drove a motor vehicle negligently a different condition suspension (sic) could have been imposed therein.</w:t>
      </w:r>
    </w:p>
    <w:p w:rsidR="004C73B5" w:rsidRPr="0060748C" w:rsidRDefault="004C73B5" w:rsidP="0060748C">
      <w:pPr>
        <w:pStyle w:val="NoSpacing"/>
        <w:ind w:left="1440" w:hanging="720"/>
        <w:jc w:val="both"/>
        <w:rPr>
          <w:szCs w:val="24"/>
        </w:rPr>
      </w:pPr>
      <w:r w:rsidRPr="0060748C">
        <w:rPr>
          <w:i/>
          <w:szCs w:val="24"/>
        </w:rPr>
        <w:t>3.</w:t>
      </w:r>
      <w:r w:rsidRPr="0060748C">
        <w:rPr>
          <w:i/>
          <w:szCs w:val="24"/>
        </w:rPr>
        <w:tab/>
        <w:t>As regards the omission of the endorsement of his name d</w:t>
      </w:r>
      <w:r w:rsidR="00A83361">
        <w:rPr>
          <w:i/>
          <w:szCs w:val="24"/>
        </w:rPr>
        <w:t>esignation and date, the trial M</w:t>
      </w:r>
      <w:r w:rsidR="00DA5400">
        <w:rPr>
          <w:i/>
          <w:szCs w:val="24"/>
        </w:rPr>
        <w:t xml:space="preserve">agistrate </w:t>
      </w:r>
      <w:r w:rsidRPr="0060748C">
        <w:rPr>
          <w:i/>
          <w:szCs w:val="24"/>
        </w:rPr>
        <w:t>admit (sic) an oversight on his part.  Such negligible errors would not be repeated in future.  Some has been rectified accordingly.  In all the issues raised herein, I stand guided nonetheless.”</w:t>
      </w:r>
      <w:r w:rsidRPr="0060748C">
        <w:rPr>
          <w:szCs w:val="24"/>
        </w:rPr>
        <w:t xml:space="preserve"> (underlining</w:t>
      </w:r>
      <w:r w:rsidR="00A83361">
        <w:rPr>
          <w:szCs w:val="24"/>
        </w:rPr>
        <w:t xml:space="preserve"> </w:t>
      </w:r>
      <w:r w:rsidRPr="0060748C">
        <w:rPr>
          <w:szCs w:val="24"/>
        </w:rPr>
        <w:t xml:space="preserve"> for</w:t>
      </w:r>
      <w:r w:rsidR="005445CB">
        <w:rPr>
          <w:szCs w:val="24"/>
        </w:rPr>
        <w:t xml:space="preserve"> </w:t>
      </w:r>
      <w:r w:rsidRPr="0060748C">
        <w:rPr>
          <w:szCs w:val="24"/>
        </w:rPr>
        <w:t>emphasis)</w:t>
      </w:r>
    </w:p>
    <w:p w:rsidR="004C73B5" w:rsidRPr="0060748C" w:rsidRDefault="004C73B5" w:rsidP="0060748C">
      <w:pPr>
        <w:pStyle w:val="NoSpacing"/>
        <w:jc w:val="both"/>
        <w:rPr>
          <w:szCs w:val="24"/>
        </w:rPr>
      </w:pPr>
    </w:p>
    <w:p w:rsidR="004C73B5" w:rsidRPr="0060748C" w:rsidRDefault="004C73B5" w:rsidP="0060748C">
      <w:pPr>
        <w:jc w:val="both"/>
        <w:rPr>
          <w:szCs w:val="24"/>
        </w:rPr>
      </w:pPr>
      <w:r w:rsidRPr="0060748C">
        <w:rPr>
          <w:szCs w:val="24"/>
        </w:rPr>
        <w:tab/>
        <w:t xml:space="preserve">The reasoning of the trial magistrate is to say the least confusing and </w:t>
      </w:r>
      <w:r w:rsidR="00F104A9" w:rsidRPr="0060748C">
        <w:rPr>
          <w:szCs w:val="24"/>
        </w:rPr>
        <w:t>hard to follow.  The starting point though</w:t>
      </w:r>
      <w:r w:rsidR="00177E97">
        <w:rPr>
          <w:szCs w:val="24"/>
        </w:rPr>
        <w:t>,</w:t>
      </w:r>
      <w:r w:rsidR="00F104A9" w:rsidRPr="0060748C">
        <w:rPr>
          <w:szCs w:val="24"/>
        </w:rPr>
        <w:t xml:space="preserve"> is that in deciding whether more counts than one can be treated as one</w:t>
      </w:r>
      <w:r w:rsidR="00177E97">
        <w:rPr>
          <w:szCs w:val="24"/>
        </w:rPr>
        <w:t xml:space="preserve"> for the purpose</w:t>
      </w:r>
      <w:r w:rsidR="00946D0B">
        <w:rPr>
          <w:szCs w:val="24"/>
        </w:rPr>
        <w:t xml:space="preserve"> the trial magistrate must exercise a</w:t>
      </w:r>
      <w:r w:rsidR="00177E97">
        <w:rPr>
          <w:szCs w:val="24"/>
        </w:rPr>
        <w:t xml:space="preserve"> </w:t>
      </w:r>
      <w:r w:rsidR="00946D0B">
        <w:rPr>
          <w:szCs w:val="24"/>
        </w:rPr>
        <w:t>discretion.</w:t>
      </w:r>
      <w:r w:rsidR="007A715C">
        <w:rPr>
          <w:szCs w:val="24"/>
        </w:rPr>
        <w:t xml:space="preserve"> </w:t>
      </w:r>
      <w:r w:rsidR="00F104A9" w:rsidRPr="0060748C">
        <w:rPr>
          <w:szCs w:val="24"/>
        </w:rPr>
        <w:t>This</w:t>
      </w:r>
      <w:r w:rsidR="00946D0B">
        <w:rPr>
          <w:szCs w:val="24"/>
        </w:rPr>
        <w:t xml:space="preserve"> </w:t>
      </w:r>
      <w:r w:rsidR="00F104A9" w:rsidRPr="0060748C">
        <w:rPr>
          <w:szCs w:val="24"/>
        </w:rPr>
        <w:t xml:space="preserve">sentencing discretion must be judiciously exercised.  The broad general guidelines have been set out in several cases in this jurisdiction.  See </w:t>
      </w:r>
      <w:r w:rsidR="00F104A9" w:rsidRPr="0060748C">
        <w:rPr>
          <w:i/>
          <w:szCs w:val="24"/>
        </w:rPr>
        <w:t>John Zacharia</w:t>
      </w:r>
      <w:r w:rsidR="00F104A9" w:rsidRPr="0060748C">
        <w:rPr>
          <w:szCs w:val="24"/>
        </w:rPr>
        <w:t xml:space="preserve"> v </w:t>
      </w:r>
      <w:r w:rsidR="00F104A9" w:rsidRPr="0060748C">
        <w:rPr>
          <w:i/>
          <w:szCs w:val="24"/>
        </w:rPr>
        <w:t>The State</w:t>
      </w:r>
      <w:r w:rsidR="00F104A9" w:rsidRPr="0060748C">
        <w:rPr>
          <w:szCs w:val="24"/>
        </w:rPr>
        <w:t xml:space="preserve"> HH-17-02.  In deciding whether to pass a globular sentence a judicial officer must be guided by the following factors which are not exhaustively stated:</w:t>
      </w:r>
    </w:p>
    <w:p w:rsidR="00F104A9" w:rsidRPr="0060748C" w:rsidRDefault="007D7D08" w:rsidP="0060748C">
      <w:pPr>
        <w:pStyle w:val="ListParagraph"/>
        <w:numPr>
          <w:ilvl w:val="0"/>
          <w:numId w:val="2"/>
        </w:numPr>
        <w:jc w:val="both"/>
        <w:rPr>
          <w:szCs w:val="24"/>
        </w:rPr>
      </w:pPr>
      <w:r w:rsidRPr="0060748C">
        <w:rPr>
          <w:szCs w:val="24"/>
        </w:rPr>
        <w:t>t</w:t>
      </w:r>
      <w:r w:rsidR="00F104A9" w:rsidRPr="0060748C">
        <w:rPr>
          <w:szCs w:val="24"/>
        </w:rPr>
        <w:t>he offences are the same or of a similar nature; and</w:t>
      </w:r>
    </w:p>
    <w:p w:rsidR="00F104A9" w:rsidRPr="0060748C" w:rsidRDefault="007D7D08" w:rsidP="0060748C">
      <w:pPr>
        <w:pStyle w:val="ListParagraph"/>
        <w:numPr>
          <w:ilvl w:val="0"/>
          <w:numId w:val="2"/>
        </w:numPr>
        <w:jc w:val="both"/>
        <w:rPr>
          <w:szCs w:val="24"/>
        </w:rPr>
      </w:pPr>
      <w:r w:rsidRPr="0060748C">
        <w:rPr>
          <w:szCs w:val="24"/>
        </w:rPr>
        <w:t>t</w:t>
      </w:r>
      <w:r w:rsidR="00F104A9" w:rsidRPr="0060748C">
        <w:rPr>
          <w:szCs w:val="24"/>
        </w:rPr>
        <w:t>he o</w:t>
      </w:r>
      <w:r w:rsidRPr="0060748C">
        <w:rPr>
          <w:szCs w:val="24"/>
        </w:rPr>
        <w:t>f</w:t>
      </w:r>
      <w:r w:rsidR="00F104A9" w:rsidRPr="0060748C">
        <w:rPr>
          <w:szCs w:val="24"/>
        </w:rPr>
        <w:t>fences are closely linked in time; or</w:t>
      </w:r>
    </w:p>
    <w:p w:rsidR="00F104A9" w:rsidRPr="0060748C" w:rsidRDefault="007D7D08" w:rsidP="0060748C">
      <w:pPr>
        <w:pStyle w:val="ListParagraph"/>
        <w:numPr>
          <w:ilvl w:val="0"/>
          <w:numId w:val="2"/>
        </w:numPr>
        <w:jc w:val="both"/>
        <w:rPr>
          <w:szCs w:val="24"/>
        </w:rPr>
      </w:pPr>
      <w:r w:rsidRPr="0060748C">
        <w:rPr>
          <w:szCs w:val="24"/>
        </w:rPr>
        <w:t>t</w:t>
      </w:r>
      <w:r w:rsidR="00F104A9" w:rsidRPr="0060748C">
        <w:rPr>
          <w:szCs w:val="24"/>
        </w:rPr>
        <w:t>he offences arise out of the same transaction.</w:t>
      </w:r>
    </w:p>
    <w:p w:rsidR="00F104A9" w:rsidRPr="0060748C" w:rsidRDefault="00F104A9" w:rsidP="0060748C">
      <w:pPr>
        <w:ind w:left="1080" w:firstLine="360"/>
        <w:jc w:val="both"/>
        <w:rPr>
          <w:szCs w:val="24"/>
        </w:rPr>
      </w:pPr>
      <w:r w:rsidRPr="0060748C">
        <w:rPr>
          <w:szCs w:val="24"/>
        </w:rPr>
        <w:t>See</w:t>
      </w:r>
      <w:r w:rsidR="004A4168">
        <w:rPr>
          <w:szCs w:val="24"/>
        </w:rPr>
        <w:t xml:space="preserve">; </w:t>
      </w:r>
      <w:r w:rsidRPr="0060748C">
        <w:rPr>
          <w:i/>
          <w:szCs w:val="24"/>
        </w:rPr>
        <w:t>State</w:t>
      </w:r>
      <w:r w:rsidRPr="0060748C">
        <w:rPr>
          <w:szCs w:val="24"/>
        </w:rPr>
        <w:t xml:space="preserve"> v </w:t>
      </w:r>
      <w:r w:rsidRPr="0060748C">
        <w:rPr>
          <w:i/>
          <w:szCs w:val="24"/>
        </w:rPr>
        <w:t>Chayisva</w:t>
      </w:r>
      <w:r w:rsidRPr="0060748C">
        <w:rPr>
          <w:szCs w:val="24"/>
        </w:rPr>
        <w:t xml:space="preserve"> HH-17-04.</w:t>
      </w:r>
    </w:p>
    <w:p w:rsidR="00F104A9" w:rsidRPr="0060748C" w:rsidRDefault="00F104A9" w:rsidP="0060748C">
      <w:pPr>
        <w:jc w:val="both"/>
        <w:rPr>
          <w:szCs w:val="24"/>
        </w:rPr>
      </w:pPr>
      <w:r w:rsidRPr="0060748C">
        <w:rPr>
          <w:szCs w:val="24"/>
        </w:rPr>
        <w:tab/>
        <w:t xml:space="preserve">John Reid Rowland in </w:t>
      </w:r>
      <w:r w:rsidRPr="0060748C">
        <w:rPr>
          <w:i/>
          <w:szCs w:val="24"/>
        </w:rPr>
        <w:t>Criminal Procedure in Zimbabwe</w:t>
      </w:r>
      <w:r w:rsidR="00584C90">
        <w:rPr>
          <w:szCs w:val="24"/>
        </w:rPr>
        <w:t>, states the following at p</w:t>
      </w:r>
      <w:r w:rsidR="00102A21">
        <w:rPr>
          <w:szCs w:val="24"/>
        </w:rPr>
        <w:t xml:space="preserve"> 25-15;</w:t>
      </w:r>
    </w:p>
    <w:p w:rsidR="00F104A9" w:rsidRPr="0060748C" w:rsidRDefault="00F104A9" w:rsidP="0060748C">
      <w:pPr>
        <w:pStyle w:val="NoSpacing"/>
        <w:ind w:left="720"/>
        <w:jc w:val="both"/>
        <w:rPr>
          <w:szCs w:val="24"/>
        </w:rPr>
      </w:pPr>
      <w:r w:rsidRPr="0060748C">
        <w:rPr>
          <w:szCs w:val="24"/>
        </w:rPr>
        <w:lastRenderedPageBreak/>
        <w:t>“Where the accused is convicted of two or more offences, it is preferable that he should be sentenced separately for each offence especially where the offences are entirely different.  In most cases there is no practical advantage in imposing a globular sentence</w:t>
      </w:r>
      <w:r w:rsidR="00B31628">
        <w:rPr>
          <w:szCs w:val="24"/>
        </w:rPr>
        <w:t>,</w:t>
      </w:r>
      <w:r w:rsidRPr="0060748C">
        <w:rPr>
          <w:szCs w:val="24"/>
        </w:rPr>
        <w:t xml:space="preserve"> where all counts are treated as one for sentence.  A</w:t>
      </w:r>
      <w:r w:rsidR="00CC0E99">
        <w:rPr>
          <w:szCs w:val="24"/>
        </w:rPr>
        <w:t>n exception might arise where it is</w:t>
      </w:r>
      <w:r w:rsidRPr="0060748C">
        <w:rPr>
          <w:szCs w:val="24"/>
        </w:rPr>
        <w:t xml:space="preserve"> decided</w:t>
      </w:r>
      <w:r w:rsidR="00B31628">
        <w:rPr>
          <w:szCs w:val="24"/>
        </w:rPr>
        <w:t>,</w:t>
      </w:r>
      <w:r w:rsidRPr="0060748C">
        <w:rPr>
          <w:szCs w:val="24"/>
        </w:rPr>
        <w:t xml:space="preserve"> in dealing with a juvenile, to place him in a training institute or impose a sentence of whipping.  The imposition of a globular sentence often causes difficulties on appeal or review.  Consequently, one globular sentence for two or more offences should only </w:t>
      </w:r>
      <w:r w:rsidR="00B31628">
        <w:rPr>
          <w:szCs w:val="24"/>
        </w:rPr>
        <w:t>be considered where the offenc</w:t>
      </w:r>
      <w:r w:rsidRPr="0060748C">
        <w:rPr>
          <w:szCs w:val="24"/>
        </w:rPr>
        <w:t>e</w:t>
      </w:r>
      <w:r w:rsidR="00B31628">
        <w:rPr>
          <w:szCs w:val="24"/>
        </w:rPr>
        <w:t>s</w:t>
      </w:r>
      <w:r w:rsidRPr="0060748C">
        <w:rPr>
          <w:szCs w:val="24"/>
        </w:rPr>
        <w:t xml:space="preserve"> are the same or of a similar nature and are closely linked in time.  A common example is forgery and uttering.”</w:t>
      </w:r>
    </w:p>
    <w:p w:rsidR="00F104A9" w:rsidRPr="0060748C" w:rsidRDefault="00F104A9" w:rsidP="0060748C">
      <w:pPr>
        <w:jc w:val="both"/>
        <w:rPr>
          <w:szCs w:val="24"/>
        </w:rPr>
      </w:pPr>
      <w:r w:rsidRPr="0060748C">
        <w:rPr>
          <w:szCs w:val="24"/>
        </w:rPr>
        <w:tab/>
      </w:r>
      <w:r w:rsidR="005E506C" w:rsidRPr="0060748C">
        <w:rPr>
          <w:szCs w:val="24"/>
        </w:rPr>
        <w:t>The offences in this matter arise from the same transa</w:t>
      </w:r>
      <w:r w:rsidR="00AE5A18">
        <w:rPr>
          <w:szCs w:val="24"/>
        </w:rPr>
        <w:t>ction.  They are closely linked</w:t>
      </w:r>
      <w:r w:rsidR="005E506C" w:rsidRPr="0060748C">
        <w:rPr>
          <w:szCs w:val="24"/>
        </w:rPr>
        <w:t xml:space="preserve"> in time and they relate to a contravention of the Road Traffic Act. </w:t>
      </w:r>
      <w:r w:rsidR="00AE5A18">
        <w:rPr>
          <w:szCs w:val="24"/>
        </w:rPr>
        <w:t>Both counts arise from the same transaction.</w:t>
      </w:r>
      <w:r w:rsidR="005E506C" w:rsidRPr="0060748C">
        <w:rPr>
          <w:szCs w:val="24"/>
        </w:rPr>
        <w:t xml:space="preserve"> What </w:t>
      </w:r>
      <w:r w:rsidR="0025123A">
        <w:rPr>
          <w:szCs w:val="24"/>
        </w:rPr>
        <w:t xml:space="preserve">should be borne in mind, however, </w:t>
      </w:r>
      <w:r w:rsidR="005E506C" w:rsidRPr="0060748C">
        <w:rPr>
          <w:szCs w:val="24"/>
        </w:rPr>
        <w:t>is that the two offences have distinct essential elements.  An accused may co</w:t>
      </w:r>
      <w:r w:rsidR="007D7D08" w:rsidRPr="0060748C">
        <w:rPr>
          <w:szCs w:val="24"/>
        </w:rPr>
        <w:t>m</w:t>
      </w:r>
      <w:r w:rsidR="005E506C" w:rsidRPr="0060748C">
        <w:rPr>
          <w:szCs w:val="24"/>
        </w:rPr>
        <w:t>mit the offence of negligent driving whilst being the holder of a valid d</w:t>
      </w:r>
      <w:r w:rsidR="007D7D08" w:rsidRPr="0060748C">
        <w:rPr>
          <w:szCs w:val="24"/>
        </w:rPr>
        <w:t>ri</w:t>
      </w:r>
      <w:r w:rsidR="005E506C" w:rsidRPr="0060748C">
        <w:rPr>
          <w:szCs w:val="24"/>
        </w:rPr>
        <w:t xml:space="preserve">vers’ licence.  In that scenario, the </w:t>
      </w:r>
      <w:r w:rsidR="00C25ACE">
        <w:rPr>
          <w:szCs w:val="24"/>
        </w:rPr>
        <w:t>sentence for</w:t>
      </w:r>
      <w:r w:rsidR="0025123A">
        <w:rPr>
          <w:szCs w:val="24"/>
        </w:rPr>
        <w:t xml:space="preserve"> negligent</w:t>
      </w:r>
      <w:r w:rsidR="00C25ACE">
        <w:rPr>
          <w:szCs w:val="24"/>
        </w:rPr>
        <w:t xml:space="preserve"> driving will depend</w:t>
      </w:r>
      <w:r w:rsidR="005E506C" w:rsidRPr="0060748C">
        <w:rPr>
          <w:szCs w:val="24"/>
        </w:rPr>
        <w:t xml:space="preserve"> on the penal provision and the circumstances of the particular case.  Negligent driving is not necessarily committed because one is not the holder of a drivers’</w:t>
      </w:r>
      <w:r w:rsidR="007D7D08" w:rsidRPr="0060748C">
        <w:rPr>
          <w:szCs w:val="24"/>
        </w:rPr>
        <w:t xml:space="preserve"> licence.  The off</w:t>
      </w:r>
      <w:r w:rsidR="005E506C" w:rsidRPr="0060748C">
        <w:rPr>
          <w:szCs w:val="24"/>
        </w:rPr>
        <w:t>ence of driving without a licence has separate and distinct essential elements.  The sentence for driving without</w:t>
      </w:r>
      <w:r w:rsidR="00337270" w:rsidRPr="0060748C">
        <w:rPr>
          <w:szCs w:val="24"/>
        </w:rPr>
        <w:t xml:space="preserve"> a valid lice</w:t>
      </w:r>
      <w:r w:rsidR="00C25ACE">
        <w:rPr>
          <w:szCs w:val="24"/>
        </w:rPr>
        <w:t>nce cannot ordinarily be treated</w:t>
      </w:r>
      <w:r w:rsidR="00337270" w:rsidRPr="0060748C">
        <w:rPr>
          <w:szCs w:val="24"/>
        </w:rPr>
        <w:t xml:space="preserve"> as one for the purpose of sentence with the offence of negligent driving.  The irregularity of treating these offences as one for the purpose of sentence immediately becomes apparent when one examines the sentence </w:t>
      </w:r>
      <w:r w:rsidR="009C7200">
        <w:rPr>
          <w:szCs w:val="24"/>
        </w:rPr>
        <w:t xml:space="preserve">imposed by the trial magistrate in the court </w:t>
      </w:r>
      <w:r w:rsidR="009C7200" w:rsidRPr="009C7200">
        <w:rPr>
          <w:i/>
          <w:szCs w:val="24"/>
        </w:rPr>
        <w:t>a quo</w:t>
      </w:r>
      <w:r w:rsidR="009C7200">
        <w:rPr>
          <w:szCs w:val="24"/>
        </w:rPr>
        <w:t>.</w:t>
      </w:r>
      <w:r w:rsidR="00337270" w:rsidRPr="0060748C">
        <w:rPr>
          <w:szCs w:val="24"/>
        </w:rPr>
        <w:t xml:space="preserve">  That sentence is in the following terms:</w:t>
      </w:r>
    </w:p>
    <w:p w:rsidR="00337270" w:rsidRPr="0060748C" w:rsidRDefault="00337270" w:rsidP="0060748C">
      <w:pPr>
        <w:pStyle w:val="NoSpacing"/>
        <w:ind w:left="720"/>
        <w:jc w:val="both"/>
        <w:rPr>
          <w:szCs w:val="24"/>
        </w:rPr>
      </w:pPr>
      <w:r w:rsidRPr="00B67E35">
        <w:rPr>
          <w:i/>
          <w:szCs w:val="24"/>
        </w:rPr>
        <w:t>“… 6 months imprisonment is suspended for 3 years on condition</w:t>
      </w:r>
      <w:r w:rsidRPr="0060748C">
        <w:rPr>
          <w:szCs w:val="24"/>
        </w:rPr>
        <w:t xml:space="preserve"> </w:t>
      </w:r>
      <w:r w:rsidRPr="00B67E35">
        <w:rPr>
          <w:i/>
          <w:szCs w:val="24"/>
        </w:rPr>
        <w:t>accused does not</w:t>
      </w:r>
      <w:r w:rsidRPr="0060748C">
        <w:rPr>
          <w:szCs w:val="24"/>
        </w:rPr>
        <w:t xml:space="preserve"> </w:t>
      </w:r>
      <w:r w:rsidRPr="00B67E35">
        <w:rPr>
          <w:i/>
          <w:szCs w:val="24"/>
        </w:rPr>
        <w:t>within that period commit an offence involving driving a motor vehicle without a val</w:t>
      </w:r>
      <w:r w:rsidRPr="0060748C">
        <w:rPr>
          <w:szCs w:val="24"/>
        </w:rPr>
        <w:t xml:space="preserve">id </w:t>
      </w:r>
      <w:r w:rsidRPr="00B67E35">
        <w:rPr>
          <w:i/>
          <w:szCs w:val="24"/>
        </w:rPr>
        <w:t>licence for which upon conviction he is imprisoned without the option of a fine.”</w:t>
      </w:r>
    </w:p>
    <w:p w:rsidR="00337270" w:rsidRPr="0060748C" w:rsidRDefault="00337270" w:rsidP="0060748C">
      <w:pPr>
        <w:jc w:val="both"/>
        <w:rPr>
          <w:szCs w:val="24"/>
        </w:rPr>
      </w:pPr>
      <w:r w:rsidRPr="0060748C">
        <w:rPr>
          <w:szCs w:val="24"/>
        </w:rPr>
        <w:tab/>
        <w:t xml:space="preserve">In the event that accused is convicted of any other offence in violation of the Road Traffic Act, such </w:t>
      </w:r>
      <w:r w:rsidR="00D810A0">
        <w:rPr>
          <w:szCs w:val="24"/>
        </w:rPr>
        <w:t>a</w:t>
      </w:r>
      <w:r w:rsidR="008A4AC2" w:rsidRPr="0060748C">
        <w:rPr>
          <w:szCs w:val="24"/>
        </w:rPr>
        <w:t>s negligent driving or driving without due care and attention, the suspended sentence becomes meaningless</w:t>
      </w:r>
      <w:r w:rsidR="00D810A0">
        <w:rPr>
          <w:szCs w:val="24"/>
        </w:rPr>
        <w:t>. The suspended sentence cannot be brought into effect.</w:t>
      </w:r>
      <w:r w:rsidR="008A4AC2" w:rsidRPr="0060748C">
        <w:rPr>
          <w:szCs w:val="24"/>
        </w:rPr>
        <w:t xml:space="preserve"> These two offences should therefore, not have been treated as one for the purpose of sentence.  The t</w:t>
      </w:r>
      <w:r w:rsidR="00EB6A47">
        <w:rPr>
          <w:szCs w:val="24"/>
        </w:rPr>
        <w:t>rial magistrate’s sentence seems</w:t>
      </w:r>
      <w:r w:rsidR="008A4AC2" w:rsidRPr="0060748C">
        <w:rPr>
          <w:szCs w:val="24"/>
        </w:rPr>
        <w:t xml:space="preserve"> to suggest that one can commit a crime of negligent driving </w:t>
      </w:r>
      <w:r w:rsidR="00EB6A47">
        <w:rPr>
          <w:szCs w:val="24"/>
        </w:rPr>
        <w:t>in future</w:t>
      </w:r>
      <w:r w:rsidR="008A4AC2" w:rsidRPr="0060748C">
        <w:rPr>
          <w:szCs w:val="24"/>
        </w:rPr>
        <w:t xml:space="preserve"> because the accused would be in possession of a valid </w:t>
      </w:r>
      <w:r w:rsidR="008877CB">
        <w:rPr>
          <w:szCs w:val="24"/>
        </w:rPr>
        <w:t>drivers’ licence.  The sentence</w:t>
      </w:r>
      <w:r w:rsidR="008A4AC2" w:rsidRPr="0060748C">
        <w:rPr>
          <w:szCs w:val="24"/>
        </w:rPr>
        <w:t xml:space="preserve"> </w:t>
      </w:r>
      <w:r w:rsidR="008A4AC2" w:rsidRPr="0060748C">
        <w:rPr>
          <w:szCs w:val="24"/>
        </w:rPr>
        <w:lastRenderedPageBreak/>
        <w:t>seems to suggest that the accused is only being punished because he was not the holder of a valid licence, regardless of the fact that he was negligent.</w:t>
      </w:r>
    </w:p>
    <w:p w:rsidR="008A4AC2" w:rsidRPr="0060748C" w:rsidRDefault="008A4AC2" w:rsidP="0060748C">
      <w:pPr>
        <w:jc w:val="both"/>
        <w:rPr>
          <w:szCs w:val="24"/>
        </w:rPr>
      </w:pPr>
      <w:r w:rsidRPr="0060748C">
        <w:rPr>
          <w:szCs w:val="24"/>
        </w:rPr>
        <w:tab/>
        <w:t>For the foregoing reasons, the sentence</w:t>
      </w:r>
      <w:r w:rsidR="007D7D08" w:rsidRPr="0060748C">
        <w:rPr>
          <w:szCs w:val="24"/>
        </w:rPr>
        <w:t xml:space="preserve"> of the court </w:t>
      </w:r>
      <w:r w:rsidR="007D7D08" w:rsidRPr="008877CB">
        <w:rPr>
          <w:i/>
          <w:szCs w:val="24"/>
        </w:rPr>
        <w:t>a quo</w:t>
      </w:r>
      <w:r w:rsidR="007D7D08" w:rsidRPr="0060748C">
        <w:rPr>
          <w:szCs w:val="24"/>
        </w:rPr>
        <w:t xml:space="preserve"> suffers from irregularity.</w:t>
      </w:r>
    </w:p>
    <w:p w:rsidR="007D7D08" w:rsidRDefault="007D7D08" w:rsidP="0060748C">
      <w:pPr>
        <w:jc w:val="both"/>
        <w:rPr>
          <w:szCs w:val="24"/>
        </w:rPr>
      </w:pPr>
      <w:r w:rsidRPr="0060748C">
        <w:rPr>
          <w:szCs w:val="24"/>
        </w:rPr>
        <w:tab/>
        <w:t>In the circumstances I am unable to certify these proceedings as being in accordance with real and substantial justi</w:t>
      </w:r>
      <w:r w:rsidR="0060748C" w:rsidRPr="0060748C">
        <w:rPr>
          <w:szCs w:val="24"/>
        </w:rPr>
        <w:t>c</w:t>
      </w:r>
      <w:r w:rsidR="008877CB">
        <w:rPr>
          <w:szCs w:val="24"/>
        </w:rPr>
        <w:t xml:space="preserve">e.  </w:t>
      </w:r>
    </w:p>
    <w:p w:rsidR="008877CB" w:rsidRDefault="008877CB" w:rsidP="007A715C">
      <w:pPr>
        <w:ind w:firstLine="360"/>
        <w:jc w:val="both"/>
        <w:rPr>
          <w:szCs w:val="24"/>
        </w:rPr>
      </w:pPr>
      <w:r>
        <w:rPr>
          <w:szCs w:val="24"/>
        </w:rPr>
        <w:t>I accordingly make the following order;</w:t>
      </w:r>
    </w:p>
    <w:p w:rsidR="008877CB" w:rsidRDefault="008877CB" w:rsidP="008877CB">
      <w:pPr>
        <w:pStyle w:val="ListParagraph"/>
        <w:numPr>
          <w:ilvl w:val="0"/>
          <w:numId w:val="3"/>
        </w:numPr>
        <w:jc w:val="both"/>
        <w:rPr>
          <w:szCs w:val="24"/>
        </w:rPr>
      </w:pPr>
      <w:r>
        <w:rPr>
          <w:szCs w:val="24"/>
        </w:rPr>
        <w:t>The conviction is herby confirmed</w:t>
      </w:r>
    </w:p>
    <w:p w:rsidR="008877CB" w:rsidRDefault="008877CB" w:rsidP="008877CB">
      <w:pPr>
        <w:pStyle w:val="ListParagraph"/>
        <w:numPr>
          <w:ilvl w:val="0"/>
          <w:numId w:val="3"/>
        </w:numPr>
        <w:jc w:val="both"/>
        <w:rPr>
          <w:szCs w:val="24"/>
        </w:rPr>
      </w:pPr>
      <w:r>
        <w:rPr>
          <w:szCs w:val="24"/>
        </w:rPr>
        <w:t>The matter is remitted back to the trial magistrate for re-sentencing in terms of the law.</w:t>
      </w:r>
    </w:p>
    <w:p w:rsidR="008877CB" w:rsidRDefault="008877CB" w:rsidP="007A715C">
      <w:pPr>
        <w:jc w:val="both"/>
        <w:rPr>
          <w:szCs w:val="24"/>
        </w:rPr>
      </w:pPr>
    </w:p>
    <w:p w:rsidR="00946D0B" w:rsidRDefault="00946D0B" w:rsidP="008877CB">
      <w:pPr>
        <w:pStyle w:val="ListParagraph"/>
        <w:jc w:val="both"/>
        <w:rPr>
          <w:szCs w:val="24"/>
        </w:rPr>
      </w:pPr>
    </w:p>
    <w:p w:rsidR="008877CB" w:rsidRPr="007A715C" w:rsidRDefault="008877CB" w:rsidP="007A715C">
      <w:pPr>
        <w:ind w:left="1440" w:firstLine="720"/>
        <w:jc w:val="both"/>
        <w:rPr>
          <w:szCs w:val="24"/>
        </w:rPr>
      </w:pPr>
      <w:r w:rsidRPr="007A715C">
        <w:rPr>
          <w:szCs w:val="24"/>
        </w:rPr>
        <w:t>M</w:t>
      </w:r>
      <w:r w:rsidR="007A715C" w:rsidRPr="007A715C">
        <w:rPr>
          <w:szCs w:val="24"/>
        </w:rPr>
        <w:t>oyo</w:t>
      </w:r>
      <w:r w:rsidRPr="007A715C">
        <w:rPr>
          <w:szCs w:val="24"/>
        </w:rPr>
        <w:t xml:space="preserve"> J ……</w:t>
      </w:r>
      <w:r w:rsidR="007A715C" w:rsidRPr="007A715C">
        <w:rPr>
          <w:szCs w:val="24"/>
        </w:rPr>
        <w:t>……………………………….</w:t>
      </w:r>
      <w:r w:rsidRPr="007A715C">
        <w:rPr>
          <w:szCs w:val="24"/>
        </w:rPr>
        <w:t>.</w:t>
      </w:r>
      <w:r w:rsidR="007A715C" w:rsidRPr="007A715C">
        <w:rPr>
          <w:szCs w:val="24"/>
        </w:rPr>
        <w:t xml:space="preserve"> I </w:t>
      </w:r>
      <w:r w:rsidRPr="007A715C">
        <w:rPr>
          <w:szCs w:val="24"/>
        </w:rPr>
        <w:t>agree</w:t>
      </w:r>
    </w:p>
    <w:p w:rsidR="00F3386A" w:rsidRPr="0060748C" w:rsidRDefault="00F3386A" w:rsidP="0060748C">
      <w:pPr>
        <w:jc w:val="both"/>
        <w:rPr>
          <w:b/>
          <w:szCs w:val="24"/>
        </w:rPr>
      </w:pPr>
    </w:p>
    <w:sectPr w:rsidR="00F3386A" w:rsidRPr="0060748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E73" w:rsidRDefault="00E97E73" w:rsidP="00F3386A">
      <w:pPr>
        <w:spacing w:before="0" w:after="0" w:line="240" w:lineRule="auto"/>
      </w:pPr>
      <w:r>
        <w:separator/>
      </w:r>
    </w:p>
  </w:endnote>
  <w:endnote w:type="continuationSeparator" w:id="1">
    <w:p w:rsidR="00E97E73" w:rsidRDefault="00E97E73" w:rsidP="00F3386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E73" w:rsidRDefault="00E97E73" w:rsidP="00F3386A">
      <w:pPr>
        <w:spacing w:before="0" w:after="0" w:line="240" w:lineRule="auto"/>
      </w:pPr>
      <w:r>
        <w:separator/>
      </w:r>
    </w:p>
  </w:footnote>
  <w:footnote w:type="continuationSeparator" w:id="1">
    <w:p w:rsidR="00E97E73" w:rsidRDefault="00E97E73" w:rsidP="00F3386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7039"/>
      <w:docPartObj>
        <w:docPartGallery w:val="Page Numbers (Top of Page)"/>
        <w:docPartUnique/>
      </w:docPartObj>
    </w:sdtPr>
    <w:sdtContent>
      <w:p w:rsidR="007D7D08" w:rsidRDefault="00D668C1">
        <w:pPr>
          <w:pStyle w:val="Header"/>
          <w:jc w:val="right"/>
        </w:pPr>
        <w:fldSimple w:instr=" PAGE   \* MERGEFORMAT ">
          <w:r w:rsidR="000D2C49">
            <w:rPr>
              <w:noProof/>
            </w:rPr>
            <w:t>5</w:t>
          </w:r>
        </w:fldSimple>
      </w:p>
      <w:p w:rsidR="007D7D08" w:rsidRDefault="007D7D08" w:rsidP="007D7D08">
        <w:pPr>
          <w:pStyle w:val="NoSpacing"/>
          <w:ind w:left="7200" w:firstLine="720"/>
        </w:pPr>
        <w:r>
          <w:t xml:space="preserve"> </w:t>
        </w:r>
        <w:r w:rsidR="007A715C">
          <w:t xml:space="preserve">  </w:t>
        </w:r>
        <w:r>
          <w:t xml:space="preserve"> HB</w:t>
        </w:r>
        <w:r w:rsidR="007A715C">
          <w:t xml:space="preserve"> 228</w:t>
        </w:r>
        <w:r>
          <w:t>/20</w:t>
        </w:r>
      </w:p>
      <w:p w:rsidR="007D7D08" w:rsidRDefault="007D7D08" w:rsidP="007D7D08">
        <w:pPr>
          <w:pStyle w:val="NoSpacing"/>
          <w:ind w:left="7200"/>
        </w:pPr>
        <w:r>
          <w:t xml:space="preserve">          HCAR 1679/20</w:t>
        </w:r>
      </w:p>
      <w:p w:rsidR="007D7D08" w:rsidRDefault="007D7D08" w:rsidP="007D7D08">
        <w:pPr>
          <w:pStyle w:val="NoSpacing"/>
          <w:ind w:left="7200" w:firstLine="720"/>
        </w:pPr>
        <w:r>
          <w:t xml:space="preserve">     CRB 45/20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7984"/>
    <w:multiLevelType w:val="hybridMultilevel"/>
    <w:tmpl w:val="15325E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7CB5983"/>
    <w:multiLevelType w:val="hybridMultilevel"/>
    <w:tmpl w:val="FDCC05F0"/>
    <w:lvl w:ilvl="0" w:tplc="8DD806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604DE8"/>
    <w:multiLevelType w:val="hybridMultilevel"/>
    <w:tmpl w:val="148A4A6A"/>
    <w:lvl w:ilvl="0" w:tplc="9E6C0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386A"/>
    <w:rsid w:val="000D2C49"/>
    <w:rsid w:val="00102A21"/>
    <w:rsid w:val="00177E97"/>
    <w:rsid w:val="001D109E"/>
    <w:rsid w:val="001D126B"/>
    <w:rsid w:val="0025123A"/>
    <w:rsid w:val="002A46B3"/>
    <w:rsid w:val="002C7F8A"/>
    <w:rsid w:val="002D42A0"/>
    <w:rsid w:val="0030182E"/>
    <w:rsid w:val="00337270"/>
    <w:rsid w:val="003A3365"/>
    <w:rsid w:val="003C11AF"/>
    <w:rsid w:val="003E5BAA"/>
    <w:rsid w:val="00441630"/>
    <w:rsid w:val="0047513B"/>
    <w:rsid w:val="00477B02"/>
    <w:rsid w:val="004A4168"/>
    <w:rsid w:val="004C73B5"/>
    <w:rsid w:val="004D1358"/>
    <w:rsid w:val="00512288"/>
    <w:rsid w:val="0054317D"/>
    <w:rsid w:val="005445CB"/>
    <w:rsid w:val="0056112C"/>
    <w:rsid w:val="00584C90"/>
    <w:rsid w:val="005E506C"/>
    <w:rsid w:val="0060748C"/>
    <w:rsid w:val="0068662E"/>
    <w:rsid w:val="006A03C9"/>
    <w:rsid w:val="006F67D3"/>
    <w:rsid w:val="00701C30"/>
    <w:rsid w:val="007A715C"/>
    <w:rsid w:val="007B49A6"/>
    <w:rsid w:val="007D0B26"/>
    <w:rsid w:val="007D2790"/>
    <w:rsid w:val="007D7D08"/>
    <w:rsid w:val="008877CB"/>
    <w:rsid w:val="008A4AC2"/>
    <w:rsid w:val="008A7672"/>
    <w:rsid w:val="008C3209"/>
    <w:rsid w:val="00946D0B"/>
    <w:rsid w:val="009542AB"/>
    <w:rsid w:val="009547AF"/>
    <w:rsid w:val="009C7200"/>
    <w:rsid w:val="009E5C1A"/>
    <w:rsid w:val="00A50BC8"/>
    <w:rsid w:val="00A83361"/>
    <w:rsid w:val="00AE5A18"/>
    <w:rsid w:val="00B17F59"/>
    <w:rsid w:val="00B31628"/>
    <w:rsid w:val="00B67E35"/>
    <w:rsid w:val="00BE6FC5"/>
    <w:rsid w:val="00C174FC"/>
    <w:rsid w:val="00C25ACE"/>
    <w:rsid w:val="00C61900"/>
    <w:rsid w:val="00CC0E99"/>
    <w:rsid w:val="00D20B4C"/>
    <w:rsid w:val="00D668C1"/>
    <w:rsid w:val="00D810A0"/>
    <w:rsid w:val="00DA5400"/>
    <w:rsid w:val="00E10C27"/>
    <w:rsid w:val="00E26604"/>
    <w:rsid w:val="00E97E73"/>
    <w:rsid w:val="00EB6A47"/>
    <w:rsid w:val="00EE09D0"/>
    <w:rsid w:val="00F104A9"/>
    <w:rsid w:val="00F33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F3386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86A"/>
    <w:rPr>
      <w:rFonts w:ascii="Times New Roman" w:hAnsi="Times New Roman"/>
      <w:sz w:val="24"/>
    </w:rPr>
  </w:style>
  <w:style w:type="paragraph" w:styleId="Footer">
    <w:name w:val="footer"/>
    <w:basedOn w:val="Normal"/>
    <w:link w:val="FooterChar"/>
    <w:uiPriority w:val="99"/>
    <w:semiHidden/>
    <w:unhideWhenUsed/>
    <w:rsid w:val="00F3386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3386A"/>
    <w:rPr>
      <w:rFonts w:ascii="Times New Roman" w:hAnsi="Times New Roman"/>
      <w:sz w:val="24"/>
    </w:rPr>
  </w:style>
  <w:style w:type="paragraph" w:styleId="ListParagraph">
    <w:name w:val="List Paragraph"/>
    <w:basedOn w:val="Normal"/>
    <w:uiPriority w:val="34"/>
    <w:qFormat/>
    <w:rsid w:val="0047513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35</cp:revision>
  <cp:lastPrinted>2020-10-22T10:47:00Z</cp:lastPrinted>
  <dcterms:created xsi:type="dcterms:W3CDTF">2020-10-19T05:37:00Z</dcterms:created>
  <dcterms:modified xsi:type="dcterms:W3CDTF">2020-10-22T10:48:00Z</dcterms:modified>
</cp:coreProperties>
</file>