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AAE9" w14:textId="77777777" w:rsidR="006E340C" w:rsidRDefault="006E340C"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STATE </w:t>
      </w:r>
    </w:p>
    <w:p w14:paraId="1D62B1DC" w14:textId="41F9DED0" w:rsidR="006E340C" w:rsidRDefault="006E340C"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Versus</w:t>
      </w:r>
    </w:p>
    <w:p w14:paraId="45992947" w14:textId="67BD04D1" w:rsidR="00BA4014" w:rsidRDefault="006E340C"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DAVISON CHEKUMENYA</w:t>
      </w:r>
    </w:p>
    <w:p w14:paraId="596EB2CC" w14:textId="77777777" w:rsidR="006E340C" w:rsidRDefault="006E340C" w:rsidP="00BA4014">
      <w:pPr>
        <w:spacing w:line="240" w:lineRule="auto"/>
        <w:contextualSpacing/>
        <w:rPr>
          <w:rFonts w:ascii="Times New Roman" w:hAnsi="Times New Roman" w:cs="Times New Roman"/>
          <w:sz w:val="24"/>
          <w:szCs w:val="24"/>
        </w:rPr>
      </w:pPr>
    </w:p>
    <w:p w14:paraId="1FD1597E" w14:textId="77777777" w:rsidR="00BA4014" w:rsidRDefault="00BA4014" w:rsidP="00BA4014">
      <w:pPr>
        <w:spacing w:line="240" w:lineRule="auto"/>
        <w:contextualSpacing/>
        <w:rPr>
          <w:rFonts w:ascii="Times New Roman" w:hAnsi="Times New Roman" w:cs="Times New Roman"/>
          <w:sz w:val="24"/>
          <w:szCs w:val="24"/>
        </w:rPr>
      </w:pPr>
    </w:p>
    <w:p w14:paraId="3D63024D" w14:textId="73CFF130" w:rsidR="00782CC6" w:rsidRDefault="00782CC6"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r>
      <w:r w:rsidR="008531B8" w:rsidRPr="008531B8">
        <w:rPr>
          <w:rFonts w:ascii="Times New Roman" w:hAnsi="Times New Roman" w:cs="Times New Roman"/>
          <w:bCs/>
          <w:sz w:val="24"/>
          <w:szCs w:val="24"/>
        </w:rPr>
        <w:t>BACHI MZAWAZI</w:t>
      </w:r>
      <w:r w:rsidR="000E1D20">
        <w:rPr>
          <w:rFonts w:ascii="Times New Roman" w:hAnsi="Times New Roman" w:cs="Times New Roman"/>
          <w:bCs/>
          <w:sz w:val="24"/>
          <w:szCs w:val="24"/>
        </w:rPr>
        <w:t xml:space="preserve"> </w:t>
      </w:r>
      <w:r w:rsidRPr="008531B8">
        <w:rPr>
          <w:rFonts w:ascii="Times New Roman" w:hAnsi="Times New Roman" w:cs="Times New Roman"/>
          <w:bCs/>
          <w:sz w:val="24"/>
          <w:szCs w:val="24"/>
        </w:rPr>
        <w:t>J</w:t>
      </w:r>
      <w:r w:rsidRPr="008531B8">
        <w:rPr>
          <w:rFonts w:ascii="Times New Roman" w:hAnsi="Times New Roman" w:cs="Times New Roman"/>
          <w:bCs/>
          <w:sz w:val="24"/>
          <w:szCs w:val="24"/>
        </w:rPr>
        <w:br/>
      </w:r>
      <w:r w:rsidR="00205076">
        <w:rPr>
          <w:rFonts w:ascii="Times New Roman" w:hAnsi="Times New Roman" w:cs="Times New Roman"/>
          <w:sz w:val="24"/>
          <w:szCs w:val="24"/>
        </w:rPr>
        <w:t>CHINHOY</w:t>
      </w:r>
      <w:r w:rsidR="00621042">
        <w:rPr>
          <w:rFonts w:ascii="Times New Roman" w:hAnsi="Times New Roman" w:cs="Times New Roman"/>
          <w:sz w:val="24"/>
          <w:szCs w:val="24"/>
        </w:rPr>
        <w:t>I</w:t>
      </w:r>
    </w:p>
    <w:p w14:paraId="1A5C2169" w14:textId="77777777" w:rsidR="002E6A3D" w:rsidRDefault="002E6A3D" w:rsidP="006229DA">
      <w:pPr>
        <w:spacing w:line="360" w:lineRule="auto"/>
        <w:ind w:firstLine="720"/>
        <w:jc w:val="both"/>
        <w:rPr>
          <w:rFonts w:ascii="Times New Roman" w:hAnsi="Times New Roman" w:cs="Times New Roman"/>
          <w:sz w:val="24"/>
          <w:szCs w:val="24"/>
        </w:rPr>
      </w:pPr>
    </w:p>
    <w:p w14:paraId="1114DA14" w14:textId="3B7A415A" w:rsidR="007B7A54" w:rsidRDefault="007B7A54" w:rsidP="006E340C">
      <w:pPr>
        <w:rPr>
          <w:rFonts w:ascii="Times New Roman" w:hAnsi="Times New Roman" w:cs="Times New Roman"/>
          <w:b/>
          <w:sz w:val="24"/>
          <w:szCs w:val="24"/>
        </w:rPr>
      </w:pPr>
      <w:r>
        <w:rPr>
          <w:rFonts w:ascii="Times New Roman" w:hAnsi="Times New Roman" w:cs="Times New Roman"/>
          <w:b/>
          <w:sz w:val="24"/>
          <w:szCs w:val="24"/>
        </w:rPr>
        <w:t xml:space="preserve">Criminal </w:t>
      </w:r>
      <w:r w:rsidR="006E340C">
        <w:rPr>
          <w:rFonts w:ascii="Times New Roman" w:hAnsi="Times New Roman" w:cs="Times New Roman"/>
          <w:b/>
          <w:sz w:val="24"/>
          <w:szCs w:val="24"/>
        </w:rPr>
        <w:t>Review</w:t>
      </w:r>
    </w:p>
    <w:p w14:paraId="5C29EEE3" w14:textId="77777777" w:rsidR="006E340C" w:rsidRDefault="006E340C" w:rsidP="006E340C">
      <w:pPr>
        <w:rPr>
          <w:rFonts w:ascii="Times New Roman" w:hAnsi="Times New Roman" w:cs="Times New Roman"/>
          <w:b/>
          <w:sz w:val="24"/>
          <w:szCs w:val="24"/>
        </w:rPr>
      </w:pPr>
    </w:p>
    <w:p w14:paraId="51B9D3A4" w14:textId="71135A8C" w:rsidR="006E340C" w:rsidRDefault="000E1D20" w:rsidP="006E340C">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BACHI MZAWAZI</w:t>
      </w:r>
      <w:r w:rsidR="00621042">
        <w:rPr>
          <w:rFonts w:ascii="Times New Roman" w:hAnsi="Times New Roman" w:cs="Times New Roman"/>
          <w:b/>
          <w:sz w:val="24"/>
          <w:szCs w:val="24"/>
        </w:rPr>
        <w:t xml:space="preserve"> </w:t>
      </w:r>
      <w:r w:rsidR="00C373F1" w:rsidRPr="00782CC6">
        <w:rPr>
          <w:rFonts w:ascii="Times New Roman" w:hAnsi="Times New Roman" w:cs="Times New Roman"/>
          <w:b/>
          <w:sz w:val="24"/>
          <w:szCs w:val="24"/>
        </w:rPr>
        <w:t>J</w:t>
      </w:r>
      <w:r>
        <w:rPr>
          <w:rFonts w:ascii="Times New Roman" w:hAnsi="Times New Roman" w:cs="Times New Roman"/>
          <w:sz w:val="24"/>
          <w:szCs w:val="24"/>
        </w:rPr>
        <w:t xml:space="preserve">: </w:t>
      </w:r>
      <w:r w:rsidR="00D37339">
        <w:rPr>
          <w:rFonts w:ascii="Times New Roman" w:hAnsi="Times New Roman" w:cs="Times New Roman"/>
          <w:sz w:val="24"/>
          <w:szCs w:val="24"/>
        </w:rPr>
        <w:t xml:space="preserve"> </w:t>
      </w:r>
      <w:r w:rsidR="006E340C">
        <w:rPr>
          <w:rFonts w:ascii="Times New Roman" w:hAnsi="Times New Roman" w:cs="Times New Roman"/>
          <w:sz w:val="24"/>
          <w:szCs w:val="24"/>
        </w:rPr>
        <w:t xml:space="preserve">A </w:t>
      </w:r>
      <w:r w:rsidR="00A522A3">
        <w:rPr>
          <w:rFonts w:ascii="Times New Roman" w:hAnsi="Times New Roman" w:cs="Times New Roman"/>
          <w:sz w:val="24"/>
          <w:szCs w:val="24"/>
        </w:rPr>
        <w:t>fourteen-year-old</w:t>
      </w:r>
      <w:r w:rsidR="006E340C">
        <w:rPr>
          <w:rFonts w:ascii="Times New Roman" w:hAnsi="Times New Roman" w:cs="Times New Roman"/>
          <w:sz w:val="24"/>
          <w:szCs w:val="24"/>
        </w:rPr>
        <w:t xml:space="preserve"> boy was sentenced to an </w:t>
      </w:r>
      <w:r w:rsidR="00A522A3">
        <w:rPr>
          <w:rFonts w:ascii="Times New Roman" w:hAnsi="Times New Roman" w:cs="Times New Roman"/>
          <w:sz w:val="24"/>
          <w:szCs w:val="24"/>
        </w:rPr>
        <w:t>effective</w:t>
      </w:r>
      <w:r w:rsidR="006E340C">
        <w:rPr>
          <w:rFonts w:ascii="Times New Roman" w:hAnsi="Times New Roman" w:cs="Times New Roman"/>
          <w:sz w:val="24"/>
          <w:szCs w:val="24"/>
        </w:rPr>
        <w:t xml:space="preserve"> </w:t>
      </w:r>
      <w:r w:rsidR="00A522A3">
        <w:rPr>
          <w:rFonts w:ascii="Times New Roman" w:hAnsi="Times New Roman" w:cs="Times New Roman"/>
          <w:sz w:val="24"/>
          <w:szCs w:val="24"/>
        </w:rPr>
        <w:t>5-year</w:t>
      </w:r>
      <w:r w:rsidR="006E340C">
        <w:rPr>
          <w:rFonts w:ascii="Times New Roman" w:hAnsi="Times New Roman" w:cs="Times New Roman"/>
          <w:sz w:val="24"/>
          <w:szCs w:val="24"/>
        </w:rPr>
        <w:t xml:space="preserve"> imprisonment term. He had been convicted of rape in terms of section 64 (1) as read </w:t>
      </w:r>
      <w:r w:rsidR="00A522A3">
        <w:rPr>
          <w:rFonts w:ascii="Times New Roman" w:hAnsi="Times New Roman" w:cs="Times New Roman"/>
          <w:sz w:val="24"/>
          <w:szCs w:val="24"/>
        </w:rPr>
        <w:t>with section</w:t>
      </w:r>
      <w:r w:rsidR="006E340C">
        <w:rPr>
          <w:rFonts w:ascii="Times New Roman" w:hAnsi="Times New Roman" w:cs="Times New Roman"/>
          <w:sz w:val="24"/>
          <w:szCs w:val="24"/>
        </w:rPr>
        <w:t xml:space="preserve"> 65 (1) of the Criminal Law Codification and Reform Act [</w:t>
      </w:r>
      <w:r w:rsidR="006E340C" w:rsidRPr="00A522A3">
        <w:rPr>
          <w:rFonts w:ascii="Times New Roman" w:hAnsi="Times New Roman" w:cs="Times New Roman"/>
          <w:i/>
          <w:iCs/>
          <w:sz w:val="24"/>
          <w:szCs w:val="24"/>
        </w:rPr>
        <w:t>Chapter 9:23</w:t>
      </w:r>
      <w:r w:rsidR="006E340C">
        <w:rPr>
          <w:rFonts w:ascii="Times New Roman" w:hAnsi="Times New Roman" w:cs="Times New Roman"/>
          <w:sz w:val="24"/>
          <w:szCs w:val="24"/>
        </w:rPr>
        <w:t>]. It is alleged that he had raped a minor girl aged four yea</w:t>
      </w:r>
      <w:r w:rsidR="00D37339">
        <w:rPr>
          <w:rFonts w:ascii="Times New Roman" w:hAnsi="Times New Roman" w:cs="Times New Roman"/>
          <w:sz w:val="24"/>
          <w:szCs w:val="24"/>
        </w:rPr>
        <w:t>rs at the time of the commission of the offence</w:t>
      </w:r>
      <w:r w:rsidR="006E340C">
        <w:rPr>
          <w:rFonts w:ascii="Times New Roman" w:hAnsi="Times New Roman" w:cs="Times New Roman"/>
          <w:sz w:val="24"/>
          <w:szCs w:val="24"/>
        </w:rPr>
        <w:t>. The minor had visited the accused</w:t>
      </w:r>
      <w:r w:rsidR="00EF41BC">
        <w:rPr>
          <w:rFonts w:ascii="Times New Roman" w:hAnsi="Times New Roman" w:cs="Times New Roman"/>
          <w:sz w:val="24"/>
          <w:szCs w:val="24"/>
        </w:rPr>
        <w:t>’s</w:t>
      </w:r>
      <w:r w:rsidR="006E340C">
        <w:rPr>
          <w:rFonts w:ascii="Times New Roman" w:hAnsi="Times New Roman" w:cs="Times New Roman"/>
          <w:sz w:val="24"/>
          <w:szCs w:val="24"/>
        </w:rPr>
        <w:t xml:space="preserve"> room looking for her friend. Reportedly</w:t>
      </w:r>
      <w:r w:rsidR="00EF41BC">
        <w:rPr>
          <w:rFonts w:ascii="Times New Roman" w:hAnsi="Times New Roman" w:cs="Times New Roman"/>
          <w:sz w:val="24"/>
          <w:szCs w:val="24"/>
        </w:rPr>
        <w:t>,</w:t>
      </w:r>
      <w:r w:rsidR="006E340C">
        <w:rPr>
          <w:rFonts w:ascii="Times New Roman" w:hAnsi="Times New Roman" w:cs="Times New Roman"/>
          <w:sz w:val="24"/>
          <w:szCs w:val="24"/>
        </w:rPr>
        <w:t xml:space="preserve"> accused took advantage of the child,</w:t>
      </w:r>
      <w:r w:rsidR="00CB4828">
        <w:rPr>
          <w:rFonts w:ascii="Times New Roman" w:hAnsi="Times New Roman" w:cs="Times New Roman"/>
          <w:sz w:val="24"/>
          <w:szCs w:val="24"/>
        </w:rPr>
        <w:t xml:space="preserve"> dragged and</w:t>
      </w:r>
      <w:r w:rsidR="006E340C">
        <w:rPr>
          <w:rFonts w:ascii="Times New Roman" w:hAnsi="Times New Roman" w:cs="Times New Roman"/>
          <w:sz w:val="24"/>
          <w:szCs w:val="24"/>
        </w:rPr>
        <w:t xml:space="preserve"> placed her on a sofa and committed some indecent acts through her anal organ</w:t>
      </w:r>
      <w:r w:rsidR="00F915E0">
        <w:rPr>
          <w:rFonts w:ascii="Times New Roman" w:hAnsi="Times New Roman" w:cs="Times New Roman"/>
          <w:sz w:val="24"/>
          <w:szCs w:val="24"/>
        </w:rPr>
        <w:t>, before raping her.</w:t>
      </w:r>
    </w:p>
    <w:p w14:paraId="06920FEA" w14:textId="68D81FE9" w:rsidR="006E340C" w:rsidRDefault="006E340C" w:rsidP="006E34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defence, the accused who was accompanied by his guardian the mother</w:t>
      </w:r>
      <w:r w:rsidR="006E157A">
        <w:rPr>
          <w:rFonts w:ascii="Times New Roman" w:hAnsi="Times New Roman" w:cs="Times New Roman"/>
          <w:sz w:val="24"/>
          <w:szCs w:val="24"/>
        </w:rPr>
        <w:t>,</w:t>
      </w:r>
      <w:r>
        <w:rPr>
          <w:rFonts w:ascii="Times New Roman" w:hAnsi="Times New Roman" w:cs="Times New Roman"/>
          <w:sz w:val="24"/>
          <w:szCs w:val="24"/>
        </w:rPr>
        <w:t xml:space="preserve"> did not deny seeing the complainant at the residence on the day and time. He however, denies any sexual contact with her or any sexual criminal violations of the </w:t>
      </w:r>
      <w:r w:rsidR="00A522A3">
        <w:rPr>
          <w:rFonts w:ascii="Times New Roman" w:hAnsi="Times New Roman" w:cs="Times New Roman"/>
          <w:sz w:val="24"/>
          <w:szCs w:val="24"/>
        </w:rPr>
        <w:t>complainant</w:t>
      </w:r>
      <w:r>
        <w:rPr>
          <w:rFonts w:ascii="Times New Roman" w:hAnsi="Times New Roman" w:cs="Times New Roman"/>
          <w:sz w:val="24"/>
          <w:szCs w:val="24"/>
        </w:rPr>
        <w:t>. He was unrepresented.</w:t>
      </w:r>
      <w:r w:rsidR="00D37339">
        <w:rPr>
          <w:rFonts w:ascii="Times New Roman" w:hAnsi="Times New Roman" w:cs="Times New Roman"/>
          <w:sz w:val="24"/>
          <w:szCs w:val="24"/>
        </w:rPr>
        <w:t xml:space="preserve"> The boy also mentioned that he overheard the young girl’s friends </w:t>
      </w:r>
      <w:r w:rsidR="00EF41BC">
        <w:rPr>
          <w:rFonts w:ascii="Times New Roman" w:hAnsi="Times New Roman" w:cs="Times New Roman"/>
          <w:sz w:val="24"/>
          <w:szCs w:val="24"/>
        </w:rPr>
        <w:t>jeering at her when she left his</w:t>
      </w:r>
      <w:r w:rsidR="00CB4828">
        <w:rPr>
          <w:rFonts w:ascii="Times New Roman" w:hAnsi="Times New Roman" w:cs="Times New Roman"/>
          <w:sz w:val="24"/>
          <w:szCs w:val="24"/>
        </w:rPr>
        <w:t xml:space="preserve"> then</w:t>
      </w:r>
      <w:r w:rsidR="00EF41BC">
        <w:rPr>
          <w:rFonts w:ascii="Times New Roman" w:hAnsi="Times New Roman" w:cs="Times New Roman"/>
          <w:sz w:val="24"/>
          <w:szCs w:val="24"/>
        </w:rPr>
        <w:t xml:space="preserve"> place of residence. </w:t>
      </w:r>
      <w:r w:rsidR="00CB4828">
        <w:rPr>
          <w:rFonts w:ascii="Times New Roman" w:hAnsi="Times New Roman" w:cs="Times New Roman"/>
          <w:sz w:val="24"/>
          <w:szCs w:val="24"/>
        </w:rPr>
        <w:t xml:space="preserve"> The house allegedly belonged to her sister. Her sister’s child was the friend of the complainant.</w:t>
      </w:r>
    </w:p>
    <w:p w14:paraId="77D36F87" w14:textId="0E508735" w:rsidR="006561E1" w:rsidRDefault="004B5D83" w:rsidP="006E34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Evidence </w:t>
      </w:r>
      <w:r w:rsidR="00A522A3">
        <w:rPr>
          <w:rFonts w:ascii="Times New Roman" w:hAnsi="Times New Roman" w:cs="Times New Roman"/>
          <w:sz w:val="24"/>
          <w:szCs w:val="24"/>
        </w:rPr>
        <w:t>which</w:t>
      </w:r>
      <w:r>
        <w:rPr>
          <w:rFonts w:ascii="Times New Roman" w:hAnsi="Times New Roman" w:cs="Times New Roman"/>
          <w:sz w:val="24"/>
          <w:szCs w:val="24"/>
        </w:rPr>
        <w:t xml:space="preserve"> was placed before the trial court was that of the </w:t>
      </w:r>
      <w:r w:rsidR="00A522A3">
        <w:rPr>
          <w:rFonts w:ascii="Times New Roman" w:hAnsi="Times New Roman" w:cs="Times New Roman"/>
          <w:sz w:val="24"/>
          <w:szCs w:val="24"/>
        </w:rPr>
        <w:t>complainant</w:t>
      </w:r>
      <w:r>
        <w:rPr>
          <w:rFonts w:ascii="Times New Roman" w:hAnsi="Times New Roman" w:cs="Times New Roman"/>
          <w:sz w:val="24"/>
          <w:szCs w:val="24"/>
        </w:rPr>
        <w:t xml:space="preserve"> who detailed what transpired</w:t>
      </w:r>
      <w:r w:rsidR="00CB4828">
        <w:rPr>
          <w:rFonts w:ascii="Times New Roman" w:hAnsi="Times New Roman" w:cs="Times New Roman"/>
          <w:sz w:val="24"/>
          <w:szCs w:val="24"/>
        </w:rPr>
        <w:t>, her sister and her grandmother</w:t>
      </w:r>
      <w:r>
        <w:rPr>
          <w:rFonts w:ascii="Times New Roman" w:hAnsi="Times New Roman" w:cs="Times New Roman"/>
          <w:sz w:val="24"/>
          <w:szCs w:val="24"/>
        </w:rPr>
        <w:t xml:space="preserve">. Her sister, Lerato Wire aged 10 years was called to </w:t>
      </w:r>
      <w:r w:rsidR="00A522A3">
        <w:rPr>
          <w:rFonts w:ascii="Times New Roman" w:hAnsi="Times New Roman" w:cs="Times New Roman"/>
          <w:sz w:val="24"/>
          <w:szCs w:val="24"/>
        </w:rPr>
        <w:t>corroborate</w:t>
      </w:r>
      <w:r>
        <w:rPr>
          <w:rFonts w:ascii="Times New Roman" w:hAnsi="Times New Roman" w:cs="Times New Roman"/>
          <w:sz w:val="24"/>
          <w:szCs w:val="24"/>
        </w:rPr>
        <w:t xml:space="preserve"> that </w:t>
      </w:r>
      <w:r w:rsidR="00CB4828">
        <w:rPr>
          <w:rFonts w:ascii="Times New Roman" w:hAnsi="Times New Roman" w:cs="Times New Roman"/>
          <w:sz w:val="24"/>
          <w:szCs w:val="24"/>
        </w:rPr>
        <w:t xml:space="preserve">indeed, complainant reported the sexual </w:t>
      </w:r>
      <w:r w:rsidR="00E27AF2">
        <w:rPr>
          <w:rFonts w:ascii="Times New Roman" w:hAnsi="Times New Roman" w:cs="Times New Roman"/>
          <w:sz w:val="24"/>
          <w:szCs w:val="24"/>
        </w:rPr>
        <w:t>molestation to</w:t>
      </w:r>
      <w:r w:rsidR="00CB4828">
        <w:rPr>
          <w:rFonts w:ascii="Times New Roman" w:hAnsi="Times New Roman" w:cs="Times New Roman"/>
          <w:sz w:val="24"/>
          <w:szCs w:val="24"/>
        </w:rPr>
        <w:t xml:space="preserve"> her upon her arrival from church. It is alleged that the victim had also divulged the sexual abuse to the </w:t>
      </w:r>
      <w:r w:rsidR="00E27AF2">
        <w:rPr>
          <w:rFonts w:ascii="Times New Roman" w:hAnsi="Times New Roman" w:cs="Times New Roman"/>
          <w:sz w:val="24"/>
          <w:szCs w:val="24"/>
        </w:rPr>
        <w:t>so-called</w:t>
      </w:r>
      <w:r w:rsidR="00CB4828">
        <w:rPr>
          <w:rFonts w:ascii="Times New Roman" w:hAnsi="Times New Roman" w:cs="Times New Roman"/>
          <w:sz w:val="24"/>
          <w:szCs w:val="24"/>
        </w:rPr>
        <w:t xml:space="preserve"> jeering friends, amongst them two of her own sisters. S</w:t>
      </w:r>
      <w:r>
        <w:rPr>
          <w:rFonts w:ascii="Times New Roman" w:hAnsi="Times New Roman" w:cs="Times New Roman"/>
          <w:sz w:val="24"/>
          <w:szCs w:val="24"/>
        </w:rPr>
        <w:t xml:space="preserve">he </w:t>
      </w:r>
      <w:r w:rsidR="00EF41BC">
        <w:rPr>
          <w:rFonts w:ascii="Times New Roman" w:hAnsi="Times New Roman" w:cs="Times New Roman"/>
          <w:sz w:val="24"/>
          <w:szCs w:val="24"/>
        </w:rPr>
        <w:t xml:space="preserve">also learnt from the complainant’s friends that </w:t>
      </w:r>
      <w:r>
        <w:rPr>
          <w:rFonts w:ascii="Times New Roman" w:hAnsi="Times New Roman" w:cs="Times New Roman"/>
          <w:sz w:val="24"/>
          <w:szCs w:val="24"/>
        </w:rPr>
        <w:t xml:space="preserve">indeed </w:t>
      </w:r>
      <w:r w:rsidR="00EF41BC">
        <w:rPr>
          <w:rFonts w:ascii="Times New Roman" w:hAnsi="Times New Roman" w:cs="Times New Roman"/>
          <w:sz w:val="24"/>
          <w:szCs w:val="24"/>
        </w:rPr>
        <w:t xml:space="preserve">complainant </w:t>
      </w:r>
      <w:r>
        <w:rPr>
          <w:rFonts w:ascii="Times New Roman" w:hAnsi="Times New Roman" w:cs="Times New Roman"/>
          <w:sz w:val="24"/>
          <w:szCs w:val="24"/>
        </w:rPr>
        <w:t>went inside the room where the accused</w:t>
      </w:r>
      <w:r w:rsidR="00EF41BC">
        <w:rPr>
          <w:rFonts w:ascii="Times New Roman" w:hAnsi="Times New Roman" w:cs="Times New Roman"/>
          <w:sz w:val="24"/>
          <w:szCs w:val="24"/>
        </w:rPr>
        <w:t xml:space="preserve"> was. However, </w:t>
      </w:r>
      <w:r w:rsidR="00CB4828">
        <w:rPr>
          <w:rFonts w:ascii="Times New Roman" w:hAnsi="Times New Roman" w:cs="Times New Roman"/>
          <w:sz w:val="24"/>
          <w:szCs w:val="24"/>
        </w:rPr>
        <w:t>Lerato did not readily report the incident to her grandmother as she had breached her standing instructions to take along all the children to church, inclusive of the complai</w:t>
      </w:r>
      <w:r w:rsidR="006561E1">
        <w:rPr>
          <w:rFonts w:ascii="Times New Roman" w:hAnsi="Times New Roman" w:cs="Times New Roman"/>
          <w:sz w:val="24"/>
          <w:szCs w:val="24"/>
        </w:rPr>
        <w:t>nant.</w:t>
      </w:r>
    </w:p>
    <w:p w14:paraId="09AAC1A5" w14:textId="65113D9F" w:rsidR="004B5D83" w:rsidRDefault="00CB4828" w:rsidP="006E34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B5D83">
        <w:rPr>
          <w:rFonts w:ascii="Times New Roman" w:hAnsi="Times New Roman" w:cs="Times New Roman"/>
          <w:sz w:val="24"/>
          <w:szCs w:val="24"/>
        </w:rPr>
        <w:t xml:space="preserve"> Their grandmother, was the last to testify. She attested on the report that was made to her by one of the </w:t>
      </w:r>
      <w:r w:rsidR="00A522A3">
        <w:rPr>
          <w:rFonts w:ascii="Times New Roman" w:hAnsi="Times New Roman" w:cs="Times New Roman"/>
          <w:sz w:val="24"/>
          <w:szCs w:val="24"/>
        </w:rPr>
        <w:t>complainant’s</w:t>
      </w:r>
      <w:r w:rsidR="004B5D83">
        <w:rPr>
          <w:rFonts w:ascii="Times New Roman" w:hAnsi="Times New Roman" w:cs="Times New Roman"/>
          <w:sz w:val="24"/>
          <w:szCs w:val="24"/>
        </w:rPr>
        <w:t xml:space="preserve"> </w:t>
      </w:r>
      <w:r w:rsidR="00A522A3">
        <w:rPr>
          <w:rFonts w:ascii="Times New Roman" w:hAnsi="Times New Roman" w:cs="Times New Roman"/>
          <w:sz w:val="24"/>
          <w:szCs w:val="24"/>
        </w:rPr>
        <w:t>sisters</w:t>
      </w:r>
      <w:r w:rsidR="004B5D83">
        <w:rPr>
          <w:rFonts w:ascii="Times New Roman" w:hAnsi="Times New Roman" w:cs="Times New Roman"/>
          <w:sz w:val="24"/>
          <w:szCs w:val="24"/>
        </w:rPr>
        <w:t xml:space="preserve">. She also confirmed that she quizzed the </w:t>
      </w:r>
      <w:r w:rsidR="00A522A3">
        <w:rPr>
          <w:rFonts w:ascii="Times New Roman" w:hAnsi="Times New Roman" w:cs="Times New Roman"/>
          <w:sz w:val="24"/>
          <w:szCs w:val="24"/>
        </w:rPr>
        <w:t>complainant</w:t>
      </w:r>
      <w:r w:rsidR="004B5D83">
        <w:rPr>
          <w:rFonts w:ascii="Times New Roman" w:hAnsi="Times New Roman" w:cs="Times New Roman"/>
          <w:sz w:val="24"/>
          <w:szCs w:val="24"/>
        </w:rPr>
        <w:t xml:space="preserve"> over the issue as she was reluctant to voluntarily di</w:t>
      </w:r>
      <w:r w:rsidR="00756BCB">
        <w:rPr>
          <w:rFonts w:ascii="Times New Roman" w:hAnsi="Times New Roman" w:cs="Times New Roman"/>
          <w:sz w:val="24"/>
          <w:szCs w:val="24"/>
        </w:rPr>
        <w:t>sclose</w:t>
      </w:r>
      <w:r w:rsidR="004B5D83">
        <w:rPr>
          <w:rFonts w:ascii="Times New Roman" w:hAnsi="Times New Roman" w:cs="Times New Roman"/>
          <w:sz w:val="24"/>
          <w:szCs w:val="24"/>
        </w:rPr>
        <w:t xml:space="preserve"> the rape report.</w:t>
      </w:r>
    </w:p>
    <w:p w14:paraId="2890C304" w14:textId="77777777" w:rsidR="006561E1" w:rsidRDefault="004E7D43" w:rsidP="006E34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trial court was satisfied that indeed an offence was committed against the </w:t>
      </w:r>
      <w:r w:rsidR="00A522A3">
        <w:rPr>
          <w:rFonts w:ascii="Times New Roman" w:hAnsi="Times New Roman" w:cs="Times New Roman"/>
          <w:sz w:val="24"/>
          <w:szCs w:val="24"/>
        </w:rPr>
        <w:t>complainant</w:t>
      </w:r>
      <w:r>
        <w:rPr>
          <w:rFonts w:ascii="Times New Roman" w:hAnsi="Times New Roman" w:cs="Times New Roman"/>
          <w:sz w:val="24"/>
          <w:szCs w:val="24"/>
        </w:rPr>
        <w:t xml:space="preserve">. It believed the evidence </w:t>
      </w:r>
      <w:r w:rsidR="006561E1">
        <w:rPr>
          <w:rFonts w:ascii="Times New Roman" w:hAnsi="Times New Roman" w:cs="Times New Roman"/>
          <w:sz w:val="24"/>
          <w:szCs w:val="24"/>
        </w:rPr>
        <w:t xml:space="preserve">led by the State </w:t>
      </w:r>
      <w:r>
        <w:rPr>
          <w:rFonts w:ascii="Times New Roman" w:hAnsi="Times New Roman" w:cs="Times New Roman"/>
          <w:sz w:val="24"/>
          <w:szCs w:val="24"/>
        </w:rPr>
        <w:t>and made a finding that all the witnesses were credible.</w:t>
      </w:r>
      <w:r w:rsidR="006561E1">
        <w:rPr>
          <w:rFonts w:ascii="Times New Roman" w:hAnsi="Times New Roman" w:cs="Times New Roman"/>
          <w:sz w:val="24"/>
          <w:szCs w:val="24"/>
        </w:rPr>
        <w:t xml:space="preserve"> </w:t>
      </w:r>
      <w:r w:rsidR="00A913D9">
        <w:rPr>
          <w:rFonts w:ascii="Times New Roman" w:hAnsi="Times New Roman" w:cs="Times New Roman"/>
          <w:sz w:val="24"/>
          <w:szCs w:val="24"/>
        </w:rPr>
        <w:t xml:space="preserve">Although </w:t>
      </w:r>
      <w:r w:rsidR="003D6A1A">
        <w:rPr>
          <w:rFonts w:ascii="Times New Roman" w:hAnsi="Times New Roman" w:cs="Times New Roman"/>
          <w:sz w:val="24"/>
          <w:szCs w:val="24"/>
        </w:rPr>
        <w:t>there</w:t>
      </w:r>
      <w:r w:rsidR="00A913D9">
        <w:rPr>
          <w:rFonts w:ascii="Times New Roman" w:hAnsi="Times New Roman" w:cs="Times New Roman"/>
          <w:sz w:val="24"/>
          <w:szCs w:val="24"/>
        </w:rPr>
        <w:t xml:space="preserve"> is mention of the indecent assault, it is evident that accused was only convicted of rape.</w:t>
      </w:r>
      <w:r w:rsidR="006E157A">
        <w:rPr>
          <w:rFonts w:ascii="Times New Roman" w:hAnsi="Times New Roman" w:cs="Times New Roman"/>
          <w:sz w:val="24"/>
          <w:szCs w:val="24"/>
        </w:rPr>
        <w:t xml:space="preserve"> </w:t>
      </w:r>
      <w:r w:rsidR="00C23AF7">
        <w:rPr>
          <w:rFonts w:ascii="Times New Roman" w:hAnsi="Times New Roman" w:cs="Times New Roman"/>
          <w:sz w:val="24"/>
          <w:szCs w:val="24"/>
        </w:rPr>
        <w:t>The medical report confirmed that there were bruises, hymenal tears and penetration. It was taken on the 12</w:t>
      </w:r>
      <w:r w:rsidR="00C23AF7" w:rsidRPr="00C23AF7">
        <w:rPr>
          <w:rFonts w:ascii="Times New Roman" w:hAnsi="Times New Roman" w:cs="Times New Roman"/>
          <w:sz w:val="24"/>
          <w:szCs w:val="24"/>
          <w:vertAlign w:val="superscript"/>
        </w:rPr>
        <w:t>th</w:t>
      </w:r>
      <w:r w:rsidR="00C23AF7">
        <w:rPr>
          <w:rFonts w:ascii="Times New Roman" w:hAnsi="Times New Roman" w:cs="Times New Roman"/>
          <w:sz w:val="24"/>
          <w:szCs w:val="24"/>
        </w:rPr>
        <w:t xml:space="preserve"> of January 2024. It was taken 5 days after the commission of the offence.</w:t>
      </w:r>
      <w:r w:rsidR="006561E1">
        <w:rPr>
          <w:rFonts w:ascii="Times New Roman" w:hAnsi="Times New Roman" w:cs="Times New Roman"/>
          <w:sz w:val="24"/>
          <w:szCs w:val="24"/>
        </w:rPr>
        <w:t xml:space="preserve"> The accused person was then convicted and sentenced as stated above.</w:t>
      </w:r>
    </w:p>
    <w:p w14:paraId="20D5DD26" w14:textId="26765D7E" w:rsidR="006561E1" w:rsidRDefault="006561E1" w:rsidP="006E34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observation made by this court is the unqualified sentence of an effective five years imprisonment on a </w:t>
      </w:r>
      <w:r w:rsidR="00E27AF2">
        <w:rPr>
          <w:rFonts w:ascii="Times New Roman" w:hAnsi="Times New Roman" w:cs="Times New Roman"/>
          <w:sz w:val="24"/>
          <w:szCs w:val="24"/>
        </w:rPr>
        <w:t>fourteen-year-old</w:t>
      </w:r>
      <w:r>
        <w:rPr>
          <w:rFonts w:ascii="Times New Roman" w:hAnsi="Times New Roman" w:cs="Times New Roman"/>
          <w:sz w:val="24"/>
          <w:szCs w:val="24"/>
        </w:rPr>
        <w:t xml:space="preserve"> child in conflict with the law. To begin with it was not much about the imprisonment period but the fact that a court of law, can </w:t>
      </w:r>
      <w:proofErr w:type="spellStart"/>
      <w:r w:rsidRPr="006561E1">
        <w:rPr>
          <w:rFonts w:ascii="Times New Roman" w:hAnsi="Times New Roman" w:cs="Times New Roman"/>
          <w:i/>
          <w:sz w:val="24"/>
          <w:szCs w:val="24"/>
        </w:rPr>
        <w:t>mero</w:t>
      </w:r>
      <w:proofErr w:type="spellEnd"/>
      <w:r w:rsidRPr="006561E1">
        <w:rPr>
          <w:rFonts w:ascii="Times New Roman" w:hAnsi="Times New Roman" w:cs="Times New Roman"/>
          <w:i/>
          <w:sz w:val="24"/>
          <w:szCs w:val="24"/>
        </w:rPr>
        <w:t xml:space="preserve"> </w:t>
      </w:r>
      <w:proofErr w:type="spellStart"/>
      <w:r w:rsidRPr="006561E1">
        <w:rPr>
          <w:rFonts w:ascii="Times New Roman" w:hAnsi="Times New Roman" w:cs="Times New Roman"/>
          <w:i/>
          <w:sz w:val="24"/>
          <w:szCs w:val="24"/>
        </w:rPr>
        <w:t>mutu</w:t>
      </w:r>
      <w:proofErr w:type="spellEnd"/>
      <w:r>
        <w:rPr>
          <w:rFonts w:ascii="Times New Roman" w:hAnsi="Times New Roman" w:cs="Times New Roman"/>
          <w:sz w:val="24"/>
          <w:szCs w:val="24"/>
        </w:rPr>
        <w:t xml:space="preserve"> send a child to a formal prison without considering or taking heed of the laws governing the sentencing of young persons, children or juveniles in conflict with Criminal law.</w:t>
      </w:r>
    </w:p>
    <w:p w14:paraId="35DF2207" w14:textId="1D6D397B" w:rsidR="006561E1" w:rsidRDefault="006561E1" w:rsidP="006E34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 court did not state whether the juvenile</w:t>
      </w:r>
      <w:r w:rsidR="0024667D">
        <w:rPr>
          <w:rFonts w:ascii="Times New Roman" w:hAnsi="Times New Roman" w:cs="Times New Roman"/>
          <w:sz w:val="24"/>
          <w:szCs w:val="24"/>
        </w:rPr>
        <w:t>, as it where</w:t>
      </w:r>
      <w:r w:rsidR="002669BF">
        <w:rPr>
          <w:rFonts w:ascii="Times New Roman" w:hAnsi="Times New Roman" w:cs="Times New Roman"/>
          <w:sz w:val="24"/>
          <w:szCs w:val="24"/>
        </w:rPr>
        <w:t>,</w:t>
      </w:r>
      <w:r w:rsidR="0024667D">
        <w:rPr>
          <w:rFonts w:ascii="Times New Roman" w:hAnsi="Times New Roman" w:cs="Times New Roman"/>
          <w:sz w:val="24"/>
          <w:szCs w:val="24"/>
        </w:rPr>
        <w:t xml:space="preserve"> was sent for assessment before a probation officer as required by the law governing juvenile delinquents. No proof of a probation report in respect to the accused was attached but only that for the minor victim of the offence. In passing, the trial court in sentencing the accused then made reference to the probation officer’s recommendation on counselling which </w:t>
      </w:r>
      <w:r w:rsidR="00756BCB">
        <w:rPr>
          <w:rFonts w:ascii="Times New Roman" w:hAnsi="Times New Roman" w:cs="Times New Roman"/>
          <w:sz w:val="24"/>
          <w:szCs w:val="24"/>
        </w:rPr>
        <w:t xml:space="preserve">evidently </w:t>
      </w:r>
      <w:r w:rsidR="0024667D">
        <w:rPr>
          <w:rFonts w:ascii="Times New Roman" w:hAnsi="Times New Roman" w:cs="Times New Roman"/>
          <w:sz w:val="24"/>
          <w:szCs w:val="24"/>
        </w:rPr>
        <w:t xml:space="preserve">was extracted from a report on the victim not one specifically compiled for the accused. </w:t>
      </w:r>
    </w:p>
    <w:p w14:paraId="1B60A4EE" w14:textId="77777777" w:rsidR="00DE113E" w:rsidRDefault="0024667D" w:rsidP="002466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if it were to be concluded that indeed she did go through a report, conspicuously absent from her reasons for judgment and sentence and the record itself, then she failed to justify why she rejected, departed from or did not take the recommendations of the Probation Officer on board.</w:t>
      </w:r>
      <w:r w:rsidR="00EE4C0F">
        <w:rPr>
          <w:rFonts w:ascii="Times New Roman" w:hAnsi="Times New Roman" w:cs="Times New Roman"/>
          <w:sz w:val="24"/>
          <w:szCs w:val="24"/>
        </w:rPr>
        <w:t xml:space="preserve"> </w:t>
      </w:r>
    </w:p>
    <w:p w14:paraId="19EF3F8D" w14:textId="0242E39A" w:rsidR="00E27AF2" w:rsidRDefault="0024667D" w:rsidP="00E27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the </w:t>
      </w:r>
      <w:r w:rsidR="00DE113E">
        <w:rPr>
          <w:rFonts w:ascii="Times New Roman" w:hAnsi="Times New Roman" w:cs="Times New Roman"/>
          <w:sz w:val="24"/>
          <w:szCs w:val="24"/>
        </w:rPr>
        <w:t>trial court, though t</w:t>
      </w:r>
      <w:r>
        <w:rPr>
          <w:rFonts w:ascii="Times New Roman" w:hAnsi="Times New Roman" w:cs="Times New Roman"/>
          <w:sz w:val="24"/>
          <w:szCs w:val="24"/>
        </w:rPr>
        <w:t>here is nothing amiss in respect to the jurisdi</w:t>
      </w:r>
      <w:r w:rsidR="00EE4C0F">
        <w:rPr>
          <w:rFonts w:ascii="Times New Roman" w:hAnsi="Times New Roman" w:cs="Times New Roman"/>
          <w:sz w:val="24"/>
          <w:szCs w:val="24"/>
        </w:rPr>
        <w:t>ction of t</w:t>
      </w:r>
      <w:r w:rsidR="00DE113E">
        <w:rPr>
          <w:rFonts w:ascii="Times New Roman" w:hAnsi="Times New Roman" w:cs="Times New Roman"/>
          <w:sz w:val="24"/>
          <w:szCs w:val="24"/>
        </w:rPr>
        <w:t xml:space="preserve">he Regional Court in rape or sexual abuse cases, was Statutorily enjoined to refer the accused to the Children’s Court or to consider sending the child to reformatory school and juvenile </w:t>
      </w:r>
      <w:r w:rsidR="00E27AF2">
        <w:rPr>
          <w:rFonts w:ascii="Times New Roman" w:hAnsi="Times New Roman" w:cs="Times New Roman"/>
          <w:sz w:val="24"/>
          <w:szCs w:val="24"/>
        </w:rPr>
        <w:t>detention centre</w:t>
      </w:r>
      <w:r w:rsidR="00DE113E">
        <w:rPr>
          <w:rFonts w:ascii="Times New Roman" w:hAnsi="Times New Roman" w:cs="Times New Roman"/>
          <w:sz w:val="24"/>
          <w:szCs w:val="24"/>
        </w:rPr>
        <w:t xml:space="preserve">. </w:t>
      </w:r>
    </w:p>
    <w:p w14:paraId="0234110A" w14:textId="315991B8" w:rsidR="00EE4C0F" w:rsidRDefault="00EE4C0F" w:rsidP="00E27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2669BF">
        <w:rPr>
          <w:rFonts w:ascii="Times New Roman" w:hAnsi="Times New Roman" w:cs="Times New Roman"/>
          <w:sz w:val="24"/>
          <w:szCs w:val="24"/>
        </w:rPr>
        <w:t>trial</w:t>
      </w:r>
      <w:r w:rsidR="00ED3257">
        <w:rPr>
          <w:rFonts w:ascii="Times New Roman" w:hAnsi="Times New Roman" w:cs="Times New Roman"/>
          <w:sz w:val="24"/>
          <w:szCs w:val="24"/>
        </w:rPr>
        <w:t xml:space="preserve"> court</w:t>
      </w:r>
      <w:r w:rsidR="002669BF">
        <w:rPr>
          <w:rFonts w:ascii="Times New Roman" w:hAnsi="Times New Roman" w:cs="Times New Roman"/>
          <w:sz w:val="24"/>
          <w:szCs w:val="24"/>
        </w:rPr>
        <w:t xml:space="preserve"> should have been vigilant to the dictates of the law governing the sentencing of children in conflict with the law. Thus, the first port of call in every case involving child offenders is what the law says on sentencing children in conflict with the law? In that case,</w:t>
      </w:r>
      <w:r w:rsidR="00E7348D">
        <w:rPr>
          <w:rFonts w:ascii="Times New Roman" w:hAnsi="Times New Roman" w:cs="Times New Roman"/>
          <w:sz w:val="24"/>
          <w:szCs w:val="24"/>
        </w:rPr>
        <w:t xml:space="preserve"> </w:t>
      </w:r>
      <w:r w:rsidR="002669BF">
        <w:rPr>
          <w:rFonts w:ascii="Times New Roman" w:hAnsi="Times New Roman" w:cs="Times New Roman"/>
          <w:sz w:val="24"/>
          <w:szCs w:val="24"/>
        </w:rPr>
        <w:t xml:space="preserve">the </w:t>
      </w:r>
      <w:r>
        <w:rPr>
          <w:rFonts w:ascii="Times New Roman" w:hAnsi="Times New Roman" w:cs="Times New Roman"/>
          <w:sz w:val="24"/>
          <w:szCs w:val="24"/>
        </w:rPr>
        <w:t>constitution of Zimbabwe in section 164(1)</w:t>
      </w:r>
      <w:r w:rsidR="00CD5F78">
        <w:rPr>
          <w:rFonts w:ascii="Times New Roman" w:hAnsi="Times New Roman" w:cs="Times New Roman"/>
          <w:sz w:val="24"/>
          <w:szCs w:val="24"/>
        </w:rPr>
        <w:t xml:space="preserve"> enjoins every judicial officer to be subservient and faithful, not only to the Constitution but the law. Hence, the judicial officer literally lives and breathes the law. Meaning every decision that is made should be within the precincts of and embodied with the law. </w:t>
      </w:r>
    </w:p>
    <w:p w14:paraId="7C054769" w14:textId="3CFE6AAF" w:rsidR="002D235F" w:rsidRDefault="002669BF" w:rsidP="00E27AF2">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Moreso</w:t>
      </w:r>
      <w:proofErr w:type="spellEnd"/>
      <w:r>
        <w:rPr>
          <w:rFonts w:ascii="Times New Roman" w:hAnsi="Times New Roman" w:cs="Times New Roman"/>
          <w:sz w:val="24"/>
          <w:szCs w:val="24"/>
        </w:rPr>
        <w:t>, when s81(</w:t>
      </w:r>
      <w:r w:rsidR="002D235F">
        <w:rPr>
          <w:rFonts w:ascii="Times New Roman" w:hAnsi="Times New Roman" w:cs="Times New Roman"/>
          <w:sz w:val="24"/>
          <w:szCs w:val="24"/>
        </w:rPr>
        <w:t>3</w:t>
      </w:r>
      <w:r>
        <w:rPr>
          <w:rFonts w:ascii="Times New Roman" w:hAnsi="Times New Roman" w:cs="Times New Roman"/>
          <w:sz w:val="24"/>
          <w:szCs w:val="24"/>
        </w:rPr>
        <w:t xml:space="preserve">) places a Constitutional obligation upon courts in general, and the High Court, in particular, as the upper guardian to adequately protect the rights </w:t>
      </w:r>
      <w:r w:rsidR="00EA584F">
        <w:rPr>
          <w:rFonts w:ascii="Times New Roman" w:hAnsi="Times New Roman" w:cs="Times New Roman"/>
          <w:sz w:val="24"/>
          <w:szCs w:val="24"/>
        </w:rPr>
        <w:t xml:space="preserve">of </w:t>
      </w:r>
      <w:r>
        <w:rPr>
          <w:rFonts w:ascii="Times New Roman" w:hAnsi="Times New Roman" w:cs="Times New Roman"/>
          <w:sz w:val="24"/>
          <w:szCs w:val="24"/>
        </w:rPr>
        <w:t>children who appear before them. It is thus imperative that the court, which is looked up to, as a neutral arbiter or umpire should accord equal treatment to both the offender and the victim.</w:t>
      </w:r>
      <w:r w:rsidR="002D235F">
        <w:rPr>
          <w:rFonts w:ascii="Times New Roman" w:hAnsi="Times New Roman" w:cs="Times New Roman"/>
          <w:sz w:val="24"/>
          <w:szCs w:val="24"/>
        </w:rPr>
        <w:t xml:space="preserve">  The best interests of the child offender are as equally important as those of the child victim as enshrined in s81(2). This is in consonance with other International and Regional Human Rights, Covenants, and instruments.</w:t>
      </w:r>
      <w:r>
        <w:rPr>
          <w:rFonts w:ascii="Times New Roman" w:hAnsi="Times New Roman" w:cs="Times New Roman"/>
          <w:sz w:val="24"/>
          <w:szCs w:val="24"/>
        </w:rPr>
        <w:t xml:space="preserve">  </w:t>
      </w:r>
      <w:r w:rsidR="00E27AF2">
        <w:rPr>
          <w:rFonts w:ascii="Times New Roman" w:hAnsi="Times New Roman" w:cs="Times New Roman"/>
          <w:sz w:val="24"/>
          <w:szCs w:val="24"/>
        </w:rPr>
        <w:t>See,</w:t>
      </w:r>
      <w:r w:rsidR="00E7348D">
        <w:rPr>
          <w:rFonts w:ascii="Times New Roman" w:hAnsi="Times New Roman" w:cs="Times New Roman"/>
          <w:sz w:val="24"/>
          <w:szCs w:val="24"/>
        </w:rPr>
        <w:t xml:space="preserve"> Article 17 of the </w:t>
      </w:r>
      <w:r w:rsidR="00E7348D" w:rsidRPr="00E7348D">
        <w:rPr>
          <w:rFonts w:ascii="Times New Roman" w:hAnsi="Times New Roman" w:cs="Times New Roman"/>
          <w:i/>
          <w:sz w:val="24"/>
          <w:szCs w:val="24"/>
        </w:rPr>
        <w:t>African Charter and the United</w:t>
      </w:r>
      <w:r w:rsidR="00E7348D">
        <w:rPr>
          <w:rFonts w:ascii="Times New Roman" w:hAnsi="Times New Roman" w:cs="Times New Roman"/>
          <w:sz w:val="24"/>
          <w:szCs w:val="24"/>
        </w:rPr>
        <w:t xml:space="preserve"> </w:t>
      </w:r>
      <w:r w:rsidR="00E7348D" w:rsidRPr="00E7348D">
        <w:rPr>
          <w:rFonts w:ascii="Times New Roman" w:hAnsi="Times New Roman" w:cs="Times New Roman"/>
          <w:i/>
          <w:sz w:val="24"/>
          <w:szCs w:val="24"/>
        </w:rPr>
        <w:t>Nations Convention on the Rights of the Child.</w:t>
      </w:r>
    </w:p>
    <w:p w14:paraId="697C83F3" w14:textId="6C5581D0" w:rsidR="002D235F" w:rsidRDefault="002D235F" w:rsidP="00E27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the whole </w:t>
      </w:r>
      <w:r w:rsidR="00E27AF2">
        <w:rPr>
          <w:rFonts w:ascii="Times New Roman" w:hAnsi="Times New Roman" w:cs="Times New Roman"/>
          <w:sz w:val="24"/>
          <w:szCs w:val="24"/>
        </w:rPr>
        <w:t>of s</w:t>
      </w:r>
      <w:r>
        <w:rPr>
          <w:rFonts w:ascii="Times New Roman" w:hAnsi="Times New Roman" w:cs="Times New Roman"/>
          <w:sz w:val="24"/>
          <w:szCs w:val="24"/>
        </w:rPr>
        <w:t>81 of the Constitution, Amendment Act No 20. Of 2013, is dedicated to the definition</w:t>
      </w:r>
      <w:r w:rsidR="00EA584F">
        <w:rPr>
          <w:rFonts w:ascii="Times New Roman" w:hAnsi="Times New Roman" w:cs="Times New Roman"/>
          <w:sz w:val="24"/>
          <w:szCs w:val="24"/>
        </w:rPr>
        <w:t xml:space="preserve"> of</w:t>
      </w:r>
      <w:r>
        <w:rPr>
          <w:rFonts w:ascii="Times New Roman" w:hAnsi="Times New Roman" w:cs="Times New Roman"/>
          <w:sz w:val="24"/>
          <w:szCs w:val="24"/>
        </w:rPr>
        <w:t xml:space="preserve"> rights and protection of children, s</w:t>
      </w:r>
      <w:r w:rsidR="00E7348D">
        <w:rPr>
          <w:rFonts w:ascii="Times New Roman" w:hAnsi="Times New Roman" w:cs="Times New Roman"/>
          <w:sz w:val="24"/>
          <w:szCs w:val="24"/>
        </w:rPr>
        <w:t xml:space="preserve"> </w:t>
      </w:r>
      <w:r>
        <w:rPr>
          <w:rFonts w:ascii="Times New Roman" w:hAnsi="Times New Roman" w:cs="Times New Roman"/>
          <w:sz w:val="24"/>
          <w:szCs w:val="24"/>
        </w:rPr>
        <w:t>81(1) defines a child as every person below the age 1</w:t>
      </w:r>
      <w:r w:rsidR="00EA584F">
        <w:rPr>
          <w:rFonts w:ascii="Times New Roman" w:hAnsi="Times New Roman" w:cs="Times New Roman"/>
          <w:sz w:val="24"/>
          <w:szCs w:val="24"/>
        </w:rPr>
        <w:t xml:space="preserve">8 </w:t>
      </w:r>
      <w:r>
        <w:rPr>
          <w:rFonts w:ascii="Times New Roman" w:hAnsi="Times New Roman" w:cs="Times New Roman"/>
          <w:sz w:val="24"/>
          <w:szCs w:val="24"/>
        </w:rPr>
        <w:t xml:space="preserve">years.  </w:t>
      </w:r>
      <w:proofErr w:type="gramStart"/>
      <w:r w:rsidR="009B5F12">
        <w:rPr>
          <w:rFonts w:ascii="Times New Roman" w:hAnsi="Times New Roman" w:cs="Times New Roman"/>
          <w:sz w:val="24"/>
          <w:szCs w:val="24"/>
        </w:rPr>
        <w:t>So</w:t>
      </w:r>
      <w:proofErr w:type="gramEnd"/>
      <w:r w:rsidR="009B5F12">
        <w:rPr>
          <w:rFonts w:ascii="Times New Roman" w:hAnsi="Times New Roman" w:cs="Times New Roman"/>
          <w:sz w:val="24"/>
          <w:szCs w:val="24"/>
        </w:rPr>
        <w:t xml:space="preserve"> in this case, there is no doubt that the accused person is a child.</w:t>
      </w:r>
      <w:r w:rsidR="0065743E" w:rsidRPr="003C5AA1">
        <w:rPr>
          <w:rFonts w:ascii="Times New Roman" w:hAnsi="Times New Roman" w:cs="Times New Roman"/>
          <w:sz w:val="24"/>
          <w:szCs w:val="24"/>
        </w:rPr>
        <w:t xml:space="preserve"> </w:t>
      </w:r>
      <w:r w:rsidR="0065743E">
        <w:rPr>
          <w:rFonts w:ascii="Times New Roman" w:hAnsi="Times New Roman" w:cs="Times New Roman"/>
          <w:sz w:val="24"/>
          <w:szCs w:val="24"/>
        </w:rPr>
        <w:t>He was notably, aged just 14 years when he was tried and convicted. He was born on the 24</w:t>
      </w:r>
      <w:r w:rsidR="0065743E" w:rsidRPr="006C12F6">
        <w:rPr>
          <w:rFonts w:ascii="Times New Roman" w:hAnsi="Times New Roman" w:cs="Times New Roman"/>
          <w:sz w:val="24"/>
          <w:szCs w:val="24"/>
          <w:vertAlign w:val="superscript"/>
        </w:rPr>
        <w:t>th</w:t>
      </w:r>
      <w:r w:rsidR="0065743E">
        <w:rPr>
          <w:rFonts w:ascii="Times New Roman" w:hAnsi="Times New Roman" w:cs="Times New Roman"/>
          <w:sz w:val="24"/>
          <w:szCs w:val="24"/>
        </w:rPr>
        <w:t xml:space="preserve"> of December 2009. The offence took place on the 7</w:t>
      </w:r>
      <w:r w:rsidR="0065743E" w:rsidRPr="006C12F6">
        <w:rPr>
          <w:rFonts w:ascii="Times New Roman" w:hAnsi="Times New Roman" w:cs="Times New Roman"/>
          <w:sz w:val="24"/>
          <w:szCs w:val="24"/>
          <w:vertAlign w:val="superscript"/>
        </w:rPr>
        <w:t>th</w:t>
      </w:r>
      <w:r w:rsidR="0065743E">
        <w:rPr>
          <w:rFonts w:ascii="Times New Roman" w:hAnsi="Times New Roman" w:cs="Times New Roman"/>
          <w:sz w:val="24"/>
          <w:szCs w:val="24"/>
        </w:rPr>
        <w:t xml:space="preserve"> of January 2024. He was convicted and sentenced on the 20</w:t>
      </w:r>
      <w:r w:rsidR="0065743E" w:rsidRPr="006C12F6">
        <w:rPr>
          <w:rFonts w:ascii="Times New Roman" w:hAnsi="Times New Roman" w:cs="Times New Roman"/>
          <w:sz w:val="24"/>
          <w:szCs w:val="24"/>
          <w:vertAlign w:val="superscript"/>
        </w:rPr>
        <w:t>th</w:t>
      </w:r>
      <w:r w:rsidR="0065743E">
        <w:rPr>
          <w:rFonts w:ascii="Times New Roman" w:hAnsi="Times New Roman" w:cs="Times New Roman"/>
          <w:sz w:val="24"/>
          <w:szCs w:val="24"/>
        </w:rPr>
        <w:t xml:space="preserve"> of April 2024.  </w:t>
      </w:r>
      <w:r w:rsidR="00E7348D">
        <w:rPr>
          <w:rFonts w:ascii="Times New Roman" w:hAnsi="Times New Roman" w:cs="Times New Roman"/>
          <w:sz w:val="24"/>
          <w:szCs w:val="24"/>
        </w:rPr>
        <w:t xml:space="preserve"> In </w:t>
      </w:r>
      <w:r w:rsidR="00E7348D" w:rsidRPr="00B833F8">
        <w:rPr>
          <w:rFonts w:ascii="Times New Roman" w:hAnsi="Times New Roman" w:cs="Times New Roman"/>
          <w:i/>
          <w:sz w:val="24"/>
          <w:szCs w:val="24"/>
        </w:rPr>
        <w:t xml:space="preserve">S v </w:t>
      </w:r>
      <w:proofErr w:type="spellStart"/>
      <w:r w:rsidR="00E7348D" w:rsidRPr="00B833F8">
        <w:rPr>
          <w:rFonts w:ascii="Times New Roman" w:hAnsi="Times New Roman" w:cs="Times New Roman"/>
          <w:i/>
          <w:sz w:val="24"/>
          <w:szCs w:val="24"/>
        </w:rPr>
        <w:t>Mupariwa</w:t>
      </w:r>
      <w:proofErr w:type="spellEnd"/>
      <w:r w:rsidR="00B833F8">
        <w:rPr>
          <w:rFonts w:ascii="Times New Roman" w:hAnsi="Times New Roman" w:cs="Times New Roman"/>
          <w:sz w:val="24"/>
          <w:szCs w:val="24"/>
        </w:rPr>
        <w:t xml:space="preserve"> 2000 (1) ZL</w:t>
      </w:r>
      <w:r w:rsidR="00E27AF2">
        <w:rPr>
          <w:rFonts w:ascii="Times New Roman" w:hAnsi="Times New Roman" w:cs="Times New Roman"/>
          <w:sz w:val="24"/>
          <w:szCs w:val="24"/>
        </w:rPr>
        <w:t xml:space="preserve">R </w:t>
      </w:r>
      <w:r w:rsidR="00B833F8">
        <w:rPr>
          <w:rFonts w:ascii="Times New Roman" w:hAnsi="Times New Roman" w:cs="Times New Roman"/>
          <w:sz w:val="24"/>
          <w:szCs w:val="24"/>
        </w:rPr>
        <w:t>168 (H), it was highlighted that the failure of the trial court to compute or to take into consideration the age of the child offender is gross misdirection.</w:t>
      </w:r>
    </w:p>
    <w:p w14:paraId="550E66D9" w14:textId="075E3614" w:rsidR="003C5AA1" w:rsidRDefault="009B5F12" w:rsidP="00EA584F">
      <w:pPr>
        <w:pStyle w:val="western"/>
        <w:shd w:val="clear" w:color="auto" w:fill="FFFFFF"/>
        <w:spacing w:before="0" w:beforeAutospacing="0" w:after="202" w:afterAutospacing="0" w:line="360" w:lineRule="auto"/>
        <w:ind w:firstLine="720"/>
        <w:jc w:val="both"/>
      </w:pPr>
      <w:r>
        <w:t xml:space="preserve"> Sections 6, 7 and 8 of the Criminal law Codification and reform Act, [</w:t>
      </w:r>
      <w:r w:rsidRPr="00EA584F">
        <w:rPr>
          <w:i/>
          <w:iCs/>
        </w:rPr>
        <w:t>Chapter 9:23</w:t>
      </w:r>
      <w:r>
        <w:t>] speaks to the culpability of children below and above the age of 14 years.</w:t>
      </w:r>
      <w:r w:rsidR="003C5AA1" w:rsidRPr="003C5AA1">
        <w:t xml:space="preserve"> </w:t>
      </w:r>
      <w:r w:rsidR="0065743E">
        <w:t xml:space="preserve"> Nonetheless, we would like to believe that the accused was </w:t>
      </w:r>
      <w:proofErr w:type="spellStart"/>
      <w:r w:rsidR="0065743E" w:rsidRPr="00EA584F">
        <w:rPr>
          <w:i/>
          <w:iCs/>
        </w:rPr>
        <w:t>doli</w:t>
      </w:r>
      <w:proofErr w:type="spellEnd"/>
      <w:r w:rsidR="0065743E" w:rsidRPr="00EA584F">
        <w:rPr>
          <w:i/>
          <w:iCs/>
        </w:rPr>
        <w:t xml:space="preserve"> </w:t>
      </w:r>
      <w:r w:rsidR="0065743E">
        <w:t xml:space="preserve">capax and fell outside the scope of section 7 of the Chapter 9:23 which exculpates children between seven and fourteen </w:t>
      </w:r>
      <w:r w:rsidR="00E27AF2">
        <w:t>years since</w:t>
      </w:r>
      <w:r w:rsidR="0065743E">
        <w:t xml:space="preserve"> the Prosecutor General’s office sanctioned his prosecution.</w:t>
      </w:r>
      <w:r w:rsidR="0065743E" w:rsidRPr="003C5AA1">
        <w:rPr>
          <w:rFonts w:ascii="Arial" w:hAnsi="Arial" w:cs="Arial"/>
          <w:color w:val="212529"/>
          <w:sz w:val="23"/>
          <w:szCs w:val="23"/>
        </w:rPr>
        <w:t xml:space="preserve"> </w:t>
      </w:r>
      <w:r w:rsidR="0065743E">
        <w:rPr>
          <w:rFonts w:ascii="Arial" w:hAnsi="Arial" w:cs="Arial"/>
          <w:color w:val="212529"/>
          <w:sz w:val="23"/>
          <w:szCs w:val="23"/>
        </w:rPr>
        <w:t xml:space="preserve"> </w:t>
      </w:r>
      <w:r w:rsidR="0065743E" w:rsidRPr="003C5AA1">
        <w:rPr>
          <w:rFonts w:ascii="new roman" w:hAnsi="new roman" w:cs="Arial"/>
          <w:color w:val="212529"/>
        </w:rPr>
        <w:t>Especially in light of the qualifying provisions in</w:t>
      </w:r>
      <w:r w:rsidR="0065743E">
        <w:rPr>
          <w:rFonts w:ascii="new roman" w:hAnsi="new roman" w:cs="Arial"/>
          <w:color w:val="212529"/>
        </w:rPr>
        <w:t xml:space="preserve"> </w:t>
      </w:r>
      <w:r w:rsidR="0065743E" w:rsidRPr="003C5AA1">
        <w:rPr>
          <w:rFonts w:ascii="new roman" w:hAnsi="new roman" w:cs="Arial"/>
          <w:color w:val="212529"/>
        </w:rPr>
        <w:t>section 230 of the Criminal law Codification and Reform Act, Chapter 9:23.</w:t>
      </w:r>
    </w:p>
    <w:p w14:paraId="13F45FA9" w14:textId="77777777" w:rsidR="003C5AA1" w:rsidRPr="003C5AA1" w:rsidRDefault="003C5AA1" w:rsidP="003C5AA1">
      <w:pPr>
        <w:pStyle w:val="western"/>
        <w:shd w:val="clear" w:color="auto" w:fill="FFFFFF"/>
        <w:spacing w:before="0" w:beforeAutospacing="0" w:after="202" w:afterAutospacing="0"/>
        <w:ind w:firstLine="720"/>
        <w:rPr>
          <w:rFonts w:ascii="new roman" w:hAnsi="new roman" w:cs="Arial"/>
          <w:color w:val="212529"/>
          <w:sz w:val="23"/>
          <w:szCs w:val="23"/>
        </w:rPr>
      </w:pPr>
      <w:r w:rsidRPr="003C5AA1">
        <w:rPr>
          <w:rFonts w:ascii="new roman" w:hAnsi="new roman" w:cs="Arial"/>
          <w:color w:val="212529"/>
          <w:sz w:val="23"/>
          <w:szCs w:val="23"/>
        </w:rPr>
        <w:t>In </w:t>
      </w:r>
      <w:r w:rsidRPr="003C5AA1">
        <w:rPr>
          <w:rFonts w:ascii="new roman" w:hAnsi="new roman" w:cs="Arial"/>
          <w:i/>
          <w:iCs/>
          <w:color w:val="212529"/>
          <w:sz w:val="23"/>
          <w:szCs w:val="23"/>
        </w:rPr>
        <w:t>S</w:t>
      </w:r>
      <w:r w:rsidRPr="003C5AA1">
        <w:rPr>
          <w:rFonts w:ascii="new roman" w:hAnsi="new roman" w:cs="Arial"/>
          <w:color w:val="212529"/>
          <w:sz w:val="23"/>
          <w:szCs w:val="23"/>
        </w:rPr>
        <w:t> v </w:t>
      </w:r>
      <w:r w:rsidRPr="003C5AA1">
        <w:rPr>
          <w:rFonts w:ascii="new roman" w:hAnsi="new roman" w:cs="Arial"/>
          <w:i/>
          <w:iCs/>
          <w:color w:val="212529"/>
          <w:sz w:val="23"/>
          <w:szCs w:val="23"/>
        </w:rPr>
        <w:t>C</w:t>
      </w:r>
      <w:r w:rsidRPr="003C5AA1">
        <w:rPr>
          <w:rFonts w:ascii="new roman" w:hAnsi="new roman" w:cs="Arial"/>
          <w:color w:val="212529"/>
          <w:sz w:val="23"/>
          <w:szCs w:val="23"/>
        </w:rPr>
        <w:t> (a juvenile) 1997(2) ZLR 395 (H) at 397 C-D Gillespie J had this to say:</w:t>
      </w:r>
    </w:p>
    <w:p w14:paraId="3CAA37B4" w14:textId="36CB11F7" w:rsidR="003C5AA1" w:rsidRPr="00E27AF2" w:rsidRDefault="003C5AA1" w:rsidP="00E27AF2">
      <w:pPr>
        <w:pStyle w:val="western"/>
        <w:shd w:val="clear" w:color="auto" w:fill="FFFFFF"/>
        <w:spacing w:before="0" w:beforeAutospacing="0" w:after="202" w:afterAutospacing="0"/>
        <w:ind w:firstLine="720"/>
        <w:rPr>
          <w:rFonts w:ascii="new roman" w:hAnsi="new roman" w:cs="Arial"/>
          <w:iCs/>
          <w:color w:val="212529"/>
          <w:sz w:val="23"/>
          <w:szCs w:val="23"/>
        </w:rPr>
      </w:pPr>
      <w:r w:rsidRPr="003C5AA1">
        <w:rPr>
          <w:rFonts w:ascii="new roman" w:hAnsi="new roman" w:cs="Arial"/>
          <w:color w:val="212529"/>
          <w:sz w:val="23"/>
          <w:szCs w:val="23"/>
        </w:rPr>
        <w:lastRenderedPageBreak/>
        <w:t>“</w:t>
      </w:r>
      <w:r w:rsidRPr="0065743E">
        <w:rPr>
          <w:rFonts w:ascii="new roman" w:hAnsi="new roman" w:cs="Arial"/>
          <w:iCs/>
          <w:color w:val="212529"/>
          <w:sz w:val="23"/>
          <w:szCs w:val="23"/>
        </w:rPr>
        <w:t xml:space="preserve">The law presumes a child under fourteen to be </w:t>
      </w:r>
      <w:proofErr w:type="spellStart"/>
      <w:r w:rsidRPr="00EA584F">
        <w:rPr>
          <w:rFonts w:ascii="new roman" w:hAnsi="new roman" w:cs="Arial"/>
          <w:i/>
          <w:color w:val="212529"/>
          <w:sz w:val="23"/>
          <w:szCs w:val="23"/>
        </w:rPr>
        <w:t>doli</w:t>
      </w:r>
      <w:proofErr w:type="spellEnd"/>
      <w:r w:rsidRPr="0065743E">
        <w:rPr>
          <w:rFonts w:ascii="new roman" w:hAnsi="new roman" w:cs="Arial"/>
          <w:iCs/>
          <w:color w:val="212529"/>
          <w:sz w:val="23"/>
          <w:szCs w:val="23"/>
        </w:rPr>
        <w:t xml:space="preserve"> incapax. This does not mean unable to do wrong. It does not mean lacking the capacity to differentiate between right and wrong. It means that the child is regarded as incapable of formulating a criminal intent to break the law. He has not the maturity or knowledge to make up his mind to do something to do something knowing it not only to be wrong but also knowing that it is against the law and susceptible to</w:t>
      </w:r>
      <w:r w:rsidR="0065743E">
        <w:rPr>
          <w:rFonts w:ascii="new roman" w:hAnsi="new roman" w:cs="Arial"/>
          <w:iCs/>
          <w:color w:val="212529"/>
          <w:sz w:val="23"/>
          <w:szCs w:val="23"/>
        </w:rPr>
        <w:t xml:space="preserve"> criminal sanction.”</w:t>
      </w:r>
      <w:r w:rsidRPr="0065743E">
        <w:rPr>
          <w:rFonts w:ascii="new roman" w:hAnsi="new roman" w:cs="Arial"/>
          <w:iCs/>
          <w:color w:val="212529"/>
          <w:sz w:val="23"/>
          <w:szCs w:val="23"/>
        </w:rPr>
        <w:t xml:space="preserve"> </w:t>
      </w:r>
    </w:p>
    <w:p w14:paraId="4AAC1D5A" w14:textId="6927DBDD" w:rsidR="003C5AA1" w:rsidRPr="003C5AA1" w:rsidRDefault="003C5AA1" w:rsidP="003C5AA1">
      <w:pPr>
        <w:pStyle w:val="western"/>
        <w:shd w:val="clear" w:color="auto" w:fill="FFFFFF"/>
        <w:spacing w:before="0" w:beforeAutospacing="0" w:after="202" w:afterAutospacing="0" w:line="360" w:lineRule="auto"/>
        <w:ind w:firstLine="720"/>
        <w:rPr>
          <w:rFonts w:ascii="new roman" w:hAnsi="new roman" w:cs="Arial"/>
          <w:color w:val="000000" w:themeColor="text1"/>
          <w:sz w:val="23"/>
          <w:szCs w:val="23"/>
        </w:rPr>
      </w:pPr>
      <w:r w:rsidRPr="003C5AA1">
        <w:rPr>
          <w:rFonts w:ascii="new roman" w:hAnsi="new roman" w:cs="Arial"/>
          <w:color w:val="000000" w:themeColor="text1"/>
          <w:sz w:val="23"/>
          <w:szCs w:val="23"/>
        </w:rPr>
        <w:t>Section 230 of the Criminal Code on the other hand sets out the circumstances under which a child within the seven to fourteen years group may be held criminally liable for his or her conduct as well as some of the factors which may be considered in arriving at that conclusion. It provides as follows:</w:t>
      </w:r>
    </w:p>
    <w:p w14:paraId="47EEEE25" w14:textId="77777777" w:rsidR="003C5AA1" w:rsidRPr="003C5AA1" w:rsidRDefault="003C5AA1" w:rsidP="003C5AA1">
      <w:pPr>
        <w:shd w:val="clear" w:color="auto" w:fill="FFFFFF"/>
        <w:spacing w:after="202" w:line="240" w:lineRule="auto"/>
        <w:ind w:firstLine="720"/>
        <w:rPr>
          <w:rFonts w:ascii="Arial" w:eastAsia="Times New Roman" w:hAnsi="Arial" w:cs="Arial"/>
          <w:color w:val="212529"/>
          <w:sz w:val="23"/>
          <w:szCs w:val="23"/>
          <w:lang w:eastAsia="en-ZW"/>
        </w:rPr>
      </w:pPr>
      <w:r w:rsidRPr="003C5AA1">
        <w:rPr>
          <w:rFonts w:ascii="Arial" w:eastAsia="Times New Roman" w:hAnsi="Arial" w:cs="Arial"/>
          <w:b/>
          <w:bCs/>
          <w:color w:val="212529"/>
          <w:sz w:val="23"/>
          <w:szCs w:val="23"/>
          <w:lang w:eastAsia="en-ZW"/>
        </w:rPr>
        <w:t>230. When a child between seven and fourteen years may be held criminally liable</w:t>
      </w:r>
    </w:p>
    <w:p w14:paraId="3432E339" w14:textId="77777777" w:rsidR="003C5AA1" w:rsidRPr="003C5AA1" w:rsidRDefault="003C5AA1" w:rsidP="003C5AA1">
      <w:pPr>
        <w:numPr>
          <w:ilvl w:val="0"/>
          <w:numId w:val="8"/>
        </w:numPr>
        <w:shd w:val="clear" w:color="auto" w:fill="FFFFFF"/>
        <w:spacing w:after="202" w:line="240" w:lineRule="auto"/>
        <w:rPr>
          <w:rFonts w:ascii="new roman" w:eastAsia="Times New Roman" w:hAnsi="new roman" w:cs="Arial"/>
          <w:color w:val="000000" w:themeColor="text1"/>
          <w:sz w:val="23"/>
          <w:szCs w:val="23"/>
          <w:lang w:eastAsia="en-ZW"/>
        </w:rPr>
      </w:pPr>
      <w:r w:rsidRPr="003C5AA1">
        <w:rPr>
          <w:rFonts w:ascii="new roman" w:eastAsia="Times New Roman" w:hAnsi="new roman" w:cs="Arial"/>
          <w:i/>
          <w:iCs/>
          <w:color w:val="000000" w:themeColor="text1"/>
          <w:sz w:val="23"/>
          <w:szCs w:val="23"/>
          <w:lang w:eastAsia="en-ZW"/>
        </w:rPr>
        <w:t>The presumption referred to in Section Seven as to the criminal incapacity of a child between the age of seven and below the age of fourteen years may be rebutted if, at the time of the commission of the crime for which the child is charged, the child was sufficiently mature-</w:t>
      </w:r>
    </w:p>
    <w:p w14:paraId="6B2BB05F" w14:textId="63AA9C16" w:rsidR="003C5AA1" w:rsidRPr="003C5AA1" w:rsidRDefault="003C5AA1" w:rsidP="003C5AA1">
      <w:pPr>
        <w:pStyle w:val="NormalWeb"/>
        <w:numPr>
          <w:ilvl w:val="0"/>
          <w:numId w:val="8"/>
        </w:numPr>
        <w:shd w:val="clear" w:color="auto" w:fill="FFFFFF"/>
        <w:spacing w:before="0" w:beforeAutospacing="0" w:after="0" w:afterAutospacing="0"/>
        <w:rPr>
          <w:rFonts w:ascii="new roman" w:hAnsi="new roman" w:cs="Arial"/>
          <w:color w:val="000000" w:themeColor="text1"/>
          <w:sz w:val="23"/>
          <w:szCs w:val="23"/>
        </w:rPr>
      </w:pPr>
      <w:r w:rsidRPr="003C5AA1">
        <w:rPr>
          <w:rFonts w:ascii="new roman" w:hAnsi="new roman" w:cs="Arial"/>
          <w:i/>
          <w:iCs/>
          <w:color w:val="000000" w:themeColor="text1"/>
          <w:sz w:val="23"/>
          <w:szCs w:val="23"/>
        </w:rPr>
        <w:t>to understand that his or her conduct was unlawful or morally wrong; and</w:t>
      </w:r>
      <w:r w:rsidRPr="003C5AA1">
        <w:rPr>
          <w:rFonts w:ascii="new roman" w:hAnsi="new roman" w:cs="Arial"/>
          <w:color w:val="000000" w:themeColor="text1"/>
          <w:sz w:val="23"/>
          <w:szCs w:val="23"/>
        </w:rPr>
        <w:br/>
      </w:r>
    </w:p>
    <w:p w14:paraId="061A1929" w14:textId="77777777" w:rsidR="003C5AA1" w:rsidRPr="003C5AA1" w:rsidRDefault="003C5AA1" w:rsidP="003C5AA1">
      <w:pPr>
        <w:pStyle w:val="NormalWeb"/>
        <w:numPr>
          <w:ilvl w:val="0"/>
          <w:numId w:val="8"/>
        </w:numPr>
        <w:shd w:val="clear" w:color="auto" w:fill="FFFFFF"/>
        <w:spacing w:before="0" w:beforeAutospacing="0" w:after="0" w:afterAutospacing="0"/>
        <w:rPr>
          <w:rFonts w:ascii="new roman" w:hAnsi="new roman" w:cs="Arial"/>
          <w:color w:val="000000" w:themeColor="text1"/>
          <w:sz w:val="23"/>
          <w:szCs w:val="23"/>
        </w:rPr>
      </w:pPr>
      <w:r w:rsidRPr="003C5AA1">
        <w:rPr>
          <w:rFonts w:ascii="new roman" w:hAnsi="new roman" w:cs="Arial"/>
          <w:i/>
          <w:iCs/>
          <w:color w:val="000000" w:themeColor="text1"/>
          <w:sz w:val="23"/>
          <w:szCs w:val="23"/>
        </w:rPr>
        <w:t>to be capable of conforming with the requirements of the law."</w:t>
      </w:r>
    </w:p>
    <w:p w14:paraId="5B1FF4A5" w14:textId="42CD2EEA" w:rsidR="009B5F12" w:rsidRPr="004075A6" w:rsidRDefault="00E3622C" w:rsidP="004075A6">
      <w:pPr>
        <w:pStyle w:val="western"/>
        <w:shd w:val="clear" w:color="auto" w:fill="FFFFFF"/>
        <w:spacing w:before="0" w:beforeAutospacing="0" w:after="0" w:afterAutospacing="0"/>
        <w:ind w:left="720"/>
        <w:rPr>
          <w:rFonts w:ascii="new roman" w:hAnsi="new roman" w:cs="Arial"/>
          <w:color w:val="000000" w:themeColor="text1"/>
          <w:sz w:val="23"/>
          <w:szCs w:val="23"/>
        </w:rPr>
      </w:pPr>
      <w:r>
        <w:rPr>
          <w:rFonts w:ascii="new roman" w:hAnsi="new roman" w:cs="Arial"/>
          <w:i/>
          <w:iCs/>
          <w:color w:val="000000" w:themeColor="text1"/>
          <w:sz w:val="23"/>
          <w:szCs w:val="23"/>
        </w:rPr>
        <w:t>C</w:t>
      </w:r>
      <w:r w:rsidR="003C5AA1" w:rsidRPr="003C5AA1">
        <w:rPr>
          <w:rFonts w:ascii="new roman" w:hAnsi="new roman" w:cs="Arial"/>
          <w:i/>
          <w:iCs/>
          <w:color w:val="000000" w:themeColor="text1"/>
          <w:sz w:val="23"/>
          <w:szCs w:val="23"/>
        </w:rPr>
        <w:t>riminal punishment”</w:t>
      </w:r>
    </w:p>
    <w:p w14:paraId="29E07B41" w14:textId="77777777" w:rsidR="00D114EC" w:rsidRDefault="00D114EC" w:rsidP="00CD5F78">
      <w:pPr>
        <w:spacing w:line="360" w:lineRule="auto"/>
        <w:jc w:val="both"/>
        <w:rPr>
          <w:rFonts w:ascii="Times New Roman" w:hAnsi="Times New Roman" w:cs="Times New Roman"/>
          <w:sz w:val="24"/>
          <w:szCs w:val="24"/>
        </w:rPr>
      </w:pPr>
    </w:p>
    <w:p w14:paraId="3038C1D4" w14:textId="548DA711" w:rsidR="0065743E" w:rsidRDefault="0065743E" w:rsidP="00E27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Sections 351,352 and 353 o</w:t>
      </w:r>
      <w:r w:rsidR="00E3622C">
        <w:rPr>
          <w:rFonts w:ascii="Times New Roman" w:hAnsi="Times New Roman" w:cs="Times New Roman"/>
          <w:sz w:val="24"/>
          <w:szCs w:val="24"/>
        </w:rPr>
        <w:t>f the Criminal Procedure and E</w:t>
      </w:r>
      <w:r>
        <w:rPr>
          <w:rFonts w:ascii="Times New Roman" w:hAnsi="Times New Roman" w:cs="Times New Roman"/>
          <w:sz w:val="24"/>
          <w:szCs w:val="24"/>
        </w:rPr>
        <w:t>vidence Act [</w:t>
      </w:r>
      <w:r w:rsidRPr="00BE71E9">
        <w:rPr>
          <w:rFonts w:ascii="Times New Roman" w:hAnsi="Times New Roman" w:cs="Times New Roman"/>
          <w:i/>
          <w:iCs/>
          <w:sz w:val="24"/>
          <w:szCs w:val="24"/>
        </w:rPr>
        <w:t>Chapter 9:07</w:t>
      </w:r>
      <w:r>
        <w:rPr>
          <w:rFonts w:ascii="Times New Roman" w:hAnsi="Times New Roman" w:cs="Times New Roman"/>
          <w:sz w:val="24"/>
          <w:szCs w:val="24"/>
        </w:rPr>
        <w:t>] make</w:t>
      </w:r>
      <w:r w:rsidR="00E3622C">
        <w:rPr>
          <w:rFonts w:ascii="Times New Roman" w:hAnsi="Times New Roman" w:cs="Times New Roman"/>
          <w:sz w:val="24"/>
          <w:szCs w:val="24"/>
        </w:rPr>
        <w:t xml:space="preserve"> reference to the Children’s Court in terms of the Children’s Act, [</w:t>
      </w:r>
      <w:r w:rsidR="00E3622C" w:rsidRPr="00BE71E9">
        <w:rPr>
          <w:rFonts w:ascii="Times New Roman" w:hAnsi="Times New Roman" w:cs="Times New Roman"/>
          <w:i/>
          <w:iCs/>
          <w:sz w:val="24"/>
          <w:szCs w:val="24"/>
        </w:rPr>
        <w:t>Chapter 5.06</w:t>
      </w:r>
      <w:r w:rsidR="00E3622C">
        <w:rPr>
          <w:rFonts w:ascii="Times New Roman" w:hAnsi="Times New Roman" w:cs="Times New Roman"/>
          <w:sz w:val="24"/>
          <w:szCs w:val="24"/>
        </w:rPr>
        <w:t xml:space="preserve">] when a trial court convicts a person under the age of </w:t>
      </w:r>
      <w:r w:rsidR="00E27AF2">
        <w:rPr>
          <w:rFonts w:ascii="Times New Roman" w:hAnsi="Times New Roman" w:cs="Times New Roman"/>
          <w:sz w:val="24"/>
          <w:szCs w:val="24"/>
        </w:rPr>
        <w:t>19,</w:t>
      </w:r>
      <w:r w:rsidR="00E3622C">
        <w:rPr>
          <w:rFonts w:ascii="Times New Roman" w:hAnsi="Times New Roman" w:cs="Times New Roman"/>
          <w:sz w:val="24"/>
          <w:szCs w:val="24"/>
        </w:rPr>
        <w:t xml:space="preserve"> instead of imposing a punishment of a fi</w:t>
      </w:r>
      <w:r>
        <w:rPr>
          <w:rFonts w:ascii="Times New Roman" w:hAnsi="Times New Roman" w:cs="Times New Roman"/>
          <w:sz w:val="24"/>
          <w:szCs w:val="24"/>
        </w:rPr>
        <w:t xml:space="preserve">ne or imprisonment.  They also enjoin the </w:t>
      </w:r>
      <w:r w:rsidR="00E3622C">
        <w:rPr>
          <w:rFonts w:ascii="Times New Roman" w:hAnsi="Times New Roman" w:cs="Times New Roman"/>
          <w:sz w:val="24"/>
          <w:szCs w:val="24"/>
        </w:rPr>
        <w:t xml:space="preserve">sentencing court to consider the placement of the juvenile under the </w:t>
      </w:r>
      <w:r w:rsidR="000148A8">
        <w:rPr>
          <w:rFonts w:ascii="Times New Roman" w:hAnsi="Times New Roman" w:cs="Times New Roman"/>
          <w:sz w:val="24"/>
          <w:szCs w:val="24"/>
        </w:rPr>
        <w:t>supervision</w:t>
      </w:r>
      <w:r w:rsidR="00E3622C">
        <w:rPr>
          <w:rFonts w:ascii="Times New Roman" w:hAnsi="Times New Roman" w:cs="Times New Roman"/>
          <w:sz w:val="24"/>
          <w:szCs w:val="24"/>
        </w:rPr>
        <w:t xml:space="preserve"> of a probation officer</w:t>
      </w:r>
      <w:r>
        <w:rPr>
          <w:rFonts w:ascii="Times New Roman" w:hAnsi="Times New Roman" w:cs="Times New Roman"/>
          <w:sz w:val="24"/>
          <w:szCs w:val="24"/>
        </w:rPr>
        <w:t xml:space="preserve"> and encouraged</w:t>
      </w:r>
      <w:r w:rsidR="000148A8">
        <w:rPr>
          <w:rFonts w:ascii="Times New Roman" w:hAnsi="Times New Roman" w:cs="Times New Roman"/>
          <w:sz w:val="24"/>
          <w:szCs w:val="24"/>
        </w:rPr>
        <w:t xml:space="preserve"> to consider sentencing juveniles to reformatory schools or institutions for juveniles</w:t>
      </w:r>
      <w:r>
        <w:rPr>
          <w:rFonts w:ascii="Times New Roman" w:hAnsi="Times New Roman" w:cs="Times New Roman"/>
          <w:sz w:val="24"/>
          <w:szCs w:val="24"/>
        </w:rPr>
        <w:t>,</w:t>
      </w:r>
      <w:r w:rsidR="000148A8">
        <w:rPr>
          <w:rFonts w:ascii="Times New Roman" w:hAnsi="Times New Roman" w:cs="Times New Roman"/>
          <w:sz w:val="24"/>
          <w:szCs w:val="24"/>
        </w:rPr>
        <w:t xml:space="preserve"> if incarceration is the only option. See, S v C</w:t>
      </w:r>
      <w:r w:rsidR="004075A6">
        <w:rPr>
          <w:rFonts w:ascii="Times New Roman" w:hAnsi="Times New Roman" w:cs="Times New Roman"/>
          <w:sz w:val="24"/>
          <w:szCs w:val="24"/>
        </w:rPr>
        <w:t xml:space="preserve"> </w:t>
      </w:r>
      <w:r w:rsidR="000148A8">
        <w:rPr>
          <w:rFonts w:ascii="Times New Roman" w:hAnsi="Times New Roman" w:cs="Times New Roman"/>
          <w:sz w:val="24"/>
          <w:szCs w:val="24"/>
        </w:rPr>
        <w:t xml:space="preserve">(a juvenile CRB87 of 2014) [2014] ZWHHC7/18 and </w:t>
      </w:r>
      <w:r w:rsidR="000148A8" w:rsidRPr="000148A8">
        <w:rPr>
          <w:rFonts w:ascii="Times New Roman" w:hAnsi="Times New Roman" w:cs="Times New Roman"/>
          <w:i/>
          <w:sz w:val="24"/>
          <w:szCs w:val="24"/>
        </w:rPr>
        <w:t xml:space="preserve">S v </w:t>
      </w:r>
      <w:proofErr w:type="spellStart"/>
      <w:r w:rsidR="000148A8" w:rsidRPr="000148A8">
        <w:rPr>
          <w:rFonts w:ascii="Times New Roman" w:hAnsi="Times New Roman" w:cs="Times New Roman"/>
          <w:i/>
          <w:sz w:val="24"/>
          <w:szCs w:val="24"/>
        </w:rPr>
        <w:t>Mupariwa</w:t>
      </w:r>
      <w:proofErr w:type="spellEnd"/>
      <w:r w:rsidR="000148A8">
        <w:rPr>
          <w:rFonts w:ascii="Times New Roman" w:hAnsi="Times New Roman" w:cs="Times New Roman"/>
          <w:sz w:val="24"/>
          <w:szCs w:val="24"/>
        </w:rPr>
        <w:t xml:space="preserve"> 2000(1) ZLR 168 (H).</w:t>
      </w:r>
    </w:p>
    <w:p w14:paraId="22FB4D88" w14:textId="71CE53EC" w:rsidR="0065743E" w:rsidRDefault="0065743E" w:rsidP="006574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all the tenets set out in the above Laws were encapsulated in the new sentencing guidelines, S. I. 146/23.</w:t>
      </w:r>
      <w:r w:rsidRPr="0065743E">
        <w:rPr>
          <w:rFonts w:ascii="Times New Roman" w:hAnsi="Times New Roman" w:cs="Times New Roman"/>
          <w:sz w:val="24"/>
          <w:szCs w:val="24"/>
        </w:rPr>
        <w:t xml:space="preserve"> </w:t>
      </w:r>
      <w:r>
        <w:rPr>
          <w:rFonts w:ascii="Times New Roman" w:hAnsi="Times New Roman" w:cs="Times New Roman"/>
          <w:sz w:val="24"/>
          <w:szCs w:val="24"/>
        </w:rPr>
        <w:t>Section 21 (1) of the sentencing guide recognises children as a special category of offenders. It reads</w:t>
      </w:r>
      <w:r w:rsidR="00C43C59">
        <w:rPr>
          <w:rFonts w:ascii="Times New Roman" w:hAnsi="Times New Roman" w:cs="Times New Roman"/>
          <w:sz w:val="24"/>
          <w:szCs w:val="24"/>
        </w:rPr>
        <w:t>:</w:t>
      </w:r>
    </w:p>
    <w:p w14:paraId="5313D499" w14:textId="77777777" w:rsidR="0065743E" w:rsidRDefault="0065743E" w:rsidP="0065743E">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“21 (1) where the offender is a child the court shall have regard to the following:</w:t>
      </w:r>
    </w:p>
    <w:p w14:paraId="3ACFD443" w14:textId="3BAFF039" w:rsidR="0065743E" w:rsidRPr="00C43C59" w:rsidRDefault="0065743E" w:rsidP="0065743E">
      <w:pPr>
        <w:pStyle w:val="ListParagraph"/>
        <w:numPr>
          <w:ilvl w:val="0"/>
          <w:numId w:val="6"/>
        </w:numPr>
        <w:spacing w:line="240" w:lineRule="auto"/>
        <w:jc w:val="both"/>
        <w:rPr>
          <w:rFonts w:ascii="Times New Roman" w:hAnsi="Times New Roman" w:cs="Times New Roman"/>
          <w:i/>
          <w:sz w:val="24"/>
          <w:szCs w:val="24"/>
        </w:rPr>
      </w:pPr>
      <w:r w:rsidRPr="00C43C59">
        <w:rPr>
          <w:rFonts w:ascii="Times New Roman" w:hAnsi="Times New Roman" w:cs="Times New Roman"/>
          <w:i/>
          <w:sz w:val="24"/>
          <w:szCs w:val="24"/>
        </w:rPr>
        <w:t xml:space="preserve">That the best interests of the child are the paramount consideration when determining the most appropriate sentence to impose and the court </w:t>
      </w:r>
      <w:r w:rsidR="003D6075">
        <w:rPr>
          <w:rFonts w:ascii="Times New Roman" w:hAnsi="Times New Roman" w:cs="Times New Roman"/>
          <w:i/>
          <w:sz w:val="24"/>
          <w:szCs w:val="24"/>
        </w:rPr>
        <w:t>s</w:t>
      </w:r>
      <w:r w:rsidRPr="00C43C59">
        <w:rPr>
          <w:rFonts w:ascii="Times New Roman" w:hAnsi="Times New Roman" w:cs="Times New Roman"/>
          <w:i/>
          <w:sz w:val="24"/>
          <w:szCs w:val="24"/>
        </w:rPr>
        <w:t>hall strive as best as it can to ensure that the sentence is rehabilitative in nature.</w:t>
      </w:r>
    </w:p>
    <w:p w14:paraId="520EF0A5" w14:textId="77777777" w:rsidR="0065743E" w:rsidRPr="00C43C59" w:rsidRDefault="0065743E" w:rsidP="0065743E">
      <w:pPr>
        <w:pStyle w:val="ListParagraph"/>
        <w:numPr>
          <w:ilvl w:val="0"/>
          <w:numId w:val="6"/>
        </w:numPr>
        <w:spacing w:line="240" w:lineRule="auto"/>
        <w:jc w:val="both"/>
        <w:rPr>
          <w:rFonts w:ascii="Times New Roman" w:hAnsi="Times New Roman" w:cs="Times New Roman"/>
          <w:i/>
          <w:sz w:val="24"/>
          <w:szCs w:val="24"/>
        </w:rPr>
      </w:pPr>
      <w:r w:rsidRPr="00C43C59">
        <w:rPr>
          <w:rFonts w:ascii="Times New Roman" w:hAnsi="Times New Roman" w:cs="Times New Roman"/>
          <w:i/>
          <w:sz w:val="24"/>
          <w:szCs w:val="24"/>
        </w:rPr>
        <w:t>A report prepared by a probation officer is a compulsory part of the pre-sentencing information.</w:t>
      </w:r>
    </w:p>
    <w:p w14:paraId="125AFDF9" w14:textId="511CCC85" w:rsidR="0065743E" w:rsidRPr="00E27AF2" w:rsidRDefault="0065743E" w:rsidP="00E27AF2">
      <w:pPr>
        <w:pStyle w:val="ListParagraph"/>
        <w:numPr>
          <w:ilvl w:val="0"/>
          <w:numId w:val="6"/>
        </w:numPr>
        <w:spacing w:line="240" w:lineRule="auto"/>
        <w:jc w:val="both"/>
        <w:rPr>
          <w:rFonts w:ascii="Times New Roman" w:hAnsi="Times New Roman" w:cs="Times New Roman"/>
          <w:i/>
          <w:sz w:val="24"/>
          <w:szCs w:val="24"/>
        </w:rPr>
      </w:pPr>
      <w:r w:rsidRPr="00C43C59">
        <w:rPr>
          <w:rFonts w:ascii="Times New Roman" w:hAnsi="Times New Roman" w:cs="Times New Roman"/>
          <w:i/>
          <w:sz w:val="24"/>
          <w:szCs w:val="24"/>
        </w:rPr>
        <w:lastRenderedPageBreak/>
        <w:t>Imprisonment as a sentence imposed on a child is to be used as a last resort and then only for the shortest possible time.”</w:t>
      </w:r>
    </w:p>
    <w:p w14:paraId="7E5BB1BD" w14:textId="77777777" w:rsidR="00E27AF2" w:rsidRDefault="00C43C59" w:rsidP="00E27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it is evident that the trial court made reference to the Sentencing </w:t>
      </w:r>
      <w:r w:rsidR="00E7348D">
        <w:rPr>
          <w:rFonts w:ascii="Times New Roman" w:hAnsi="Times New Roman" w:cs="Times New Roman"/>
          <w:sz w:val="24"/>
          <w:szCs w:val="24"/>
        </w:rPr>
        <w:t>Guidelines</w:t>
      </w:r>
      <w:r>
        <w:rPr>
          <w:rFonts w:ascii="Times New Roman" w:hAnsi="Times New Roman" w:cs="Times New Roman"/>
          <w:sz w:val="24"/>
          <w:szCs w:val="24"/>
        </w:rPr>
        <w:t>, but it failed to take cognisance of the provisions of s21. The implication is that</w:t>
      </w:r>
      <w:r w:rsidR="00E7348D">
        <w:rPr>
          <w:rFonts w:ascii="Times New Roman" w:hAnsi="Times New Roman" w:cs="Times New Roman"/>
          <w:sz w:val="24"/>
          <w:szCs w:val="24"/>
        </w:rPr>
        <w:t>,</w:t>
      </w:r>
      <w:r>
        <w:rPr>
          <w:rFonts w:ascii="Times New Roman" w:hAnsi="Times New Roman" w:cs="Times New Roman"/>
          <w:sz w:val="24"/>
          <w:szCs w:val="24"/>
        </w:rPr>
        <w:t xml:space="preserve"> it treated a mere child who was in need of its protection through all the various</w:t>
      </w:r>
      <w:r w:rsidR="00E7348D">
        <w:rPr>
          <w:rFonts w:ascii="Times New Roman" w:hAnsi="Times New Roman" w:cs="Times New Roman"/>
          <w:sz w:val="24"/>
          <w:szCs w:val="24"/>
        </w:rPr>
        <w:t xml:space="preserve"> statutory</w:t>
      </w:r>
      <w:r>
        <w:rPr>
          <w:rFonts w:ascii="Times New Roman" w:hAnsi="Times New Roman" w:cs="Times New Roman"/>
          <w:sz w:val="24"/>
          <w:szCs w:val="24"/>
        </w:rPr>
        <w:t xml:space="preserve"> option</w:t>
      </w:r>
      <w:r w:rsidR="00E7348D">
        <w:rPr>
          <w:rFonts w:ascii="Times New Roman" w:hAnsi="Times New Roman" w:cs="Times New Roman"/>
          <w:sz w:val="24"/>
          <w:szCs w:val="24"/>
        </w:rPr>
        <w:t>s</w:t>
      </w:r>
      <w:r>
        <w:rPr>
          <w:rFonts w:ascii="Times New Roman" w:hAnsi="Times New Roman" w:cs="Times New Roman"/>
          <w:sz w:val="24"/>
          <w:szCs w:val="24"/>
        </w:rPr>
        <w:t xml:space="preserve"> open to it as instructed by the law. It exposed the </w:t>
      </w:r>
      <w:r w:rsidR="00E27AF2">
        <w:rPr>
          <w:rFonts w:ascii="Times New Roman" w:hAnsi="Times New Roman" w:cs="Times New Roman"/>
          <w:sz w:val="24"/>
          <w:szCs w:val="24"/>
        </w:rPr>
        <w:t>14-year-old</w:t>
      </w:r>
      <w:r>
        <w:rPr>
          <w:rFonts w:ascii="Times New Roman" w:hAnsi="Times New Roman" w:cs="Times New Roman"/>
          <w:sz w:val="24"/>
          <w:szCs w:val="24"/>
        </w:rPr>
        <w:t xml:space="preserve"> teenager to the irreparably physical and emotionally damaging effect of adult prison vices. </w:t>
      </w:r>
    </w:p>
    <w:p w14:paraId="1A957E8D" w14:textId="1D41BF7C" w:rsidR="00625ECF" w:rsidRDefault="00C43C59" w:rsidP="00E27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Indeed, the seriousness of the </w:t>
      </w:r>
      <w:r w:rsidR="00E7348D">
        <w:rPr>
          <w:rFonts w:ascii="Times New Roman" w:hAnsi="Times New Roman" w:cs="Times New Roman"/>
          <w:sz w:val="24"/>
          <w:szCs w:val="24"/>
        </w:rPr>
        <w:t xml:space="preserve">offence </w:t>
      </w:r>
      <w:r>
        <w:rPr>
          <w:rFonts w:ascii="Times New Roman" w:hAnsi="Times New Roman" w:cs="Times New Roman"/>
          <w:sz w:val="24"/>
          <w:szCs w:val="24"/>
        </w:rPr>
        <w:t>cannot be underplayed especially on an equally vulnerable victim.</w:t>
      </w:r>
      <w:r w:rsidR="00B833F8">
        <w:rPr>
          <w:rFonts w:ascii="Times New Roman" w:hAnsi="Times New Roman" w:cs="Times New Roman"/>
          <w:sz w:val="24"/>
          <w:szCs w:val="24"/>
        </w:rPr>
        <w:t xml:space="preserve"> That is the main reason why we did not find i</w:t>
      </w:r>
      <w:r w:rsidR="00625ECF">
        <w:rPr>
          <w:rFonts w:ascii="Times New Roman" w:hAnsi="Times New Roman" w:cs="Times New Roman"/>
          <w:sz w:val="24"/>
          <w:szCs w:val="24"/>
        </w:rPr>
        <w:t>t appropriate to tamper with trial court’s</w:t>
      </w:r>
      <w:r w:rsidR="00B833F8">
        <w:rPr>
          <w:rFonts w:ascii="Times New Roman" w:hAnsi="Times New Roman" w:cs="Times New Roman"/>
          <w:sz w:val="24"/>
          <w:szCs w:val="24"/>
        </w:rPr>
        <w:t xml:space="preserve"> factual finding.</w:t>
      </w:r>
      <w:r w:rsidR="00625ECF" w:rsidRPr="00625ECF">
        <w:rPr>
          <w:rFonts w:ascii="Times New Roman" w:hAnsi="Times New Roman" w:cs="Times New Roman"/>
          <w:sz w:val="24"/>
          <w:szCs w:val="24"/>
        </w:rPr>
        <w:t xml:space="preserve"> </w:t>
      </w:r>
      <w:r w:rsidR="00625ECF">
        <w:rPr>
          <w:rFonts w:ascii="Times New Roman" w:hAnsi="Times New Roman" w:cs="Times New Roman"/>
          <w:sz w:val="24"/>
          <w:szCs w:val="24"/>
        </w:rPr>
        <w:t xml:space="preserve">In this case, the accused does not deny that the complainant was in his room at the relevant time. The medical report confirms that the complainant was sexually violated as described therein. It was taken within a period of five days from the day of the alleged offence.  The trial court even applied the cautionary rule as dictated by the case of </w:t>
      </w:r>
      <w:r w:rsidR="00625ECF" w:rsidRPr="000036CC">
        <w:rPr>
          <w:rFonts w:ascii="Times New Roman" w:hAnsi="Times New Roman" w:cs="Times New Roman"/>
          <w:i/>
          <w:iCs/>
          <w:sz w:val="24"/>
          <w:szCs w:val="24"/>
        </w:rPr>
        <w:t>State v Sibanda 1994 (1) ZLR</w:t>
      </w:r>
      <w:r w:rsidR="00625ECF">
        <w:rPr>
          <w:rFonts w:ascii="Times New Roman" w:hAnsi="Times New Roman" w:cs="Times New Roman"/>
          <w:sz w:val="24"/>
          <w:szCs w:val="24"/>
        </w:rPr>
        <w:t xml:space="preserve">. There is no justifiable reason why the complainant would single out the accused and incriminate him of such a heinous act. We therefore do not fault the trial court’s findings on conviction. </w:t>
      </w:r>
    </w:p>
    <w:p w14:paraId="750694F7" w14:textId="01BBF5E0" w:rsidR="00B833F8" w:rsidRDefault="00625ECF" w:rsidP="00625EC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 same cannot be said with regards to the sentence imposed. We do not believe that sentencing a 14-year juvenile to an effective 5-year imprisonment term without specifying that he should be detained in a juvenile detention centre, is in accordance with real and substantial justice. T</w:t>
      </w:r>
      <w:r w:rsidR="00C43C59">
        <w:rPr>
          <w:rFonts w:ascii="Times New Roman" w:hAnsi="Times New Roman" w:cs="Times New Roman"/>
          <w:sz w:val="24"/>
          <w:szCs w:val="24"/>
        </w:rPr>
        <w:t xml:space="preserve">he court </w:t>
      </w:r>
      <w:r w:rsidR="00E7348D">
        <w:rPr>
          <w:rFonts w:ascii="Times New Roman" w:hAnsi="Times New Roman" w:cs="Times New Roman"/>
          <w:sz w:val="24"/>
          <w:szCs w:val="24"/>
        </w:rPr>
        <w:t>had a legal duty to send the accused to a juvenile detention home or to send him to the Child</w:t>
      </w:r>
      <w:r>
        <w:rPr>
          <w:rFonts w:ascii="Times New Roman" w:hAnsi="Times New Roman" w:cs="Times New Roman"/>
          <w:sz w:val="24"/>
          <w:szCs w:val="24"/>
        </w:rPr>
        <w:t>ren’s C</w:t>
      </w:r>
      <w:r w:rsidR="00E7348D">
        <w:rPr>
          <w:rFonts w:ascii="Times New Roman" w:hAnsi="Times New Roman" w:cs="Times New Roman"/>
          <w:sz w:val="24"/>
          <w:szCs w:val="24"/>
        </w:rPr>
        <w:t>ourt as dictated by sections 351 to 353 of the Criminal Procedure and Evidence Act, [</w:t>
      </w:r>
      <w:r w:rsidR="00E7348D" w:rsidRPr="002D7DD6">
        <w:rPr>
          <w:rFonts w:ascii="Times New Roman" w:hAnsi="Times New Roman" w:cs="Times New Roman"/>
          <w:i/>
          <w:iCs/>
          <w:sz w:val="24"/>
          <w:szCs w:val="24"/>
        </w:rPr>
        <w:t>Chapter 9:07</w:t>
      </w:r>
      <w:r w:rsidR="00E7348D">
        <w:rPr>
          <w:rFonts w:ascii="Times New Roman" w:hAnsi="Times New Roman" w:cs="Times New Roman"/>
          <w:sz w:val="24"/>
          <w:szCs w:val="24"/>
        </w:rPr>
        <w:t>]</w:t>
      </w:r>
      <w:r>
        <w:rPr>
          <w:rFonts w:ascii="Times New Roman" w:hAnsi="Times New Roman" w:cs="Times New Roman"/>
          <w:sz w:val="24"/>
          <w:szCs w:val="24"/>
        </w:rPr>
        <w:t xml:space="preserve"> and in terms of the Children’s Act, [</w:t>
      </w:r>
      <w:r w:rsidRPr="002D7DD6">
        <w:rPr>
          <w:rFonts w:ascii="Times New Roman" w:hAnsi="Times New Roman" w:cs="Times New Roman"/>
          <w:i/>
          <w:iCs/>
          <w:sz w:val="24"/>
          <w:szCs w:val="24"/>
        </w:rPr>
        <w:t>Chapter 5:06</w:t>
      </w:r>
      <w:r>
        <w:rPr>
          <w:rFonts w:ascii="Times New Roman" w:hAnsi="Times New Roman" w:cs="Times New Roman"/>
          <w:sz w:val="24"/>
          <w:szCs w:val="24"/>
        </w:rPr>
        <w:t>]</w:t>
      </w:r>
      <w:r w:rsidR="00E7348D">
        <w:rPr>
          <w:rFonts w:ascii="Times New Roman" w:hAnsi="Times New Roman" w:cs="Times New Roman"/>
          <w:sz w:val="24"/>
          <w:szCs w:val="24"/>
        </w:rPr>
        <w:t xml:space="preserve">. </w:t>
      </w:r>
      <w:r w:rsidR="00E27AF2">
        <w:rPr>
          <w:rFonts w:ascii="Times New Roman" w:hAnsi="Times New Roman" w:cs="Times New Roman"/>
          <w:sz w:val="24"/>
          <w:szCs w:val="24"/>
        </w:rPr>
        <w:t>See,</w:t>
      </w:r>
      <w:r w:rsidR="00E7348D">
        <w:rPr>
          <w:rFonts w:ascii="Times New Roman" w:hAnsi="Times New Roman" w:cs="Times New Roman"/>
          <w:sz w:val="24"/>
          <w:szCs w:val="24"/>
        </w:rPr>
        <w:t xml:space="preserve"> </w:t>
      </w:r>
      <w:r w:rsidR="00E7348D" w:rsidRPr="00E7348D">
        <w:rPr>
          <w:rFonts w:ascii="Times New Roman" w:hAnsi="Times New Roman" w:cs="Times New Roman"/>
          <w:i/>
          <w:sz w:val="24"/>
          <w:szCs w:val="24"/>
        </w:rPr>
        <w:t>S v Ncube</w:t>
      </w:r>
      <w:r w:rsidR="00E7348D">
        <w:rPr>
          <w:rFonts w:ascii="Times New Roman" w:hAnsi="Times New Roman" w:cs="Times New Roman"/>
          <w:sz w:val="24"/>
          <w:szCs w:val="24"/>
        </w:rPr>
        <w:t xml:space="preserve"> &amp; Others HH139/11 </w:t>
      </w:r>
      <w:r w:rsidR="00E27AF2">
        <w:rPr>
          <w:rFonts w:ascii="Times New Roman" w:hAnsi="Times New Roman" w:cs="Times New Roman"/>
          <w:sz w:val="24"/>
          <w:szCs w:val="24"/>
        </w:rPr>
        <w:t>and Eva</w:t>
      </w:r>
      <w:r w:rsidR="00E7348D" w:rsidRPr="00E7348D">
        <w:rPr>
          <w:rFonts w:ascii="Times New Roman" w:hAnsi="Times New Roman" w:cs="Times New Roman"/>
          <w:i/>
          <w:sz w:val="24"/>
          <w:szCs w:val="24"/>
        </w:rPr>
        <w:t xml:space="preserve"> </w:t>
      </w:r>
      <w:r w:rsidR="00E7348D">
        <w:rPr>
          <w:rFonts w:ascii="Times New Roman" w:hAnsi="Times New Roman" w:cs="Times New Roman"/>
          <w:sz w:val="24"/>
          <w:szCs w:val="24"/>
        </w:rPr>
        <w:t>v1967 (1)</w:t>
      </w:r>
      <w:r w:rsidR="00E27AF2">
        <w:rPr>
          <w:rFonts w:ascii="Times New Roman" w:hAnsi="Times New Roman" w:cs="Times New Roman"/>
          <w:sz w:val="24"/>
          <w:szCs w:val="24"/>
        </w:rPr>
        <w:t xml:space="preserve"> </w:t>
      </w:r>
      <w:r w:rsidR="00E7348D">
        <w:rPr>
          <w:rFonts w:ascii="Times New Roman" w:hAnsi="Times New Roman" w:cs="Times New Roman"/>
          <w:sz w:val="24"/>
          <w:szCs w:val="24"/>
        </w:rPr>
        <w:t>RLR 113 (G)</w:t>
      </w:r>
      <w:r w:rsidR="00B833F8">
        <w:rPr>
          <w:rFonts w:ascii="Times New Roman" w:hAnsi="Times New Roman" w:cs="Times New Roman"/>
          <w:sz w:val="24"/>
          <w:szCs w:val="24"/>
        </w:rPr>
        <w:t>. We are of the considered view, that it is the sentence that was not in accordance with real and substantial justice.</w:t>
      </w:r>
    </w:p>
    <w:p w14:paraId="1A7A28B5" w14:textId="1C427DC4" w:rsidR="00B833F8" w:rsidRDefault="00B833F8" w:rsidP="00B833F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Nonetheless, the court is mindful of the fact that, attached to the record is only a probation officer’s report in respect of the complainant. It is within this probation officers report that there is mention of the need for further counselling sessions to help the victim get through the traumatic incident</w:t>
      </w:r>
      <w:r w:rsidR="00EA584F">
        <w:rPr>
          <w:rFonts w:ascii="Times New Roman" w:hAnsi="Times New Roman" w:cs="Times New Roman"/>
          <w:sz w:val="24"/>
          <w:szCs w:val="24"/>
        </w:rPr>
        <w:t xml:space="preserve"> as already alluded to</w:t>
      </w:r>
      <w:r>
        <w:rPr>
          <w:rFonts w:ascii="Times New Roman" w:hAnsi="Times New Roman" w:cs="Times New Roman"/>
          <w:sz w:val="24"/>
          <w:szCs w:val="24"/>
        </w:rPr>
        <w:t xml:space="preserve">. The trial court in sentencing the accused made reference to the statement of “counselling”, as if there was a probation report specifically recorded for the accused person. No such report was attached to the record. Had the report been </w:t>
      </w:r>
      <w:r>
        <w:rPr>
          <w:rFonts w:ascii="Times New Roman" w:hAnsi="Times New Roman" w:cs="Times New Roman"/>
          <w:sz w:val="24"/>
          <w:szCs w:val="24"/>
        </w:rPr>
        <w:lastRenderedPageBreak/>
        <w:t>attached the trial court should also have analysed it and gave her reasons for not rejecting the probation officer’s recommendations.</w:t>
      </w:r>
    </w:p>
    <w:p w14:paraId="528BC086" w14:textId="59ED472A" w:rsidR="00B833F8" w:rsidRDefault="00B833F8" w:rsidP="00E27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the trial court erred and misdirected itself by not calling for a probation officer’s report in respect for the accused person. </w:t>
      </w:r>
      <w:r w:rsidR="00E27AF2">
        <w:rPr>
          <w:rFonts w:ascii="Times New Roman" w:hAnsi="Times New Roman" w:cs="Times New Roman"/>
          <w:sz w:val="24"/>
          <w:szCs w:val="24"/>
        </w:rPr>
        <w:t>Secondly, by</w:t>
      </w:r>
      <w:r>
        <w:rPr>
          <w:rFonts w:ascii="Times New Roman" w:hAnsi="Times New Roman" w:cs="Times New Roman"/>
          <w:sz w:val="24"/>
          <w:szCs w:val="24"/>
        </w:rPr>
        <w:t xml:space="preserve"> not considering the relevant laws governing the sentencing of children and juveniles.</w:t>
      </w:r>
      <w:r w:rsidRPr="00B833F8">
        <w:rPr>
          <w:rFonts w:ascii="Times New Roman" w:hAnsi="Times New Roman" w:cs="Times New Roman"/>
          <w:sz w:val="24"/>
          <w:szCs w:val="24"/>
        </w:rPr>
        <w:t xml:space="preserve"> </w:t>
      </w:r>
      <w:r>
        <w:rPr>
          <w:rFonts w:ascii="Times New Roman" w:hAnsi="Times New Roman" w:cs="Times New Roman"/>
          <w:sz w:val="24"/>
          <w:szCs w:val="24"/>
        </w:rPr>
        <w:t xml:space="preserve">In the South African case of </w:t>
      </w:r>
      <w:r w:rsidRPr="005F4D65">
        <w:rPr>
          <w:rFonts w:ascii="Times New Roman" w:hAnsi="Times New Roman" w:cs="Times New Roman"/>
          <w:i/>
          <w:iCs/>
          <w:sz w:val="24"/>
          <w:szCs w:val="24"/>
        </w:rPr>
        <w:t>J.A v S [2019] CG</w:t>
      </w:r>
      <w:r>
        <w:rPr>
          <w:rFonts w:ascii="Times New Roman" w:hAnsi="Times New Roman" w:cs="Times New Roman"/>
          <w:i/>
          <w:iCs/>
          <w:sz w:val="24"/>
          <w:szCs w:val="24"/>
        </w:rPr>
        <w:t>CC</w:t>
      </w:r>
      <w:r w:rsidRPr="005F4D65">
        <w:rPr>
          <w:rFonts w:ascii="Times New Roman" w:hAnsi="Times New Roman" w:cs="Times New Roman"/>
          <w:i/>
          <w:iCs/>
          <w:sz w:val="24"/>
          <w:szCs w:val="24"/>
        </w:rPr>
        <w:t xml:space="preserve"> 64 (3 June 2019) SAFLII</w:t>
      </w:r>
      <w:r>
        <w:rPr>
          <w:rFonts w:ascii="Times New Roman" w:hAnsi="Times New Roman" w:cs="Times New Roman"/>
          <w:sz w:val="24"/>
          <w:szCs w:val="24"/>
        </w:rPr>
        <w:t>, proceedings of a lower court were vitiated for the failure of calling for the probation officer’s report.</w:t>
      </w:r>
    </w:p>
    <w:p w14:paraId="4F2E5F42" w14:textId="7ED00C91" w:rsidR="00A51CE2" w:rsidRDefault="00625ECF" w:rsidP="00E27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as is discernible from the record of proceedings before the trial court, there were incidences where the accused was so overwhelmed as not to </w:t>
      </w:r>
      <w:r w:rsidR="00A51CE2">
        <w:rPr>
          <w:rFonts w:ascii="Times New Roman" w:hAnsi="Times New Roman" w:cs="Times New Roman"/>
          <w:sz w:val="24"/>
          <w:szCs w:val="24"/>
        </w:rPr>
        <w:t xml:space="preserve">answer some questions put to him. This is a red flag that should steer the trial court to allow child offenders the opportunity to seek the assistance of legal representatives paid by the State. If the State can facilitate the payment of legal representative or </w:t>
      </w:r>
      <w:r w:rsidR="00A51CE2" w:rsidRPr="00A51CE2">
        <w:rPr>
          <w:rFonts w:ascii="Times New Roman" w:hAnsi="Times New Roman" w:cs="Times New Roman"/>
          <w:i/>
          <w:sz w:val="24"/>
          <w:szCs w:val="24"/>
        </w:rPr>
        <w:t>pro deo</w:t>
      </w:r>
      <w:r w:rsidR="00A51CE2">
        <w:rPr>
          <w:rFonts w:ascii="Times New Roman" w:hAnsi="Times New Roman" w:cs="Times New Roman"/>
          <w:sz w:val="24"/>
          <w:szCs w:val="24"/>
        </w:rPr>
        <w:t xml:space="preserve"> lawyers to suspect murderers, surely it can extend the same to its </w:t>
      </w:r>
      <w:proofErr w:type="gramStart"/>
      <w:r w:rsidR="00A51CE2">
        <w:rPr>
          <w:rFonts w:ascii="Times New Roman" w:hAnsi="Times New Roman" w:cs="Times New Roman"/>
          <w:sz w:val="24"/>
          <w:szCs w:val="24"/>
        </w:rPr>
        <w:t>children</w:t>
      </w:r>
      <w:proofErr w:type="gramEnd"/>
      <w:r w:rsidR="00A51CE2">
        <w:rPr>
          <w:rFonts w:ascii="Times New Roman" w:hAnsi="Times New Roman" w:cs="Times New Roman"/>
          <w:sz w:val="24"/>
          <w:szCs w:val="24"/>
        </w:rPr>
        <w:t xml:space="preserve"> offenders. </w:t>
      </w:r>
    </w:p>
    <w:p w14:paraId="3563EC76" w14:textId="41093580" w:rsidR="00C43C59" w:rsidRDefault="00A51CE2" w:rsidP="00E27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interesting factor is though the trial court recognised the need for the child to be assisted with his guardian, it may not be in the best interests of an African Adolescent child who culturally and traditionally regards or views sexual matters as taboo subjects where parents and adults in general are concerned. So, a child, a male one for that matter may not freely speak up in the presence of their mothers.</w:t>
      </w:r>
    </w:p>
    <w:p w14:paraId="0DA1823E" w14:textId="3A8A8FE1" w:rsidR="00A51CE2" w:rsidRDefault="00A51CE2" w:rsidP="00E27A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above summation, the conviction is confirmed.  Due to the numerous </w:t>
      </w:r>
      <w:r w:rsidR="003B59FA">
        <w:rPr>
          <w:rFonts w:ascii="Times New Roman" w:hAnsi="Times New Roman" w:cs="Times New Roman"/>
          <w:sz w:val="24"/>
          <w:szCs w:val="24"/>
        </w:rPr>
        <w:t>mis-</w:t>
      </w:r>
      <w:r w:rsidR="00E27AF2">
        <w:rPr>
          <w:rFonts w:ascii="Times New Roman" w:hAnsi="Times New Roman" w:cs="Times New Roman"/>
          <w:sz w:val="24"/>
          <w:szCs w:val="24"/>
        </w:rPr>
        <w:t>directions, in</w:t>
      </w:r>
      <w:r>
        <w:rPr>
          <w:rFonts w:ascii="Times New Roman" w:hAnsi="Times New Roman" w:cs="Times New Roman"/>
          <w:sz w:val="24"/>
          <w:szCs w:val="24"/>
        </w:rPr>
        <w:t xml:space="preserve"> regard to the sentence. The sentence is </w:t>
      </w:r>
      <w:r w:rsidR="00740ABC">
        <w:rPr>
          <w:rFonts w:ascii="Times New Roman" w:hAnsi="Times New Roman" w:cs="Times New Roman"/>
          <w:sz w:val="24"/>
          <w:szCs w:val="24"/>
        </w:rPr>
        <w:t xml:space="preserve">set aside and </w:t>
      </w:r>
      <w:r>
        <w:rPr>
          <w:rFonts w:ascii="Times New Roman" w:hAnsi="Times New Roman" w:cs="Times New Roman"/>
          <w:sz w:val="24"/>
          <w:szCs w:val="24"/>
        </w:rPr>
        <w:t xml:space="preserve">substituted with 5 </w:t>
      </w:r>
      <w:proofErr w:type="spellStart"/>
      <w:r>
        <w:rPr>
          <w:rFonts w:ascii="Times New Roman" w:hAnsi="Times New Roman" w:cs="Times New Roman"/>
          <w:sz w:val="24"/>
          <w:szCs w:val="24"/>
        </w:rPr>
        <w:t>years</w:t>
      </w:r>
      <w:proofErr w:type="spellEnd"/>
      <w:r>
        <w:rPr>
          <w:rFonts w:ascii="Times New Roman" w:hAnsi="Times New Roman" w:cs="Times New Roman"/>
          <w:sz w:val="24"/>
          <w:szCs w:val="24"/>
        </w:rPr>
        <w:t xml:space="preserve"> imprisonment wholly suspe</w:t>
      </w:r>
      <w:r w:rsidR="003B59FA">
        <w:rPr>
          <w:rFonts w:ascii="Times New Roman" w:hAnsi="Times New Roman" w:cs="Times New Roman"/>
          <w:sz w:val="24"/>
          <w:szCs w:val="24"/>
        </w:rPr>
        <w:t xml:space="preserve">nded for 2 years on condition </w:t>
      </w:r>
      <w:r>
        <w:rPr>
          <w:rFonts w:ascii="Times New Roman" w:hAnsi="Times New Roman" w:cs="Times New Roman"/>
          <w:sz w:val="24"/>
          <w:szCs w:val="24"/>
        </w:rPr>
        <w:t xml:space="preserve">the accused </w:t>
      </w:r>
      <w:r w:rsidR="003B59FA">
        <w:rPr>
          <w:rFonts w:ascii="Times New Roman" w:hAnsi="Times New Roman" w:cs="Times New Roman"/>
          <w:sz w:val="24"/>
          <w:szCs w:val="24"/>
        </w:rPr>
        <w:t xml:space="preserve">does not </w:t>
      </w:r>
      <w:r w:rsidR="00740ABC">
        <w:rPr>
          <w:rFonts w:ascii="Times New Roman" w:hAnsi="Times New Roman" w:cs="Times New Roman"/>
          <w:sz w:val="24"/>
          <w:szCs w:val="24"/>
        </w:rPr>
        <w:t xml:space="preserve">within that period </w:t>
      </w:r>
      <w:r w:rsidR="003B59FA">
        <w:rPr>
          <w:rFonts w:ascii="Times New Roman" w:hAnsi="Times New Roman" w:cs="Times New Roman"/>
          <w:sz w:val="24"/>
          <w:szCs w:val="24"/>
        </w:rPr>
        <w:t>commit any offence involving sexual assault</w:t>
      </w:r>
      <w:r w:rsidR="00740ABC">
        <w:rPr>
          <w:rFonts w:ascii="Times New Roman" w:hAnsi="Times New Roman" w:cs="Times New Roman"/>
          <w:sz w:val="24"/>
          <w:szCs w:val="24"/>
        </w:rPr>
        <w:t>,</w:t>
      </w:r>
      <w:r w:rsidR="003B59FA">
        <w:rPr>
          <w:rFonts w:ascii="Times New Roman" w:hAnsi="Times New Roman" w:cs="Times New Roman"/>
          <w:sz w:val="24"/>
          <w:szCs w:val="24"/>
        </w:rPr>
        <w:t xml:space="preserve"> rape or indecent assault</w:t>
      </w:r>
      <w:r w:rsidR="00740ABC">
        <w:rPr>
          <w:rFonts w:ascii="Times New Roman" w:hAnsi="Times New Roman" w:cs="Times New Roman"/>
          <w:sz w:val="24"/>
          <w:szCs w:val="24"/>
        </w:rPr>
        <w:t xml:space="preserve"> for which upon conviction he is sentenced to imprisonment without the option of a fine.</w:t>
      </w:r>
    </w:p>
    <w:p w14:paraId="39CE9E96" w14:textId="21111163" w:rsidR="003B59FA" w:rsidRDefault="003B59FA" w:rsidP="00CD5F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warrant of liberation is forthwith issued. </w:t>
      </w:r>
    </w:p>
    <w:p w14:paraId="5F263640" w14:textId="77777777" w:rsidR="00FB2E43" w:rsidRDefault="00FB2E43" w:rsidP="003B59FA">
      <w:pPr>
        <w:spacing w:line="360" w:lineRule="auto"/>
        <w:jc w:val="both"/>
        <w:rPr>
          <w:rFonts w:ascii="Times New Roman" w:hAnsi="Times New Roman" w:cs="Times New Roman"/>
          <w:sz w:val="24"/>
          <w:szCs w:val="24"/>
        </w:rPr>
      </w:pPr>
    </w:p>
    <w:p w14:paraId="160B0946" w14:textId="77777777" w:rsidR="00FB2E43" w:rsidRDefault="00E3622C" w:rsidP="00FB2E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B2E43">
        <w:rPr>
          <w:rFonts w:ascii="Times New Roman" w:hAnsi="Times New Roman" w:cs="Times New Roman"/>
          <w:sz w:val="24"/>
          <w:szCs w:val="24"/>
        </w:rPr>
        <w:t>Muzofa</w:t>
      </w:r>
      <w:proofErr w:type="spellEnd"/>
      <w:r w:rsidR="00FB2E43">
        <w:rPr>
          <w:rFonts w:ascii="Times New Roman" w:hAnsi="Times New Roman" w:cs="Times New Roman"/>
          <w:sz w:val="24"/>
          <w:szCs w:val="24"/>
        </w:rPr>
        <w:t xml:space="preserve"> J agrees</w:t>
      </w:r>
    </w:p>
    <w:p w14:paraId="0ADFF9AF" w14:textId="406F7F0C" w:rsidR="000259BA" w:rsidRPr="006F0C36" w:rsidRDefault="003B59FA" w:rsidP="003B59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0259BA" w:rsidRPr="006F0C3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4FCE5" w14:textId="77777777" w:rsidR="00C75E9F" w:rsidRDefault="00C75E9F" w:rsidP="00C373F1">
      <w:pPr>
        <w:spacing w:after="0" w:line="240" w:lineRule="auto"/>
      </w:pPr>
      <w:r>
        <w:separator/>
      </w:r>
    </w:p>
  </w:endnote>
  <w:endnote w:type="continuationSeparator" w:id="0">
    <w:p w14:paraId="7A3E541F" w14:textId="77777777" w:rsidR="00C75E9F" w:rsidRDefault="00C75E9F" w:rsidP="00C3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C065F" w14:textId="77777777" w:rsidR="00C75E9F" w:rsidRDefault="00C75E9F" w:rsidP="00C373F1">
      <w:pPr>
        <w:spacing w:after="0" w:line="240" w:lineRule="auto"/>
      </w:pPr>
      <w:r>
        <w:separator/>
      </w:r>
    </w:p>
  </w:footnote>
  <w:footnote w:type="continuationSeparator" w:id="0">
    <w:p w14:paraId="13C4C537" w14:textId="77777777" w:rsidR="00C75E9F" w:rsidRDefault="00C75E9F" w:rsidP="00C37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40747"/>
      <w:docPartObj>
        <w:docPartGallery w:val="Page Numbers (Top of Page)"/>
        <w:docPartUnique/>
      </w:docPartObj>
    </w:sdtPr>
    <w:sdtEndPr>
      <w:rPr>
        <w:noProof/>
      </w:rPr>
    </w:sdtEndPr>
    <w:sdtContent>
      <w:p w14:paraId="3AE07C01" w14:textId="2B59FBA6" w:rsidR="00A51CE2" w:rsidRDefault="00A51CE2">
        <w:pPr>
          <w:pStyle w:val="Header"/>
          <w:jc w:val="right"/>
          <w:rPr>
            <w:noProof/>
          </w:rPr>
        </w:pPr>
        <w:r>
          <w:fldChar w:fldCharType="begin"/>
        </w:r>
        <w:r>
          <w:instrText xml:space="preserve"> PAGE   \* MERGEFORMAT </w:instrText>
        </w:r>
        <w:r>
          <w:fldChar w:fldCharType="separate"/>
        </w:r>
        <w:r w:rsidR="009A05D9">
          <w:rPr>
            <w:noProof/>
          </w:rPr>
          <w:t>7</w:t>
        </w:r>
        <w:r>
          <w:rPr>
            <w:noProof/>
          </w:rPr>
          <w:fldChar w:fldCharType="end"/>
        </w:r>
      </w:p>
      <w:p w14:paraId="3617CF5F" w14:textId="3E2A25A7" w:rsidR="00E27AF2" w:rsidRDefault="00E27AF2">
        <w:pPr>
          <w:pStyle w:val="Header"/>
          <w:jc w:val="right"/>
          <w:rPr>
            <w:noProof/>
          </w:rPr>
        </w:pPr>
        <w:r>
          <w:rPr>
            <w:noProof/>
          </w:rPr>
          <w:t>HCC</w:t>
        </w:r>
        <w:r w:rsidR="003D57A4">
          <w:rPr>
            <w:noProof/>
          </w:rPr>
          <w:t xml:space="preserve"> 44/24</w:t>
        </w:r>
      </w:p>
      <w:p w14:paraId="63620119" w14:textId="2686D7E9" w:rsidR="00A51CE2" w:rsidRDefault="00E27AF2" w:rsidP="00E27AF2">
        <w:pPr>
          <w:pStyle w:val="Header"/>
          <w:jc w:val="right"/>
          <w:rPr>
            <w:noProof/>
          </w:rPr>
        </w:pPr>
        <w:r>
          <w:rPr>
            <w:noProof/>
          </w:rPr>
          <w:t>HCCR</w:t>
        </w:r>
        <w:r w:rsidR="003D57A4">
          <w:rPr>
            <w:noProof/>
          </w:rPr>
          <w:t xml:space="preserve"> </w:t>
        </w:r>
        <w:r>
          <w:rPr>
            <w:noProof/>
          </w:rPr>
          <w:t>3</w:t>
        </w:r>
        <w:r w:rsidR="00C32664">
          <w:rPr>
            <w:noProof/>
          </w:rPr>
          <w:t>66</w:t>
        </w:r>
        <w:r>
          <w:rPr>
            <w:noProof/>
          </w:rPr>
          <w:t>/24</w:t>
        </w:r>
        <w:r w:rsidR="003B59FA">
          <w:rPr>
            <w:noProof/>
          </w:rPr>
          <w:b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47AA"/>
    <w:multiLevelType w:val="hybridMultilevel"/>
    <w:tmpl w:val="4F36295A"/>
    <w:lvl w:ilvl="0" w:tplc="AF9EBF0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06C3FAB"/>
    <w:multiLevelType w:val="multilevel"/>
    <w:tmpl w:val="AD80B3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16C126E"/>
    <w:multiLevelType w:val="hybridMultilevel"/>
    <w:tmpl w:val="1B98F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4358A"/>
    <w:multiLevelType w:val="multilevel"/>
    <w:tmpl w:val="4080E3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CB41093"/>
    <w:multiLevelType w:val="hybridMultilevel"/>
    <w:tmpl w:val="997A6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BE2E9A"/>
    <w:multiLevelType w:val="multilevel"/>
    <w:tmpl w:val="172A1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6056BF"/>
    <w:multiLevelType w:val="hybridMultilevel"/>
    <w:tmpl w:val="7B6A2336"/>
    <w:lvl w:ilvl="0" w:tplc="F81C14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4F036075"/>
    <w:multiLevelType w:val="hybridMultilevel"/>
    <w:tmpl w:val="BE78B30C"/>
    <w:lvl w:ilvl="0" w:tplc="C8061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615583"/>
    <w:multiLevelType w:val="hybridMultilevel"/>
    <w:tmpl w:val="7A06DED0"/>
    <w:lvl w:ilvl="0" w:tplc="86E2179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8917644"/>
    <w:multiLevelType w:val="hybridMultilevel"/>
    <w:tmpl w:val="D7A2DF9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2"/>
  </w:num>
  <w:num w:numId="5">
    <w:abstractNumId w:val="4"/>
  </w:num>
  <w:num w:numId="6">
    <w:abstractNumId w:val="0"/>
  </w:num>
  <w:num w:numId="7">
    <w:abstractNumId w:val="6"/>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D9"/>
    <w:rsid w:val="000036CC"/>
    <w:rsid w:val="00005EFB"/>
    <w:rsid w:val="00013300"/>
    <w:rsid w:val="000148A8"/>
    <w:rsid w:val="00016E8C"/>
    <w:rsid w:val="000259BA"/>
    <w:rsid w:val="000357B6"/>
    <w:rsid w:val="0003670D"/>
    <w:rsid w:val="00037518"/>
    <w:rsid w:val="00040D23"/>
    <w:rsid w:val="000419AE"/>
    <w:rsid w:val="00043A83"/>
    <w:rsid w:val="00050549"/>
    <w:rsid w:val="00051840"/>
    <w:rsid w:val="00057201"/>
    <w:rsid w:val="00066E32"/>
    <w:rsid w:val="000678EC"/>
    <w:rsid w:val="00074282"/>
    <w:rsid w:val="000852CA"/>
    <w:rsid w:val="000867E7"/>
    <w:rsid w:val="000906E2"/>
    <w:rsid w:val="00093F8C"/>
    <w:rsid w:val="00095B36"/>
    <w:rsid w:val="000A01CF"/>
    <w:rsid w:val="000A384F"/>
    <w:rsid w:val="000B2288"/>
    <w:rsid w:val="000C2958"/>
    <w:rsid w:val="000C33E9"/>
    <w:rsid w:val="000C6654"/>
    <w:rsid w:val="000D02BE"/>
    <w:rsid w:val="000E1D20"/>
    <w:rsid w:val="000F37FB"/>
    <w:rsid w:val="00100D64"/>
    <w:rsid w:val="00101FF2"/>
    <w:rsid w:val="00102BFA"/>
    <w:rsid w:val="0010687F"/>
    <w:rsid w:val="001111A9"/>
    <w:rsid w:val="0011178A"/>
    <w:rsid w:val="001134A9"/>
    <w:rsid w:val="00134C63"/>
    <w:rsid w:val="00137792"/>
    <w:rsid w:val="00143615"/>
    <w:rsid w:val="00153CE5"/>
    <w:rsid w:val="00154BD8"/>
    <w:rsid w:val="00154CAD"/>
    <w:rsid w:val="001610AB"/>
    <w:rsid w:val="001632AF"/>
    <w:rsid w:val="001661D6"/>
    <w:rsid w:val="00167C08"/>
    <w:rsid w:val="001719D5"/>
    <w:rsid w:val="001733CF"/>
    <w:rsid w:val="001857C7"/>
    <w:rsid w:val="001A3C01"/>
    <w:rsid w:val="001A6870"/>
    <w:rsid w:val="001A6DF9"/>
    <w:rsid w:val="001A77D9"/>
    <w:rsid w:val="001A7C87"/>
    <w:rsid w:val="001B413C"/>
    <w:rsid w:val="001C4E3B"/>
    <w:rsid w:val="001C614E"/>
    <w:rsid w:val="001C6508"/>
    <w:rsid w:val="001D6E0D"/>
    <w:rsid w:val="001E213D"/>
    <w:rsid w:val="001E5A77"/>
    <w:rsid w:val="001E696B"/>
    <w:rsid w:val="001F0F39"/>
    <w:rsid w:val="001F1BEC"/>
    <w:rsid w:val="001F4444"/>
    <w:rsid w:val="00200AEE"/>
    <w:rsid w:val="00205076"/>
    <w:rsid w:val="00210179"/>
    <w:rsid w:val="00210F42"/>
    <w:rsid w:val="0021450A"/>
    <w:rsid w:val="00216B3A"/>
    <w:rsid w:val="00220419"/>
    <w:rsid w:val="0023415D"/>
    <w:rsid w:val="0024423A"/>
    <w:rsid w:val="00244B56"/>
    <w:rsid w:val="0024667D"/>
    <w:rsid w:val="002516E8"/>
    <w:rsid w:val="00254336"/>
    <w:rsid w:val="002572E5"/>
    <w:rsid w:val="0026072A"/>
    <w:rsid w:val="00261FF4"/>
    <w:rsid w:val="002620AE"/>
    <w:rsid w:val="00264620"/>
    <w:rsid w:val="002669BF"/>
    <w:rsid w:val="00277B9E"/>
    <w:rsid w:val="00282C1E"/>
    <w:rsid w:val="00284288"/>
    <w:rsid w:val="002878BA"/>
    <w:rsid w:val="00287BF7"/>
    <w:rsid w:val="00291996"/>
    <w:rsid w:val="002A49C1"/>
    <w:rsid w:val="002A6A3B"/>
    <w:rsid w:val="002B41E8"/>
    <w:rsid w:val="002B5486"/>
    <w:rsid w:val="002C40D2"/>
    <w:rsid w:val="002C682E"/>
    <w:rsid w:val="002C6E2B"/>
    <w:rsid w:val="002D0245"/>
    <w:rsid w:val="002D235F"/>
    <w:rsid w:val="002D7DD6"/>
    <w:rsid w:val="002E34FC"/>
    <w:rsid w:val="002E6A3D"/>
    <w:rsid w:val="002E7CE4"/>
    <w:rsid w:val="002F2C6F"/>
    <w:rsid w:val="002F36A7"/>
    <w:rsid w:val="002F5D1F"/>
    <w:rsid w:val="0030062C"/>
    <w:rsid w:val="003013FA"/>
    <w:rsid w:val="00302226"/>
    <w:rsid w:val="003043D9"/>
    <w:rsid w:val="003073EA"/>
    <w:rsid w:val="003129C4"/>
    <w:rsid w:val="00324996"/>
    <w:rsid w:val="00324EFB"/>
    <w:rsid w:val="003277AB"/>
    <w:rsid w:val="00327F00"/>
    <w:rsid w:val="0033030F"/>
    <w:rsid w:val="00331430"/>
    <w:rsid w:val="00332971"/>
    <w:rsid w:val="00333C3B"/>
    <w:rsid w:val="00336A26"/>
    <w:rsid w:val="00337E85"/>
    <w:rsid w:val="0034637E"/>
    <w:rsid w:val="00363C83"/>
    <w:rsid w:val="0037016E"/>
    <w:rsid w:val="00376C10"/>
    <w:rsid w:val="00380137"/>
    <w:rsid w:val="00381208"/>
    <w:rsid w:val="0038160E"/>
    <w:rsid w:val="003859C8"/>
    <w:rsid w:val="00395695"/>
    <w:rsid w:val="003A330D"/>
    <w:rsid w:val="003A44CF"/>
    <w:rsid w:val="003B3C85"/>
    <w:rsid w:val="003B3CA5"/>
    <w:rsid w:val="003B577C"/>
    <w:rsid w:val="003B57CE"/>
    <w:rsid w:val="003B59FA"/>
    <w:rsid w:val="003C07BB"/>
    <w:rsid w:val="003C2ADD"/>
    <w:rsid w:val="003C5AA1"/>
    <w:rsid w:val="003C5E79"/>
    <w:rsid w:val="003D0B8C"/>
    <w:rsid w:val="003D1C17"/>
    <w:rsid w:val="003D57A4"/>
    <w:rsid w:val="003D6075"/>
    <w:rsid w:val="003D6A1A"/>
    <w:rsid w:val="003E1466"/>
    <w:rsid w:val="003E3084"/>
    <w:rsid w:val="003E48D1"/>
    <w:rsid w:val="003E7392"/>
    <w:rsid w:val="003F0930"/>
    <w:rsid w:val="003F0C7F"/>
    <w:rsid w:val="003F2919"/>
    <w:rsid w:val="004072ED"/>
    <w:rsid w:val="004075A6"/>
    <w:rsid w:val="00411393"/>
    <w:rsid w:val="00411F17"/>
    <w:rsid w:val="00412CF1"/>
    <w:rsid w:val="00423A6B"/>
    <w:rsid w:val="00426AE6"/>
    <w:rsid w:val="00432DCC"/>
    <w:rsid w:val="004352B4"/>
    <w:rsid w:val="00436B52"/>
    <w:rsid w:val="004409B7"/>
    <w:rsid w:val="00444ACB"/>
    <w:rsid w:val="00445D7B"/>
    <w:rsid w:val="00446467"/>
    <w:rsid w:val="0044787D"/>
    <w:rsid w:val="00447D4C"/>
    <w:rsid w:val="0045037E"/>
    <w:rsid w:val="0045490F"/>
    <w:rsid w:val="00456360"/>
    <w:rsid w:val="0046127F"/>
    <w:rsid w:val="004649F0"/>
    <w:rsid w:val="0046534A"/>
    <w:rsid w:val="004653F9"/>
    <w:rsid w:val="00475CC2"/>
    <w:rsid w:val="0047637B"/>
    <w:rsid w:val="004806E3"/>
    <w:rsid w:val="00481178"/>
    <w:rsid w:val="00484876"/>
    <w:rsid w:val="00484CAE"/>
    <w:rsid w:val="004872B2"/>
    <w:rsid w:val="00493F0F"/>
    <w:rsid w:val="004961A2"/>
    <w:rsid w:val="004A0B88"/>
    <w:rsid w:val="004A6834"/>
    <w:rsid w:val="004B5D83"/>
    <w:rsid w:val="004C5B75"/>
    <w:rsid w:val="004C6B92"/>
    <w:rsid w:val="004C78BF"/>
    <w:rsid w:val="004D0CB0"/>
    <w:rsid w:val="004D570E"/>
    <w:rsid w:val="004E4C76"/>
    <w:rsid w:val="004E6F85"/>
    <w:rsid w:val="004E70FD"/>
    <w:rsid w:val="004E76E9"/>
    <w:rsid w:val="004E7D43"/>
    <w:rsid w:val="004F0AF9"/>
    <w:rsid w:val="004F596D"/>
    <w:rsid w:val="004F747D"/>
    <w:rsid w:val="00501450"/>
    <w:rsid w:val="00501EDC"/>
    <w:rsid w:val="0050479C"/>
    <w:rsid w:val="00504FEA"/>
    <w:rsid w:val="00512460"/>
    <w:rsid w:val="00515A61"/>
    <w:rsid w:val="005178F8"/>
    <w:rsid w:val="00520511"/>
    <w:rsid w:val="00526248"/>
    <w:rsid w:val="005266CE"/>
    <w:rsid w:val="00527976"/>
    <w:rsid w:val="005336A3"/>
    <w:rsid w:val="00534D34"/>
    <w:rsid w:val="00535F1F"/>
    <w:rsid w:val="00543A3A"/>
    <w:rsid w:val="00543D32"/>
    <w:rsid w:val="00550537"/>
    <w:rsid w:val="00554A56"/>
    <w:rsid w:val="0055515C"/>
    <w:rsid w:val="00555E8C"/>
    <w:rsid w:val="00556FD0"/>
    <w:rsid w:val="0056014E"/>
    <w:rsid w:val="0056224F"/>
    <w:rsid w:val="00564B27"/>
    <w:rsid w:val="00565037"/>
    <w:rsid w:val="005701A3"/>
    <w:rsid w:val="005749F7"/>
    <w:rsid w:val="0058465E"/>
    <w:rsid w:val="00587A7F"/>
    <w:rsid w:val="00587CA0"/>
    <w:rsid w:val="00592B00"/>
    <w:rsid w:val="00594FE2"/>
    <w:rsid w:val="00596421"/>
    <w:rsid w:val="005967A9"/>
    <w:rsid w:val="005A1429"/>
    <w:rsid w:val="005A29BA"/>
    <w:rsid w:val="005A2E2B"/>
    <w:rsid w:val="005A4A3C"/>
    <w:rsid w:val="005B33F7"/>
    <w:rsid w:val="005B3F7D"/>
    <w:rsid w:val="005B5417"/>
    <w:rsid w:val="005B792A"/>
    <w:rsid w:val="005C0B32"/>
    <w:rsid w:val="005E3498"/>
    <w:rsid w:val="005F0FAB"/>
    <w:rsid w:val="005F4D65"/>
    <w:rsid w:val="005F5710"/>
    <w:rsid w:val="005F5E24"/>
    <w:rsid w:val="00600F20"/>
    <w:rsid w:val="006027DA"/>
    <w:rsid w:val="00602A45"/>
    <w:rsid w:val="006044D3"/>
    <w:rsid w:val="00604AE7"/>
    <w:rsid w:val="00607034"/>
    <w:rsid w:val="00610CE9"/>
    <w:rsid w:val="006130EC"/>
    <w:rsid w:val="00613482"/>
    <w:rsid w:val="0061628F"/>
    <w:rsid w:val="00621042"/>
    <w:rsid w:val="006229DA"/>
    <w:rsid w:val="006229FE"/>
    <w:rsid w:val="00624CC0"/>
    <w:rsid w:val="00625ECF"/>
    <w:rsid w:val="00625F34"/>
    <w:rsid w:val="00637583"/>
    <w:rsid w:val="00642EE4"/>
    <w:rsid w:val="00645002"/>
    <w:rsid w:val="006479C8"/>
    <w:rsid w:val="00647CEB"/>
    <w:rsid w:val="00650051"/>
    <w:rsid w:val="006519C9"/>
    <w:rsid w:val="006538CD"/>
    <w:rsid w:val="006561E1"/>
    <w:rsid w:val="00656266"/>
    <w:rsid w:val="0065743E"/>
    <w:rsid w:val="006615CA"/>
    <w:rsid w:val="006617D4"/>
    <w:rsid w:val="006642D8"/>
    <w:rsid w:val="0066615A"/>
    <w:rsid w:val="00670724"/>
    <w:rsid w:val="00671997"/>
    <w:rsid w:val="006719ED"/>
    <w:rsid w:val="00671D8A"/>
    <w:rsid w:val="00674172"/>
    <w:rsid w:val="00684E1F"/>
    <w:rsid w:val="006852AB"/>
    <w:rsid w:val="006856D0"/>
    <w:rsid w:val="006860F1"/>
    <w:rsid w:val="0069517F"/>
    <w:rsid w:val="006954A3"/>
    <w:rsid w:val="0069633A"/>
    <w:rsid w:val="00697F2C"/>
    <w:rsid w:val="006A18E5"/>
    <w:rsid w:val="006A2BF8"/>
    <w:rsid w:val="006A32CD"/>
    <w:rsid w:val="006B1204"/>
    <w:rsid w:val="006B16E8"/>
    <w:rsid w:val="006B3627"/>
    <w:rsid w:val="006B5281"/>
    <w:rsid w:val="006C12F6"/>
    <w:rsid w:val="006D262F"/>
    <w:rsid w:val="006D43D9"/>
    <w:rsid w:val="006D483C"/>
    <w:rsid w:val="006D74A6"/>
    <w:rsid w:val="006D79FE"/>
    <w:rsid w:val="006E157A"/>
    <w:rsid w:val="006E340C"/>
    <w:rsid w:val="006E6690"/>
    <w:rsid w:val="006F0646"/>
    <w:rsid w:val="006F0C36"/>
    <w:rsid w:val="006F36EE"/>
    <w:rsid w:val="006F535B"/>
    <w:rsid w:val="0070227A"/>
    <w:rsid w:val="00704286"/>
    <w:rsid w:val="00704318"/>
    <w:rsid w:val="00710F50"/>
    <w:rsid w:val="007119C9"/>
    <w:rsid w:val="00715F78"/>
    <w:rsid w:val="00716129"/>
    <w:rsid w:val="00717DCB"/>
    <w:rsid w:val="00720131"/>
    <w:rsid w:val="00727994"/>
    <w:rsid w:val="00730EC6"/>
    <w:rsid w:val="007324FD"/>
    <w:rsid w:val="00734AFD"/>
    <w:rsid w:val="00740A09"/>
    <w:rsid w:val="00740ABC"/>
    <w:rsid w:val="007418DB"/>
    <w:rsid w:val="00744472"/>
    <w:rsid w:val="0074552F"/>
    <w:rsid w:val="00746010"/>
    <w:rsid w:val="00754158"/>
    <w:rsid w:val="00754F73"/>
    <w:rsid w:val="00755DB4"/>
    <w:rsid w:val="00756A05"/>
    <w:rsid w:val="00756BCB"/>
    <w:rsid w:val="00760A78"/>
    <w:rsid w:val="00761755"/>
    <w:rsid w:val="0076206B"/>
    <w:rsid w:val="00765F58"/>
    <w:rsid w:val="007707D9"/>
    <w:rsid w:val="00770A7F"/>
    <w:rsid w:val="00771266"/>
    <w:rsid w:val="0077393F"/>
    <w:rsid w:val="00777E8B"/>
    <w:rsid w:val="00781391"/>
    <w:rsid w:val="00782CC6"/>
    <w:rsid w:val="007876EA"/>
    <w:rsid w:val="00792DBA"/>
    <w:rsid w:val="00792EAA"/>
    <w:rsid w:val="00794846"/>
    <w:rsid w:val="007A5BB8"/>
    <w:rsid w:val="007B7A54"/>
    <w:rsid w:val="007B7E1A"/>
    <w:rsid w:val="007C5D72"/>
    <w:rsid w:val="007C5F07"/>
    <w:rsid w:val="007C691A"/>
    <w:rsid w:val="007C7770"/>
    <w:rsid w:val="007D1A6C"/>
    <w:rsid w:val="007D36AF"/>
    <w:rsid w:val="007D373B"/>
    <w:rsid w:val="007D708E"/>
    <w:rsid w:val="007E3F49"/>
    <w:rsid w:val="007E434A"/>
    <w:rsid w:val="007E6C9B"/>
    <w:rsid w:val="007F4EF9"/>
    <w:rsid w:val="008060CB"/>
    <w:rsid w:val="00811D20"/>
    <w:rsid w:val="00814BAA"/>
    <w:rsid w:val="008155F6"/>
    <w:rsid w:val="008207F1"/>
    <w:rsid w:val="00824566"/>
    <w:rsid w:val="00826B72"/>
    <w:rsid w:val="0083205F"/>
    <w:rsid w:val="00835708"/>
    <w:rsid w:val="00836DDB"/>
    <w:rsid w:val="0083793A"/>
    <w:rsid w:val="00845CA0"/>
    <w:rsid w:val="008531B8"/>
    <w:rsid w:val="00856A8A"/>
    <w:rsid w:val="00860393"/>
    <w:rsid w:val="00860A93"/>
    <w:rsid w:val="00862814"/>
    <w:rsid w:val="00864F3E"/>
    <w:rsid w:val="00866134"/>
    <w:rsid w:val="00871076"/>
    <w:rsid w:val="008721A5"/>
    <w:rsid w:val="0087279B"/>
    <w:rsid w:val="00872F45"/>
    <w:rsid w:val="008805DB"/>
    <w:rsid w:val="008878C3"/>
    <w:rsid w:val="008940D7"/>
    <w:rsid w:val="00896CBC"/>
    <w:rsid w:val="00896EED"/>
    <w:rsid w:val="008A1C96"/>
    <w:rsid w:val="008A2746"/>
    <w:rsid w:val="008A59EE"/>
    <w:rsid w:val="008A7634"/>
    <w:rsid w:val="008B20A3"/>
    <w:rsid w:val="008C4189"/>
    <w:rsid w:val="008D6544"/>
    <w:rsid w:val="008D73F1"/>
    <w:rsid w:val="008E57E5"/>
    <w:rsid w:val="008F2361"/>
    <w:rsid w:val="008F4CA4"/>
    <w:rsid w:val="009132C6"/>
    <w:rsid w:val="0091596D"/>
    <w:rsid w:val="00917DCD"/>
    <w:rsid w:val="00920FEC"/>
    <w:rsid w:val="00924811"/>
    <w:rsid w:val="009261B4"/>
    <w:rsid w:val="00931580"/>
    <w:rsid w:val="00933936"/>
    <w:rsid w:val="00940B57"/>
    <w:rsid w:val="009420D5"/>
    <w:rsid w:val="0094449E"/>
    <w:rsid w:val="009474D0"/>
    <w:rsid w:val="00950674"/>
    <w:rsid w:val="00953BBD"/>
    <w:rsid w:val="00956FA6"/>
    <w:rsid w:val="00957B3F"/>
    <w:rsid w:val="00957C67"/>
    <w:rsid w:val="0096339C"/>
    <w:rsid w:val="00965D2F"/>
    <w:rsid w:val="009717B7"/>
    <w:rsid w:val="00975A55"/>
    <w:rsid w:val="00985009"/>
    <w:rsid w:val="00994E28"/>
    <w:rsid w:val="009A05D9"/>
    <w:rsid w:val="009A1D78"/>
    <w:rsid w:val="009A46D2"/>
    <w:rsid w:val="009A787C"/>
    <w:rsid w:val="009B00F9"/>
    <w:rsid w:val="009B27C3"/>
    <w:rsid w:val="009B5F12"/>
    <w:rsid w:val="009C08FB"/>
    <w:rsid w:val="009C3C66"/>
    <w:rsid w:val="009D2B11"/>
    <w:rsid w:val="009D32E9"/>
    <w:rsid w:val="009E0C40"/>
    <w:rsid w:val="009F2161"/>
    <w:rsid w:val="009F47AA"/>
    <w:rsid w:val="00A0711A"/>
    <w:rsid w:val="00A07A9C"/>
    <w:rsid w:val="00A1350A"/>
    <w:rsid w:val="00A13E29"/>
    <w:rsid w:val="00A14CE9"/>
    <w:rsid w:val="00A15A7A"/>
    <w:rsid w:val="00A26176"/>
    <w:rsid w:val="00A34A69"/>
    <w:rsid w:val="00A35DC9"/>
    <w:rsid w:val="00A362D9"/>
    <w:rsid w:val="00A37724"/>
    <w:rsid w:val="00A40120"/>
    <w:rsid w:val="00A40DF0"/>
    <w:rsid w:val="00A416C4"/>
    <w:rsid w:val="00A43C3D"/>
    <w:rsid w:val="00A47701"/>
    <w:rsid w:val="00A5112D"/>
    <w:rsid w:val="00A5132C"/>
    <w:rsid w:val="00A51CE2"/>
    <w:rsid w:val="00A522A3"/>
    <w:rsid w:val="00A57940"/>
    <w:rsid w:val="00A579F7"/>
    <w:rsid w:val="00A612C8"/>
    <w:rsid w:val="00A6197D"/>
    <w:rsid w:val="00A624BA"/>
    <w:rsid w:val="00A64937"/>
    <w:rsid w:val="00A64E87"/>
    <w:rsid w:val="00A707B8"/>
    <w:rsid w:val="00A70986"/>
    <w:rsid w:val="00A709DE"/>
    <w:rsid w:val="00A75FBE"/>
    <w:rsid w:val="00A84A39"/>
    <w:rsid w:val="00A913D9"/>
    <w:rsid w:val="00A91966"/>
    <w:rsid w:val="00A97FB6"/>
    <w:rsid w:val="00AB0E42"/>
    <w:rsid w:val="00AB0EB3"/>
    <w:rsid w:val="00AB220D"/>
    <w:rsid w:val="00AB3455"/>
    <w:rsid w:val="00AB5DCC"/>
    <w:rsid w:val="00AB6EBC"/>
    <w:rsid w:val="00AC0BE8"/>
    <w:rsid w:val="00AC5BF1"/>
    <w:rsid w:val="00AD0074"/>
    <w:rsid w:val="00AD624B"/>
    <w:rsid w:val="00AE3374"/>
    <w:rsid w:val="00AE3DEA"/>
    <w:rsid w:val="00AE4B3D"/>
    <w:rsid w:val="00AE5BC0"/>
    <w:rsid w:val="00AF0505"/>
    <w:rsid w:val="00AF509A"/>
    <w:rsid w:val="00AF5ED0"/>
    <w:rsid w:val="00B00D34"/>
    <w:rsid w:val="00B02249"/>
    <w:rsid w:val="00B042A5"/>
    <w:rsid w:val="00B04D31"/>
    <w:rsid w:val="00B061FB"/>
    <w:rsid w:val="00B06885"/>
    <w:rsid w:val="00B12E62"/>
    <w:rsid w:val="00B142A7"/>
    <w:rsid w:val="00B17CD0"/>
    <w:rsid w:val="00B2456A"/>
    <w:rsid w:val="00B30731"/>
    <w:rsid w:val="00B3088E"/>
    <w:rsid w:val="00B32994"/>
    <w:rsid w:val="00B337E2"/>
    <w:rsid w:val="00B43145"/>
    <w:rsid w:val="00B43150"/>
    <w:rsid w:val="00B46807"/>
    <w:rsid w:val="00B468AB"/>
    <w:rsid w:val="00B46ADB"/>
    <w:rsid w:val="00B4712D"/>
    <w:rsid w:val="00B54382"/>
    <w:rsid w:val="00B545F9"/>
    <w:rsid w:val="00B63ED3"/>
    <w:rsid w:val="00B65A36"/>
    <w:rsid w:val="00B66AD1"/>
    <w:rsid w:val="00B733FF"/>
    <w:rsid w:val="00B75381"/>
    <w:rsid w:val="00B7565F"/>
    <w:rsid w:val="00B80815"/>
    <w:rsid w:val="00B81A9E"/>
    <w:rsid w:val="00B833F8"/>
    <w:rsid w:val="00B86F77"/>
    <w:rsid w:val="00B871AF"/>
    <w:rsid w:val="00B87705"/>
    <w:rsid w:val="00B93DD3"/>
    <w:rsid w:val="00B9601C"/>
    <w:rsid w:val="00BA0B6D"/>
    <w:rsid w:val="00BA4014"/>
    <w:rsid w:val="00BA7B8E"/>
    <w:rsid w:val="00BB4C41"/>
    <w:rsid w:val="00BB7563"/>
    <w:rsid w:val="00BC5E03"/>
    <w:rsid w:val="00BC6A46"/>
    <w:rsid w:val="00BD1B26"/>
    <w:rsid w:val="00BD3C03"/>
    <w:rsid w:val="00BD428A"/>
    <w:rsid w:val="00BD4F0A"/>
    <w:rsid w:val="00BD50C1"/>
    <w:rsid w:val="00BD6586"/>
    <w:rsid w:val="00BE5905"/>
    <w:rsid w:val="00BE71E9"/>
    <w:rsid w:val="00BE7962"/>
    <w:rsid w:val="00BF5E02"/>
    <w:rsid w:val="00C04138"/>
    <w:rsid w:val="00C0418E"/>
    <w:rsid w:val="00C05F1E"/>
    <w:rsid w:val="00C11120"/>
    <w:rsid w:val="00C11A56"/>
    <w:rsid w:val="00C12C45"/>
    <w:rsid w:val="00C1504C"/>
    <w:rsid w:val="00C201C5"/>
    <w:rsid w:val="00C23AF7"/>
    <w:rsid w:val="00C2634A"/>
    <w:rsid w:val="00C26E3C"/>
    <w:rsid w:val="00C3128A"/>
    <w:rsid w:val="00C32664"/>
    <w:rsid w:val="00C32967"/>
    <w:rsid w:val="00C330C8"/>
    <w:rsid w:val="00C3420E"/>
    <w:rsid w:val="00C366B4"/>
    <w:rsid w:val="00C373F1"/>
    <w:rsid w:val="00C43C59"/>
    <w:rsid w:val="00C4403C"/>
    <w:rsid w:val="00C45197"/>
    <w:rsid w:val="00C51807"/>
    <w:rsid w:val="00C54C95"/>
    <w:rsid w:val="00C607DA"/>
    <w:rsid w:val="00C61FAB"/>
    <w:rsid w:val="00C75A8F"/>
    <w:rsid w:val="00C75E9F"/>
    <w:rsid w:val="00C76550"/>
    <w:rsid w:val="00C915C7"/>
    <w:rsid w:val="00C922A8"/>
    <w:rsid w:val="00C95ED0"/>
    <w:rsid w:val="00C96178"/>
    <w:rsid w:val="00C97DE7"/>
    <w:rsid w:val="00CA4B33"/>
    <w:rsid w:val="00CA522E"/>
    <w:rsid w:val="00CB1C48"/>
    <w:rsid w:val="00CB4828"/>
    <w:rsid w:val="00CB6454"/>
    <w:rsid w:val="00CC358E"/>
    <w:rsid w:val="00CC79A1"/>
    <w:rsid w:val="00CD2A6A"/>
    <w:rsid w:val="00CD401A"/>
    <w:rsid w:val="00CD538A"/>
    <w:rsid w:val="00CD5F78"/>
    <w:rsid w:val="00CE0345"/>
    <w:rsid w:val="00CE0F21"/>
    <w:rsid w:val="00CE205E"/>
    <w:rsid w:val="00CE323D"/>
    <w:rsid w:val="00CE439B"/>
    <w:rsid w:val="00CE526F"/>
    <w:rsid w:val="00CF1BA0"/>
    <w:rsid w:val="00CF5D19"/>
    <w:rsid w:val="00CF6FBF"/>
    <w:rsid w:val="00CF7385"/>
    <w:rsid w:val="00D048C6"/>
    <w:rsid w:val="00D05F1D"/>
    <w:rsid w:val="00D07272"/>
    <w:rsid w:val="00D114EC"/>
    <w:rsid w:val="00D125FD"/>
    <w:rsid w:val="00D1264E"/>
    <w:rsid w:val="00D16D78"/>
    <w:rsid w:val="00D36709"/>
    <w:rsid w:val="00D37339"/>
    <w:rsid w:val="00D41078"/>
    <w:rsid w:val="00D41151"/>
    <w:rsid w:val="00D41C07"/>
    <w:rsid w:val="00D50ECF"/>
    <w:rsid w:val="00D50F0D"/>
    <w:rsid w:val="00D51145"/>
    <w:rsid w:val="00D540D0"/>
    <w:rsid w:val="00D54F28"/>
    <w:rsid w:val="00D64AE8"/>
    <w:rsid w:val="00D70BEC"/>
    <w:rsid w:val="00D714E5"/>
    <w:rsid w:val="00D80A72"/>
    <w:rsid w:val="00D84947"/>
    <w:rsid w:val="00D85A60"/>
    <w:rsid w:val="00D916B8"/>
    <w:rsid w:val="00D956D6"/>
    <w:rsid w:val="00DA2791"/>
    <w:rsid w:val="00DA3BE3"/>
    <w:rsid w:val="00DA3F49"/>
    <w:rsid w:val="00DB0A7F"/>
    <w:rsid w:val="00DB2694"/>
    <w:rsid w:val="00DB272A"/>
    <w:rsid w:val="00DB56B2"/>
    <w:rsid w:val="00DC0A13"/>
    <w:rsid w:val="00DC596F"/>
    <w:rsid w:val="00DC5A52"/>
    <w:rsid w:val="00DC7CB5"/>
    <w:rsid w:val="00DD14DE"/>
    <w:rsid w:val="00DD476A"/>
    <w:rsid w:val="00DD4A60"/>
    <w:rsid w:val="00DE0AB3"/>
    <w:rsid w:val="00DE113E"/>
    <w:rsid w:val="00DE2133"/>
    <w:rsid w:val="00DE76DB"/>
    <w:rsid w:val="00DF670E"/>
    <w:rsid w:val="00E03AD2"/>
    <w:rsid w:val="00E055CA"/>
    <w:rsid w:val="00E0741D"/>
    <w:rsid w:val="00E07504"/>
    <w:rsid w:val="00E1091B"/>
    <w:rsid w:val="00E11533"/>
    <w:rsid w:val="00E227A0"/>
    <w:rsid w:val="00E2360B"/>
    <w:rsid w:val="00E23B3A"/>
    <w:rsid w:val="00E27AF2"/>
    <w:rsid w:val="00E27CF2"/>
    <w:rsid w:val="00E3622C"/>
    <w:rsid w:val="00E369C3"/>
    <w:rsid w:val="00E37609"/>
    <w:rsid w:val="00E41B8D"/>
    <w:rsid w:val="00E428AC"/>
    <w:rsid w:val="00E42FE0"/>
    <w:rsid w:val="00E44273"/>
    <w:rsid w:val="00E46C9B"/>
    <w:rsid w:val="00E4763B"/>
    <w:rsid w:val="00E54601"/>
    <w:rsid w:val="00E56296"/>
    <w:rsid w:val="00E57790"/>
    <w:rsid w:val="00E70E78"/>
    <w:rsid w:val="00E7348D"/>
    <w:rsid w:val="00E804AA"/>
    <w:rsid w:val="00E8072F"/>
    <w:rsid w:val="00E809FD"/>
    <w:rsid w:val="00E8150F"/>
    <w:rsid w:val="00E855EA"/>
    <w:rsid w:val="00EA1587"/>
    <w:rsid w:val="00EA1698"/>
    <w:rsid w:val="00EA20BE"/>
    <w:rsid w:val="00EA2BD8"/>
    <w:rsid w:val="00EA584F"/>
    <w:rsid w:val="00EB6C5F"/>
    <w:rsid w:val="00EC09FF"/>
    <w:rsid w:val="00EC448C"/>
    <w:rsid w:val="00ED0CA9"/>
    <w:rsid w:val="00ED286B"/>
    <w:rsid w:val="00ED2F39"/>
    <w:rsid w:val="00ED31FF"/>
    <w:rsid w:val="00ED3257"/>
    <w:rsid w:val="00ED5032"/>
    <w:rsid w:val="00ED79C0"/>
    <w:rsid w:val="00EE01A4"/>
    <w:rsid w:val="00EE1660"/>
    <w:rsid w:val="00EE293E"/>
    <w:rsid w:val="00EE40EB"/>
    <w:rsid w:val="00EE4C0F"/>
    <w:rsid w:val="00EF0D96"/>
    <w:rsid w:val="00EF0DF9"/>
    <w:rsid w:val="00EF12CF"/>
    <w:rsid w:val="00EF318F"/>
    <w:rsid w:val="00EF41BC"/>
    <w:rsid w:val="00EF51EE"/>
    <w:rsid w:val="00EF5A84"/>
    <w:rsid w:val="00EF7CDC"/>
    <w:rsid w:val="00F03879"/>
    <w:rsid w:val="00F123BC"/>
    <w:rsid w:val="00F12D5E"/>
    <w:rsid w:val="00F15975"/>
    <w:rsid w:val="00F2245A"/>
    <w:rsid w:val="00F26675"/>
    <w:rsid w:val="00F27159"/>
    <w:rsid w:val="00F40AE8"/>
    <w:rsid w:val="00F45DB2"/>
    <w:rsid w:val="00F47DA9"/>
    <w:rsid w:val="00F53B1E"/>
    <w:rsid w:val="00F549EF"/>
    <w:rsid w:val="00F575B5"/>
    <w:rsid w:val="00F57969"/>
    <w:rsid w:val="00F62281"/>
    <w:rsid w:val="00F6235C"/>
    <w:rsid w:val="00F6520E"/>
    <w:rsid w:val="00F6618D"/>
    <w:rsid w:val="00F67139"/>
    <w:rsid w:val="00F711A6"/>
    <w:rsid w:val="00F71F42"/>
    <w:rsid w:val="00F74224"/>
    <w:rsid w:val="00F749FB"/>
    <w:rsid w:val="00F76831"/>
    <w:rsid w:val="00F82D9E"/>
    <w:rsid w:val="00F908A6"/>
    <w:rsid w:val="00F912EC"/>
    <w:rsid w:val="00F915E0"/>
    <w:rsid w:val="00F91DE4"/>
    <w:rsid w:val="00FB0B43"/>
    <w:rsid w:val="00FB1B8C"/>
    <w:rsid w:val="00FB2E43"/>
    <w:rsid w:val="00FB41C6"/>
    <w:rsid w:val="00FC0CA9"/>
    <w:rsid w:val="00FC26FB"/>
    <w:rsid w:val="00FC2EA6"/>
    <w:rsid w:val="00FC5D91"/>
    <w:rsid w:val="00FD3170"/>
    <w:rsid w:val="00FF47B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C3864"/>
  <w15:docId w15:val="{BCC86219-654B-44BF-AC9F-B301753F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E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B9E"/>
    <w:pPr>
      <w:ind w:left="720"/>
      <w:contextualSpacing/>
    </w:pPr>
  </w:style>
  <w:style w:type="paragraph" w:styleId="Header">
    <w:name w:val="header"/>
    <w:basedOn w:val="Normal"/>
    <w:link w:val="HeaderChar"/>
    <w:uiPriority w:val="99"/>
    <w:unhideWhenUsed/>
    <w:rsid w:val="00C37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3F1"/>
  </w:style>
  <w:style w:type="paragraph" w:styleId="Footer">
    <w:name w:val="footer"/>
    <w:basedOn w:val="Normal"/>
    <w:link w:val="FooterChar"/>
    <w:uiPriority w:val="99"/>
    <w:unhideWhenUsed/>
    <w:rsid w:val="00C37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3F1"/>
  </w:style>
  <w:style w:type="table" w:styleId="TableGrid">
    <w:name w:val="Table Grid"/>
    <w:basedOn w:val="TableNormal"/>
    <w:uiPriority w:val="39"/>
    <w:rsid w:val="003A4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717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17B7"/>
    <w:rPr>
      <w:sz w:val="20"/>
      <w:szCs w:val="20"/>
    </w:rPr>
  </w:style>
  <w:style w:type="character" w:styleId="FootnoteReference">
    <w:name w:val="footnote reference"/>
    <w:basedOn w:val="DefaultParagraphFont"/>
    <w:uiPriority w:val="99"/>
    <w:semiHidden/>
    <w:unhideWhenUsed/>
    <w:rsid w:val="009717B7"/>
    <w:rPr>
      <w:vertAlign w:val="superscript"/>
    </w:rPr>
  </w:style>
  <w:style w:type="paragraph" w:styleId="BalloonText">
    <w:name w:val="Balloon Text"/>
    <w:basedOn w:val="Normal"/>
    <w:link w:val="BalloonTextChar"/>
    <w:uiPriority w:val="99"/>
    <w:semiHidden/>
    <w:unhideWhenUsed/>
    <w:rsid w:val="00E57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790"/>
    <w:rPr>
      <w:rFonts w:ascii="Segoe UI" w:hAnsi="Segoe UI" w:cs="Segoe UI"/>
      <w:sz w:val="18"/>
      <w:szCs w:val="18"/>
    </w:rPr>
  </w:style>
  <w:style w:type="paragraph" w:customStyle="1" w:styleId="western">
    <w:name w:val="western"/>
    <w:basedOn w:val="Normal"/>
    <w:rsid w:val="003C5AA1"/>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NormalWeb">
    <w:name w:val="Normal (Web)"/>
    <w:basedOn w:val="Normal"/>
    <w:uiPriority w:val="99"/>
    <w:semiHidden/>
    <w:unhideWhenUsed/>
    <w:rsid w:val="003C5AA1"/>
    <w:pPr>
      <w:spacing w:before="100" w:beforeAutospacing="1" w:after="100" w:afterAutospacing="1" w:line="240" w:lineRule="auto"/>
    </w:pPr>
    <w:rPr>
      <w:rFonts w:ascii="Times New Roman" w:eastAsia="Times New Roman" w:hAnsi="Times New Roman" w:cs="Times New Roman"/>
      <w:sz w:val="24"/>
      <w:szCs w:val="24"/>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396385">
      <w:bodyDiv w:val="1"/>
      <w:marLeft w:val="0"/>
      <w:marRight w:val="0"/>
      <w:marTop w:val="0"/>
      <w:marBottom w:val="0"/>
      <w:divBdr>
        <w:top w:val="none" w:sz="0" w:space="0" w:color="auto"/>
        <w:left w:val="none" w:sz="0" w:space="0" w:color="auto"/>
        <w:bottom w:val="none" w:sz="0" w:space="0" w:color="auto"/>
        <w:right w:val="none" w:sz="0" w:space="0" w:color="auto"/>
      </w:divBdr>
    </w:div>
    <w:div w:id="1354958055">
      <w:bodyDiv w:val="1"/>
      <w:marLeft w:val="0"/>
      <w:marRight w:val="0"/>
      <w:marTop w:val="0"/>
      <w:marBottom w:val="0"/>
      <w:divBdr>
        <w:top w:val="none" w:sz="0" w:space="0" w:color="auto"/>
        <w:left w:val="none" w:sz="0" w:space="0" w:color="auto"/>
        <w:bottom w:val="none" w:sz="0" w:space="0" w:color="auto"/>
        <w:right w:val="none" w:sz="0" w:space="0" w:color="auto"/>
      </w:divBdr>
    </w:div>
    <w:div w:id="1616055441">
      <w:bodyDiv w:val="1"/>
      <w:marLeft w:val="0"/>
      <w:marRight w:val="0"/>
      <w:marTop w:val="0"/>
      <w:marBottom w:val="0"/>
      <w:divBdr>
        <w:top w:val="none" w:sz="0" w:space="0" w:color="auto"/>
        <w:left w:val="none" w:sz="0" w:space="0" w:color="auto"/>
        <w:bottom w:val="none" w:sz="0" w:space="0" w:color="auto"/>
        <w:right w:val="none" w:sz="0" w:space="0" w:color="auto"/>
      </w:divBdr>
    </w:div>
    <w:div w:id="2108693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9A2D5-4C4C-4571-9F8F-2E59E975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2105</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J Bachi-Muzawazi</dc:creator>
  <cp:lastModifiedBy>Chinhoyi High Court</cp:lastModifiedBy>
  <cp:revision>19</cp:revision>
  <cp:lastPrinted>2024-05-31T08:22:00Z</cp:lastPrinted>
  <dcterms:created xsi:type="dcterms:W3CDTF">2024-05-30T07:43:00Z</dcterms:created>
  <dcterms:modified xsi:type="dcterms:W3CDTF">2024-05-31T12:31:00Z</dcterms:modified>
</cp:coreProperties>
</file>