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F259" w14:textId="77777777" w:rsidR="00FC7B0E" w:rsidRPr="00765E1A" w:rsidRDefault="00232261" w:rsidP="007E1BAF">
      <w:pPr>
        <w:spacing w:after="0" w:line="240" w:lineRule="auto"/>
        <w:jc w:val="both"/>
        <w:rPr>
          <w:rFonts w:ascii="Times New Roman" w:hAnsi="Times New Roman" w:cs="Times New Roman"/>
          <w:sz w:val="24"/>
          <w:szCs w:val="24"/>
        </w:rPr>
      </w:pPr>
      <w:r w:rsidRPr="00765E1A">
        <w:rPr>
          <w:rFonts w:ascii="Times New Roman" w:hAnsi="Times New Roman" w:cs="Times New Roman"/>
          <w:sz w:val="24"/>
          <w:szCs w:val="24"/>
        </w:rPr>
        <w:t xml:space="preserve">THE STATE </w:t>
      </w:r>
    </w:p>
    <w:p w14:paraId="310B4EAB" w14:textId="77777777" w:rsidR="00FC7B0E" w:rsidRPr="00765E1A" w:rsidRDefault="00232261" w:rsidP="007E1BAF">
      <w:pPr>
        <w:spacing w:after="0" w:line="240" w:lineRule="auto"/>
        <w:jc w:val="both"/>
        <w:rPr>
          <w:rFonts w:ascii="Times New Roman" w:hAnsi="Times New Roman" w:cs="Times New Roman"/>
          <w:sz w:val="24"/>
          <w:szCs w:val="24"/>
        </w:rPr>
      </w:pPr>
      <w:r w:rsidRPr="00765E1A">
        <w:rPr>
          <w:rFonts w:ascii="Times New Roman" w:hAnsi="Times New Roman" w:cs="Times New Roman"/>
          <w:sz w:val="24"/>
          <w:szCs w:val="24"/>
        </w:rPr>
        <w:t xml:space="preserve">v </w:t>
      </w:r>
    </w:p>
    <w:p w14:paraId="66F61E99" w14:textId="150D0F29" w:rsidR="00232261" w:rsidRDefault="00232261" w:rsidP="007E1BAF">
      <w:pPr>
        <w:spacing w:after="0" w:line="240" w:lineRule="auto"/>
        <w:jc w:val="both"/>
        <w:rPr>
          <w:rFonts w:ascii="Times New Roman" w:hAnsi="Times New Roman" w:cs="Times New Roman"/>
          <w:sz w:val="24"/>
          <w:szCs w:val="24"/>
        </w:rPr>
      </w:pPr>
      <w:r w:rsidRPr="00765E1A">
        <w:rPr>
          <w:rFonts w:ascii="Times New Roman" w:hAnsi="Times New Roman" w:cs="Times New Roman"/>
          <w:sz w:val="24"/>
          <w:szCs w:val="24"/>
        </w:rPr>
        <w:t>CHRISTINE CHAMBATI</w:t>
      </w:r>
    </w:p>
    <w:p w14:paraId="28140BC6" w14:textId="77777777" w:rsidR="00765E1A" w:rsidRDefault="00765E1A" w:rsidP="00765E1A">
      <w:pPr>
        <w:spacing w:after="0" w:line="240" w:lineRule="auto"/>
        <w:jc w:val="both"/>
        <w:rPr>
          <w:rFonts w:ascii="Times New Roman" w:hAnsi="Times New Roman" w:cs="Times New Roman"/>
          <w:sz w:val="24"/>
          <w:szCs w:val="24"/>
        </w:rPr>
      </w:pPr>
    </w:p>
    <w:p w14:paraId="7A8AF2F5" w14:textId="77777777" w:rsidR="007E1BAF" w:rsidRDefault="007E1BAF" w:rsidP="00765E1A">
      <w:pPr>
        <w:spacing w:after="0" w:line="240" w:lineRule="auto"/>
        <w:jc w:val="both"/>
        <w:rPr>
          <w:rFonts w:ascii="Times New Roman" w:hAnsi="Times New Roman" w:cs="Times New Roman"/>
          <w:sz w:val="24"/>
          <w:szCs w:val="24"/>
        </w:rPr>
      </w:pPr>
    </w:p>
    <w:p w14:paraId="3D3724CA" w14:textId="64967171" w:rsidR="00765E1A" w:rsidRDefault="00765E1A" w:rsidP="00765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74B3DF1" w14:textId="37E92613" w:rsidR="00765E1A" w:rsidRPr="00621C75" w:rsidRDefault="00765E1A" w:rsidP="00765E1A">
      <w:pPr>
        <w:spacing w:after="0" w:line="240" w:lineRule="auto"/>
        <w:jc w:val="both"/>
        <w:rPr>
          <w:rFonts w:ascii="Times New Roman" w:hAnsi="Times New Roman" w:cs="Times New Roman"/>
          <w:sz w:val="24"/>
          <w:szCs w:val="24"/>
        </w:rPr>
      </w:pPr>
      <w:r w:rsidRPr="00621C75">
        <w:rPr>
          <w:rFonts w:ascii="Times New Roman" w:hAnsi="Times New Roman" w:cs="Times New Roman"/>
          <w:sz w:val="24"/>
          <w:szCs w:val="24"/>
        </w:rPr>
        <w:t>MUREMBA J</w:t>
      </w:r>
    </w:p>
    <w:p w14:paraId="14D14C0C" w14:textId="5B68A225" w:rsidR="00FC7B0E" w:rsidRDefault="00765E1A" w:rsidP="00765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30016">
        <w:rPr>
          <w:rFonts w:ascii="Times New Roman" w:hAnsi="Times New Roman" w:cs="Times New Roman"/>
          <w:sz w:val="24"/>
          <w:szCs w:val="24"/>
        </w:rPr>
        <w:t>2</w:t>
      </w:r>
      <w:r w:rsidR="00173535">
        <w:rPr>
          <w:rFonts w:ascii="Times New Roman" w:hAnsi="Times New Roman" w:cs="Times New Roman"/>
          <w:sz w:val="24"/>
          <w:szCs w:val="24"/>
        </w:rPr>
        <w:t>1</w:t>
      </w:r>
      <w:r w:rsidR="00FC7B0E" w:rsidRPr="00765E1A">
        <w:rPr>
          <w:rFonts w:ascii="Times New Roman" w:hAnsi="Times New Roman" w:cs="Times New Roman"/>
          <w:sz w:val="24"/>
          <w:szCs w:val="24"/>
        </w:rPr>
        <w:t xml:space="preserve"> AUGUST 2025</w:t>
      </w:r>
    </w:p>
    <w:p w14:paraId="582143ED" w14:textId="77777777" w:rsidR="0054092A" w:rsidRPr="00765E1A" w:rsidRDefault="0054092A" w:rsidP="00765E1A">
      <w:pPr>
        <w:spacing w:after="0" w:line="240" w:lineRule="auto"/>
        <w:jc w:val="both"/>
        <w:rPr>
          <w:rFonts w:ascii="Times New Roman" w:hAnsi="Times New Roman" w:cs="Times New Roman"/>
          <w:sz w:val="24"/>
          <w:szCs w:val="24"/>
        </w:rPr>
      </w:pPr>
      <w:bookmarkStart w:id="0" w:name="_GoBack"/>
      <w:bookmarkEnd w:id="0"/>
    </w:p>
    <w:p w14:paraId="0B00CCF8" w14:textId="11D50368" w:rsidR="00232261" w:rsidRPr="00621C75" w:rsidRDefault="00765E1A" w:rsidP="00637892">
      <w:pPr>
        <w:spacing w:before="240" w:line="360" w:lineRule="auto"/>
        <w:jc w:val="both"/>
        <w:rPr>
          <w:rFonts w:ascii="Times New Roman" w:hAnsi="Times New Roman" w:cs="Times New Roman"/>
          <w:b/>
          <w:bCs/>
          <w:sz w:val="24"/>
          <w:szCs w:val="24"/>
        </w:rPr>
      </w:pPr>
      <w:r w:rsidRPr="00621C75">
        <w:rPr>
          <w:rFonts w:ascii="Times New Roman" w:hAnsi="Times New Roman" w:cs="Times New Roman"/>
          <w:b/>
          <w:bCs/>
          <w:sz w:val="24"/>
          <w:szCs w:val="24"/>
        </w:rPr>
        <w:t xml:space="preserve">CRIMINAL </w:t>
      </w:r>
      <w:r w:rsidR="00232261" w:rsidRPr="00621C75">
        <w:rPr>
          <w:rFonts w:ascii="Times New Roman" w:hAnsi="Times New Roman" w:cs="Times New Roman"/>
          <w:b/>
          <w:bCs/>
          <w:sz w:val="24"/>
          <w:szCs w:val="24"/>
        </w:rPr>
        <w:t xml:space="preserve">REVIEW </w:t>
      </w:r>
    </w:p>
    <w:p w14:paraId="52C596A4" w14:textId="44151845" w:rsidR="00232261" w:rsidRPr="00232261" w:rsidRDefault="00FC7B0E" w:rsidP="00DC7E61">
      <w:pPr>
        <w:spacing w:line="360" w:lineRule="auto"/>
        <w:jc w:val="both"/>
        <w:rPr>
          <w:rFonts w:ascii="Times New Roman" w:hAnsi="Times New Roman" w:cs="Times New Roman"/>
          <w:b/>
          <w:bCs/>
          <w:sz w:val="24"/>
          <w:szCs w:val="24"/>
        </w:rPr>
      </w:pPr>
      <w:r w:rsidRPr="00621C75">
        <w:rPr>
          <w:rFonts w:ascii="Times New Roman" w:hAnsi="Times New Roman" w:cs="Times New Roman"/>
          <w:sz w:val="24"/>
          <w:szCs w:val="24"/>
        </w:rPr>
        <w:t>MUREMBA J:</w:t>
      </w:r>
      <w:r w:rsidRPr="00637892">
        <w:rPr>
          <w:rFonts w:ascii="Times New Roman" w:hAnsi="Times New Roman" w:cs="Times New Roman"/>
          <w:b/>
          <w:bCs/>
          <w:sz w:val="24"/>
          <w:szCs w:val="24"/>
        </w:rPr>
        <w:t xml:space="preserve"> </w:t>
      </w:r>
      <w:r w:rsidR="00232261" w:rsidRPr="00232261">
        <w:rPr>
          <w:rFonts w:ascii="Times New Roman" w:hAnsi="Times New Roman" w:cs="Times New Roman"/>
          <w:bCs/>
          <w:sz w:val="24"/>
          <w:szCs w:val="24"/>
        </w:rPr>
        <w:t xml:space="preserve">The accused, a 39-year-old single mother of four children residing in Highfields, Harare, was </w:t>
      </w:r>
      <w:r w:rsidRPr="00637892">
        <w:rPr>
          <w:rFonts w:ascii="Times New Roman" w:hAnsi="Times New Roman" w:cs="Times New Roman"/>
          <w:bCs/>
          <w:sz w:val="24"/>
          <w:szCs w:val="24"/>
        </w:rPr>
        <w:t xml:space="preserve">charged with </w:t>
      </w:r>
      <w:r w:rsidR="00232261" w:rsidRPr="00232261">
        <w:rPr>
          <w:rFonts w:ascii="Times New Roman" w:hAnsi="Times New Roman" w:cs="Times New Roman"/>
          <w:bCs/>
          <w:sz w:val="24"/>
          <w:szCs w:val="24"/>
        </w:rPr>
        <w:t>unlawful possession of dangerous drugs, namely 962.6 grammes of dagga, in contravention of section 157(1)(a) of the Criminal Law (Codification and Reform) Act [</w:t>
      </w:r>
      <w:r w:rsidR="00232261" w:rsidRPr="00232261">
        <w:rPr>
          <w:rFonts w:ascii="Times New Roman" w:hAnsi="Times New Roman" w:cs="Times New Roman"/>
          <w:bCs/>
          <w:i/>
          <w:iCs/>
          <w:sz w:val="24"/>
          <w:szCs w:val="24"/>
        </w:rPr>
        <w:t>Chapter 9:23</w:t>
      </w:r>
      <w:r w:rsidR="00232261" w:rsidRPr="00232261">
        <w:rPr>
          <w:rFonts w:ascii="Times New Roman" w:hAnsi="Times New Roman" w:cs="Times New Roman"/>
          <w:bCs/>
          <w:sz w:val="24"/>
          <w:szCs w:val="24"/>
        </w:rPr>
        <w:t>].</w:t>
      </w:r>
    </w:p>
    <w:p w14:paraId="5FBDB3E8" w14:textId="2D5FB44C" w:rsidR="00656794" w:rsidRDefault="00231B38" w:rsidP="00DC7E61">
      <w:pPr>
        <w:spacing w:line="360" w:lineRule="auto"/>
        <w:ind w:firstLine="720"/>
        <w:jc w:val="both"/>
        <w:rPr>
          <w:rFonts w:ascii="Times New Roman" w:hAnsi="Times New Roman" w:cs="Times New Roman"/>
          <w:bCs/>
          <w:sz w:val="24"/>
          <w:szCs w:val="24"/>
        </w:rPr>
      </w:pPr>
      <w:r w:rsidRPr="00637892">
        <w:rPr>
          <w:rFonts w:ascii="Times New Roman" w:hAnsi="Times New Roman" w:cs="Times New Roman"/>
          <w:sz w:val="24"/>
          <w:szCs w:val="24"/>
        </w:rPr>
        <w:t xml:space="preserve">The following is the </w:t>
      </w:r>
      <w:r w:rsidR="0063198C" w:rsidRPr="00637892">
        <w:rPr>
          <w:rFonts w:ascii="Times New Roman" w:hAnsi="Times New Roman" w:cs="Times New Roman"/>
          <w:sz w:val="24"/>
          <w:szCs w:val="24"/>
        </w:rPr>
        <w:t>f</w:t>
      </w:r>
      <w:r w:rsidR="00232261" w:rsidRPr="00232261">
        <w:rPr>
          <w:rFonts w:ascii="Times New Roman" w:hAnsi="Times New Roman" w:cs="Times New Roman"/>
          <w:sz w:val="24"/>
          <w:szCs w:val="24"/>
        </w:rPr>
        <w:t xml:space="preserve">actual </w:t>
      </w:r>
      <w:r w:rsidR="0063198C" w:rsidRPr="00637892">
        <w:rPr>
          <w:rFonts w:ascii="Times New Roman" w:hAnsi="Times New Roman" w:cs="Times New Roman"/>
          <w:sz w:val="24"/>
          <w:szCs w:val="24"/>
        </w:rPr>
        <w:t>b</w:t>
      </w:r>
      <w:r w:rsidR="00232261" w:rsidRPr="00232261">
        <w:rPr>
          <w:rFonts w:ascii="Times New Roman" w:hAnsi="Times New Roman" w:cs="Times New Roman"/>
          <w:sz w:val="24"/>
          <w:szCs w:val="24"/>
        </w:rPr>
        <w:t>ackground</w:t>
      </w:r>
      <w:r w:rsidRPr="00637892">
        <w:rPr>
          <w:rFonts w:ascii="Times New Roman" w:hAnsi="Times New Roman" w:cs="Times New Roman"/>
          <w:sz w:val="24"/>
          <w:szCs w:val="24"/>
        </w:rPr>
        <w:t xml:space="preserve">. </w:t>
      </w:r>
      <w:r w:rsidR="00232261" w:rsidRPr="00232261">
        <w:rPr>
          <w:rFonts w:ascii="Times New Roman" w:hAnsi="Times New Roman" w:cs="Times New Roman"/>
          <w:bCs/>
          <w:sz w:val="24"/>
          <w:szCs w:val="24"/>
        </w:rPr>
        <w:t xml:space="preserve">On 2 June 2025, acting on a tip-off, </w:t>
      </w:r>
      <w:r w:rsidR="004C45EF">
        <w:rPr>
          <w:rFonts w:ascii="Times New Roman" w:hAnsi="Times New Roman" w:cs="Times New Roman"/>
          <w:bCs/>
          <w:sz w:val="24"/>
          <w:szCs w:val="24"/>
        </w:rPr>
        <w:t xml:space="preserve">the </w:t>
      </w:r>
      <w:r w:rsidR="00232261" w:rsidRPr="00232261">
        <w:rPr>
          <w:rFonts w:ascii="Times New Roman" w:hAnsi="Times New Roman" w:cs="Times New Roman"/>
          <w:bCs/>
          <w:sz w:val="24"/>
          <w:szCs w:val="24"/>
        </w:rPr>
        <w:t>police apprehended the accused at Madokero Mall</w:t>
      </w:r>
      <w:r w:rsidR="004C45EF">
        <w:rPr>
          <w:rFonts w:ascii="Times New Roman" w:hAnsi="Times New Roman" w:cs="Times New Roman"/>
          <w:bCs/>
          <w:sz w:val="24"/>
          <w:szCs w:val="24"/>
        </w:rPr>
        <w:t xml:space="preserve"> in Harare</w:t>
      </w:r>
      <w:r w:rsidR="00232261" w:rsidRPr="00232261">
        <w:rPr>
          <w:rFonts w:ascii="Times New Roman" w:hAnsi="Times New Roman" w:cs="Times New Roman"/>
          <w:bCs/>
          <w:sz w:val="24"/>
          <w:szCs w:val="24"/>
        </w:rPr>
        <w:t>. A search revealed a black satchel in her possession contain</w:t>
      </w:r>
      <w:r w:rsidR="00445387">
        <w:rPr>
          <w:rFonts w:ascii="Times New Roman" w:hAnsi="Times New Roman" w:cs="Times New Roman"/>
          <w:bCs/>
          <w:sz w:val="24"/>
          <w:szCs w:val="24"/>
        </w:rPr>
        <w:t>ed</w:t>
      </w:r>
      <w:r w:rsidR="00232261" w:rsidRPr="00232261">
        <w:rPr>
          <w:rFonts w:ascii="Times New Roman" w:hAnsi="Times New Roman" w:cs="Times New Roman"/>
          <w:bCs/>
          <w:sz w:val="24"/>
          <w:szCs w:val="24"/>
        </w:rPr>
        <w:t xml:space="preserve"> 962.6 grammes of dagga with an estimated street value of USD 96.20.</w:t>
      </w:r>
      <w:r w:rsidR="00656794" w:rsidRPr="00637892">
        <w:rPr>
          <w:rFonts w:ascii="Times New Roman" w:hAnsi="Times New Roman" w:cs="Times New Roman"/>
          <w:sz w:val="24"/>
          <w:szCs w:val="24"/>
        </w:rPr>
        <w:t xml:space="preserve"> </w:t>
      </w:r>
      <w:r w:rsidR="00445387">
        <w:rPr>
          <w:rFonts w:ascii="Times New Roman" w:hAnsi="Times New Roman" w:cs="Times New Roman"/>
          <w:sz w:val="24"/>
          <w:szCs w:val="24"/>
        </w:rPr>
        <w:t>In</w:t>
      </w:r>
      <w:r w:rsidR="00656794" w:rsidRPr="00637892">
        <w:rPr>
          <w:rFonts w:ascii="Times New Roman" w:hAnsi="Times New Roman" w:cs="Times New Roman"/>
          <w:sz w:val="24"/>
          <w:szCs w:val="24"/>
        </w:rPr>
        <w:t xml:space="preserve"> the Magistrates Court t</w:t>
      </w:r>
      <w:r w:rsidR="00656794" w:rsidRPr="00637892">
        <w:rPr>
          <w:rFonts w:ascii="Times New Roman" w:hAnsi="Times New Roman" w:cs="Times New Roman"/>
          <w:bCs/>
          <w:sz w:val="24"/>
          <w:szCs w:val="24"/>
        </w:rPr>
        <w:t xml:space="preserve">he accused admitted to </w:t>
      </w:r>
      <w:r w:rsidR="00445387">
        <w:rPr>
          <w:rFonts w:ascii="Times New Roman" w:hAnsi="Times New Roman" w:cs="Times New Roman"/>
          <w:bCs/>
          <w:sz w:val="24"/>
          <w:szCs w:val="24"/>
        </w:rPr>
        <w:t xml:space="preserve">the charge of </w:t>
      </w:r>
      <w:r w:rsidR="00656794" w:rsidRPr="00637892">
        <w:rPr>
          <w:rFonts w:ascii="Times New Roman" w:hAnsi="Times New Roman" w:cs="Times New Roman"/>
          <w:bCs/>
          <w:sz w:val="24"/>
          <w:szCs w:val="24"/>
        </w:rPr>
        <w:t>unlawful possession and was duly convicted.</w:t>
      </w:r>
      <w:r w:rsidR="00232261" w:rsidRPr="00232261">
        <w:rPr>
          <w:rFonts w:ascii="Times New Roman" w:hAnsi="Times New Roman" w:cs="Times New Roman"/>
          <w:bCs/>
          <w:sz w:val="24"/>
          <w:szCs w:val="24"/>
        </w:rPr>
        <w:t xml:space="preserve"> </w:t>
      </w:r>
      <w:r w:rsidR="00656794" w:rsidRPr="00232261">
        <w:rPr>
          <w:rFonts w:ascii="Times New Roman" w:hAnsi="Times New Roman" w:cs="Times New Roman"/>
          <w:bCs/>
          <w:sz w:val="24"/>
          <w:szCs w:val="24"/>
        </w:rPr>
        <w:t>Accordingly, I confirm the conviction.</w:t>
      </w:r>
    </w:p>
    <w:p w14:paraId="093B13B1" w14:textId="10447681" w:rsidR="00445387" w:rsidRPr="00637892" w:rsidRDefault="00445387" w:rsidP="00DC7E61">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Pr="00445387">
        <w:rPr>
          <w:rFonts w:ascii="Times New Roman" w:hAnsi="Times New Roman" w:cs="Times New Roman"/>
          <w:bCs/>
          <w:sz w:val="24"/>
          <w:szCs w:val="24"/>
        </w:rPr>
        <w:t xml:space="preserve">he </w:t>
      </w:r>
      <w:r>
        <w:rPr>
          <w:rFonts w:ascii="Times New Roman" w:hAnsi="Times New Roman" w:cs="Times New Roman"/>
          <w:bCs/>
          <w:sz w:val="24"/>
          <w:szCs w:val="24"/>
        </w:rPr>
        <w:t xml:space="preserve">accused </w:t>
      </w:r>
      <w:r w:rsidRPr="00445387">
        <w:rPr>
          <w:rFonts w:ascii="Times New Roman" w:hAnsi="Times New Roman" w:cs="Times New Roman"/>
          <w:bCs/>
          <w:sz w:val="24"/>
          <w:szCs w:val="24"/>
        </w:rPr>
        <w:t>was sentenced to 24 months’ imprisonment, of which 12 months were suspended for five years on condition of future good behaviour. The remaining 12 months were suspended on condition that she performs 420 hours of community service at Western Triangle Satellite Clinic, Highfield.</w:t>
      </w:r>
    </w:p>
    <w:p w14:paraId="49D84198" w14:textId="77777777" w:rsidR="00656794" w:rsidRPr="00656794" w:rsidRDefault="00656794" w:rsidP="00DC7E61">
      <w:pPr>
        <w:spacing w:line="360" w:lineRule="auto"/>
        <w:ind w:firstLine="720"/>
        <w:jc w:val="both"/>
        <w:rPr>
          <w:rFonts w:ascii="Times New Roman" w:hAnsi="Times New Roman" w:cs="Times New Roman"/>
          <w:bCs/>
          <w:sz w:val="24"/>
          <w:szCs w:val="24"/>
        </w:rPr>
      </w:pPr>
      <w:r w:rsidRPr="00656794">
        <w:rPr>
          <w:rFonts w:ascii="Times New Roman" w:hAnsi="Times New Roman" w:cs="Times New Roman"/>
          <w:bCs/>
          <w:sz w:val="24"/>
          <w:szCs w:val="24"/>
        </w:rPr>
        <w:t>I am, however, unable to confirm the sentence imposed as being in accordance with real and substantial justice.</w:t>
      </w:r>
    </w:p>
    <w:p w14:paraId="0001FEAD" w14:textId="17A3850F" w:rsidR="008F3C54" w:rsidRPr="008F3C54" w:rsidRDefault="008F3C54" w:rsidP="00DC7E61">
      <w:pPr>
        <w:spacing w:line="360" w:lineRule="auto"/>
        <w:ind w:firstLine="720"/>
        <w:jc w:val="both"/>
        <w:rPr>
          <w:rFonts w:ascii="Times New Roman" w:hAnsi="Times New Roman" w:cs="Times New Roman"/>
          <w:bCs/>
          <w:sz w:val="24"/>
          <w:szCs w:val="24"/>
        </w:rPr>
      </w:pPr>
      <w:r w:rsidRPr="008F3C54">
        <w:rPr>
          <w:rFonts w:ascii="Times New Roman" w:hAnsi="Times New Roman" w:cs="Times New Roman"/>
          <w:bCs/>
          <w:sz w:val="24"/>
          <w:szCs w:val="24"/>
        </w:rPr>
        <w:t>The statutory penalty for unlawful possession of dangerous drugs is</w:t>
      </w:r>
      <w:r w:rsidR="004C45EF">
        <w:rPr>
          <w:rFonts w:ascii="Times New Roman" w:hAnsi="Times New Roman" w:cs="Times New Roman"/>
          <w:bCs/>
          <w:sz w:val="24"/>
          <w:szCs w:val="24"/>
        </w:rPr>
        <w:t xml:space="preserve"> an</w:t>
      </w:r>
      <w:r w:rsidRPr="008F3C54">
        <w:rPr>
          <w:rFonts w:ascii="Times New Roman" w:hAnsi="Times New Roman" w:cs="Times New Roman"/>
          <w:bCs/>
          <w:sz w:val="24"/>
          <w:szCs w:val="24"/>
        </w:rPr>
        <w:t xml:space="preserve"> </w:t>
      </w:r>
      <w:r w:rsidR="004C45EF">
        <w:rPr>
          <w:rFonts w:ascii="Times New Roman" w:hAnsi="Times New Roman" w:cs="Times New Roman"/>
          <w:bCs/>
          <w:sz w:val="24"/>
          <w:szCs w:val="24"/>
        </w:rPr>
        <w:t>up to</w:t>
      </w:r>
      <w:r w:rsidRPr="008F3C54">
        <w:rPr>
          <w:rFonts w:ascii="Times New Roman" w:hAnsi="Times New Roman" w:cs="Times New Roman"/>
          <w:bCs/>
          <w:sz w:val="24"/>
          <w:szCs w:val="24"/>
        </w:rPr>
        <w:t xml:space="preserve"> level 10 fine,</w:t>
      </w:r>
      <w:r w:rsidR="004C45EF">
        <w:rPr>
          <w:rFonts w:ascii="Times New Roman" w:hAnsi="Times New Roman" w:cs="Times New Roman"/>
          <w:bCs/>
          <w:sz w:val="24"/>
          <w:szCs w:val="24"/>
        </w:rPr>
        <w:t xml:space="preserve"> or</w:t>
      </w:r>
      <w:r w:rsidRPr="008F3C54">
        <w:rPr>
          <w:rFonts w:ascii="Times New Roman" w:hAnsi="Times New Roman" w:cs="Times New Roman"/>
          <w:bCs/>
          <w:sz w:val="24"/>
          <w:szCs w:val="24"/>
        </w:rPr>
        <w:t xml:space="preserve"> imprisonment for up to five years, or both.</w:t>
      </w:r>
      <w:r>
        <w:rPr>
          <w:rStyle w:val="FootnoteReference"/>
          <w:rFonts w:ascii="Times New Roman" w:hAnsi="Times New Roman" w:cs="Times New Roman"/>
          <w:bCs/>
          <w:sz w:val="24"/>
          <w:szCs w:val="24"/>
        </w:rPr>
        <w:footnoteReference w:id="1"/>
      </w:r>
      <w:r w:rsidRPr="008F3C54">
        <w:rPr>
          <w:rFonts w:ascii="Times New Roman" w:hAnsi="Times New Roman" w:cs="Times New Roman"/>
          <w:bCs/>
          <w:sz w:val="24"/>
          <w:szCs w:val="24"/>
        </w:rPr>
        <w:t xml:space="preserve"> In addition, the Criminal Procedure (Sentencing Guidelines) Regulations, 2023 (S.I. 146 of 2023), prescribe a presumptive penalty of three years’ imprisonment where aggravating factors are present. The guidelines identify three such aggravating factors: possession of large quantities of drugs, possession in a public place, and attempts to conceal evidence.</w:t>
      </w:r>
      <w:r w:rsidR="000E7029">
        <w:rPr>
          <w:rFonts w:ascii="Times New Roman" w:hAnsi="Times New Roman" w:cs="Times New Roman"/>
          <w:bCs/>
          <w:sz w:val="24"/>
          <w:szCs w:val="24"/>
        </w:rPr>
        <w:t xml:space="preserve"> </w:t>
      </w:r>
      <w:r w:rsidRPr="008F3C54">
        <w:rPr>
          <w:rFonts w:ascii="Times New Roman" w:hAnsi="Times New Roman" w:cs="Times New Roman"/>
          <w:bCs/>
          <w:sz w:val="24"/>
          <w:szCs w:val="24"/>
        </w:rPr>
        <w:t xml:space="preserve">Conversely, where mitigating factors exist, the presumptive penalty is a level five fine. The listed mitigating factors include possession of a </w:t>
      </w:r>
      <w:r w:rsidRPr="008F3C54">
        <w:rPr>
          <w:rFonts w:ascii="Times New Roman" w:hAnsi="Times New Roman" w:cs="Times New Roman"/>
          <w:bCs/>
          <w:sz w:val="24"/>
          <w:szCs w:val="24"/>
        </w:rPr>
        <w:lastRenderedPageBreak/>
        <w:t>small quantity of drugs and possession for medicinal use.</w:t>
      </w:r>
      <w:r w:rsidR="000E7029">
        <w:rPr>
          <w:rFonts w:ascii="Times New Roman" w:hAnsi="Times New Roman" w:cs="Times New Roman"/>
          <w:bCs/>
          <w:sz w:val="24"/>
          <w:szCs w:val="24"/>
        </w:rPr>
        <w:t xml:space="preserve"> </w:t>
      </w:r>
      <w:r w:rsidRPr="008F3C54">
        <w:rPr>
          <w:rFonts w:ascii="Times New Roman" w:hAnsi="Times New Roman" w:cs="Times New Roman"/>
          <w:bCs/>
          <w:sz w:val="24"/>
          <w:szCs w:val="24"/>
        </w:rPr>
        <w:t xml:space="preserve">It is important to note that the aggravating and mitigating factors outlined in the guidelines are not exhaustive. Courts retain discretion to consider additional </w:t>
      </w:r>
      <w:r w:rsidR="000E7029">
        <w:rPr>
          <w:rFonts w:ascii="Times New Roman" w:hAnsi="Times New Roman" w:cs="Times New Roman"/>
          <w:bCs/>
          <w:sz w:val="24"/>
          <w:szCs w:val="24"/>
        </w:rPr>
        <w:t xml:space="preserve">factors as either aggravating or mitigating for the purposes of arriving at the appropriate </w:t>
      </w:r>
      <w:r w:rsidRPr="008F3C54">
        <w:rPr>
          <w:rFonts w:ascii="Times New Roman" w:hAnsi="Times New Roman" w:cs="Times New Roman"/>
          <w:bCs/>
          <w:sz w:val="24"/>
          <w:szCs w:val="24"/>
        </w:rPr>
        <w:t>presumptive penalty</w:t>
      </w:r>
      <w:r w:rsidR="000E7029">
        <w:rPr>
          <w:rFonts w:ascii="Times New Roman" w:hAnsi="Times New Roman" w:cs="Times New Roman"/>
          <w:bCs/>
          <w:sz w:val="24"/>
          <w:szCs w:val="24"/>
        </w:rPr>
        <w:t xml:space="preserve">. </w:t>
      </w:r>
    </w:p>
    <w:p w14:paraId="762255A7" w14:textId="77777777" w:rsidR="00232261" w:rsidRPr="00232261" w:rsidRDefault="00232261" w:rsidP="00DC7E61">
      <w:pPr>
        <w:spacing w:line="360" w:lineRule="auto"/>
        <w:ind w:firstLine="720"/>
        <w:jc w:val="both"/>
        <w:rPr>
          <w:rFonts w:ascii="Times New Roman" w:hAnsi="Times New Roman" w:cs="Times New Roman"/>
          <w:bCs/>
          <w:sz w:val="24"/>
          <w:szCs w:val="24"/>
        </w:rPr>
      </w:pPr>
      <w:r w:rsidRPr="00232261">
        <w:rPr>
          <w:rFonts w:ascii="Times New Roman" w:hAnsi="Times New Roman" w:cs="Times New Roman"/>
          <w:bCs/>
          <w:sz w:val="24"/>
          <w:szCs w:val="24"/>
        </w:rPr>
        <w:t>Section 5(2) of the Sentencing Guidelines stipulates:</w:t>
      </w:r>
    </w:p>
    <w:p w14:paraId="1E3CE70C" w14:textId="77777777" w:rsidR="00232261" w:rsidRPr="00232261" w:rsidRDefault="00232261" w:rsidP="00DC7E61">
      <w:pPr>
        <w:spacing w:line="240" w:lineRule="auto"/>
        <w:ind w:left="720"/>
        <w:jc w:val="both"/>
        <w:rPr>
          <w:rFonts w:ascii="Times New Roman" w:hAnsi="Times New Roman" w:cs="Times New Roman"/>
          <w:bCs/>
          <w:sz w:val="24"/>
          <w:szCs w:val="24"/>
        </w:rPr>
      </w:pPr>
      <w:r w:rsidRPr="00BA50A9">
        <w:rPr>
          <w:rFonts w:ascii="Times New Roman" w:hAnsi="Times New Roman" w:cs="Times New Roman"/>
          <w:bCs/>
        </w:rPr>
        <w:t>“Where these guidelines have provided for a presumptive penalty, the guidelines shall apply to the exclusion of any other law in terms of which the sentencing of offenders may be prescribed</w:t>
      </w:r>
      <w:r w:rsidRPr="00232261">
        <w:rPr>
          <w:rFonts w:ascii="Times New Roman" w:hAnsi="Times New Roman" w:cs="Times New Roman"/>
          <w:bCs/>
          <w:sz w:val="24"/>
          <w:szCs w:val="24"/>
        </w:rPr>
        <w:t>.”</w:t>
      </w:r>
    </w:p>
    <w:p w14:paraId="2178891C" w14:textId="2002E67A" w:rsidR="00232261" w:rsidRPr="00232261" w:rsidRDefault="00232261" w:rsidP="00DC7E61">
      <w:pPr>
        <w:spacing w:line="360" w:lineRule="auto"/>
        <w:ind w:firstLine="720"/>
        <w:jc w:val="both"/>
        <w:rPr>
          <w:rFonts w:ascii="Times New Roman" w:hAnsi="Times New Roman" w:cs="Times New Roman"/>
          <w:bCs/>
          <w:sz w:val="24"/>
          <w:szCs w:val="24"/>
        </w:rPr>
      </w:pPr>
      <w:r w:rsidRPr="00232261">
        <w:rPr>
          <w:rFonts w:ascii="Times New Roman" w:hAnsi="Times New Roman" w:cs="Times New Roman"/>
          <w:bCs/>
          <w:sz w:val="24"/>
          <w:szCs w:val="24"/>
        </w:rPr>
        <w:t>This provision mandates that the sentencing guidelines take precedence over other laws when a presumptive penalty is specified. A departure from the presumptive penalty must be accompanied by a clear and well-reasoned justification.</w:t>
      </w:r>
      <w:r w:rsidR="00BA50A9">
        <w:rPr>
          <w:rStyle w:val="FootnoteReference"/>
          <w:rFonts w:ascii="Times New Roman" w:hAnsi="Times New Roman" w:cs="Times New Roman"/>
          <w:bCs/>
          <w:sz w:val="24"/>
          <w:szCs w:val="24"/>
        </w:rPr>
        <w:footnoteReference w:id="2"/>
      </w:r>
    </w:p>
    <w:p w14:paraId="212A42E9" w14:textId="481C9A08" w:rsidR="008A35A8" w:rsidRPr="008A35A8" w:rsidRDefault="008A35A8" w:rsidP="00DC7E61">
      <w:pPr>
        <w:spacing w:line="360" w:lineRule="auto"/>
        <w:ind w:firstLine="720"/>
        <w:jc w:val="both"/>
        <w:rPr>
          <w:rFonts w:ascii="Times New Roman" w:hAnsi="Times New Roman" w:cs="Times New Roman"/>
          <w:bCs/>
          <w:sz w:val="24"/>
          <w:szCs w:val="24"/>
        </w:rPr>
      </w:pPr>
      <w:r w:rsidRPr="008A35A8">
        <w:rPr>
          <w:rFonts w:ascii="Times New Roman" w:hAnsi="Times New Roman" w:cs="Times New Roman"/>
          <w:bCs/>
          <w:sz w:val="24"/>
          <w:szCs w:val="24"/>
        </w:rPr>
        <w:t xml:space="preserve">In his sentencing remarks, the trial magistrate noted that the offence carries a presumptive penalty of three years’ imprisonment. However, he proceeded to observe that the quantity of dagga involved was minimal. </w:t>
      </w:r>
      <w:r w:rsidR="00983D9E">
        <w:rPr>
          <w:rFonts w:ascii="Times New Roman" w:hAnsi="Times New Roman" w:cs="Times New Roman"/>
          <w:bCs/>
          <w:sz w:val="24"/>
          <w:szCs w:val="24"/>
        </w:rPr>
        <w:t>T</w:t>
      </w:r>
      <w:r w:rsidRPr="008A35A8">
        <w:rPr>
          <w:rFonts w:ascii="Times New Roman" w:hAnsi="Times New Roman" w:cs="Times New Roman"/>
          <w:bCs/>
          <w:sz w:val="24"/>
          <w:szCs w:val="24"/>
        </w:rPr>
        <w:t>his reflects a misapplication of the sentencing guidelines. Where the quantity of drugs is small, the appropriate presumptive penalty is not three years’ imprisonment, but rather a level five fine.</w:t>
      </w:r>
      <w:r>
        <w:rPr>
          <w:rFonts w:ascii="Times New Roman" w:hAnsi="Times New Roman" w:cs="Times New Roman"/>
          <w:bCs/>
          <w:sz w:val="24"/>
          <w:szCs w:val="24"/>
        </w:rPr>
        <w:t xml:space="preserve"> </w:t>
      </w:r>
      <w:r w:rsidRPr="008A35A8">
        <w:rPr>
          <w:rFonts w:ascii="Times New Roman" w:hAnsi="Times New Roman" w:cs="Times New Roman"/>
          <w:bCs/>
          <w:sz w:val="24"/>
          <w:szCs w:val="24"/>
        </w:rPr>
        <w:t xml:space="preserve">This apparent misunderstanding suggests that the magistrate may not have fully grasped the distinctions set out in the </w:t>
      </w:r>
      <w:r>
        <w:rPr>
          <w:rFonts w:ascii="Times New Roman" w:hAnsi="Times New Roman" w:cs="Times New Roman"/>
          <w:bCs/>
          <w:sz w:val="24"/>
          <w:szCs w:val="24"/>
        </w:rPr>
        <w:t>s</w:t>
      </w:r>
      <w:r w:rsidRPr="008A35A8">
        <w:rPr>
          <w:rFonts w:ascii="Times New Roman" w:hAnsi="Times New Roman" w:cs="Times New Roman"/>
          <w:bCs/>
          <w:sz w:val="24"/>
          <w:szCs w:val="24"/>
        </w:rPr>
        <w:t xml:space="preserve">entencing </w:t>
      </w:r>
      <w:r>
        <w:rPr>
          <w:rFonts w:ascii="Times New Roman" w:hAnsi="Times New Roman" w:cs="Times New Roman"/>
          <w:bCs/>
          <w:sz w:val="24"/>
          <w:szCs w:val="24"/>
        </w:rPr>
        <w:t>g</w:t>
      </w:r>
      <w:r w:rsidRPr="008A35A8">
        <w:rPr>
          <w:rFonts w:ascii="Times New Roman" w:hAnsi="Times New Roman" w:cs="Times New Roman"/>
          <w:bCs/>
          <w:sz w:val="24"/>
          <w:szCs w:val="24"/>
        </w:rPr>
        <w:t>uidelines</w:t>
      </w:r>
      <w:r>
        <w:rPr>
          <w:rFonts w:ascii="Times New Roman" w:hAnsi="Times New Roman" w:cs="Times New Roman"/>
          <w:bCs/>
          <w:sz w:val="24"/>
          <w:szCs w:val="24"/>
        </w:rPr>
        <w:t xml:space="preserve"> </w:t>
      </w:r>
      <w:r w:rsidRPr="008A35A8">
        <w:rPr>
          <w:rFonts w:ascii="Times New Roman" w:hAnsi="Times New Roman" w:cs="Times New Roman"/>
          <w:bCs/>
          <w:sz w:val="24"/>
          <w:szCs w:val="24"/>
        </w:rPr>
        <w:t>regarding the application of presumptive penalties in cases of unlawful possession of drugs. A clearer appreciation of the aggravating and mitigating factors outlined in the guidelines is essential to ensure consistency and fairness in sentencing.</w:t>
      </w:r>
    </w:p>
    <w:p w14:paraId="60D20D95" w14:textId="0D4AD415" w:rsidR="00B74C2F" w:rsidRPr="00B74C2F" w:rsidRDefault="00846479" w:rsidP="00DC7E61">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B74C2F" w:rsidRPr="00B74C2F">
        <w:rPr>
          <w:rFonts w:ascii="Times New Roman" w:hAnsi="Times New Roman" w:cs="Times New Roman"/>
          <w:bCs/>
          <w:sz w:val="24"/>
          <w:szCs w:val="24"/>
        </w:rPr>
        <w:t>he magistrate took into account several mitigating factors, including the accused’s guilty plea, her expression of remorse, and her personal circumstances as a single mother of three children</w:t>
      </w:r>
      <w:r w:rsidR="00B74C2F">
        <w:rPr>
          <w:rFonts w:ascii="Times New Roman" w:hAnsi="Times New Roman" w:cs="Times New Roman"/>
          <w:bCs/>
          <w:sz w:val="24"/>
          <w:szCs w:val="24"/>
        </w:rPr>
        <w:t xml:space="preserve">, </w:t>
      </w:r>
      <w:r w:rsidR="00B74C2F" w:rsidRPr="00B74C2F">
        <w:rPr>
          <w:rFonts w:ascii="Times New Roman" w:hAnsi="Times New Roman" w:cs="Times New Roman"/>
          <w:bCs/>
          <w:sz w:val="24"/>
          <w:szCs w:val="24"/>
        </w:rPr>
        <w:t xml:space="preserve">although the sentencing inquiry indicates that she is, in fact, a mother of four. The magistrate also acknowledged aggravating </w:t>
      </w:r>
      <w:r w:rsidR="00B74C2F">
        <w:rPr>
          <w:rFonts w:ascii="Times New Roman" w:hAnsi="Times New Roman" w:cs="Times New Roman"/>
          <w:bCs/>
          <w:sz w:val="24"/>
          <w:szCs w:val="24"/>
        </w:rPr>
        <w:t>factor</w:t>
      </w:r>
      <w:r w:rsidR="00B74C2F" w:rsidRPr="00B74C2F">
        <w:rPr>
          <w:rFonts w:ascii="Times New Roman" w:hAnsi="Times New Roman" w:cs="Times New Roman"/>
          <w:bCs/>
          <w:sz w:val="24"/>
          <w:szCs w:val="24"/>
        </w:rPr>
        <w:t>s, such as the broader societal harm posed by drug-related offences, including risks to public health and the role of drugs in facilitating serious crimes. He further observed that drug abuse has become a global concern and underscored the importance of deterrent sentencing.</w:t>
      </w:r>
      <w:r w:rsidR="004E33C2">
        <w:rPr>
          <w:rFonts w:ascii="Times New Roman" w:hAnsi="Times New Roman" w:cs="Times New Roman"/>
          <w:bCs/>
          <w:sz w:val="24"/>
          <w:szCs w:val="24"/>
        </w:rPr>
        <w:t xml:space="preserve"> </w:t>
      </w:r>
      <w:r w:rsidR="00B74C2F" w:rsidRPr="00B74C2F">
        <w:rPr>
          <w:rFonts w:ascii="Times New Roman" w:hAnsi="Times New Roman" w:cs="Times New Roman"/>
          <w:bCs/>
          <w:sz w:val="24"/>
          <w:szCs w:val="24"/>
        </w:rPr>
        <w:t>Nonetheless, the magistrate ultimately concluded that the presumptive penalty</w:t>
      </w:r>
      <w:r w:rsidR="004E33C2">
        <w:rPr>
          <w:rFonts w:ascii="Times New Roman" w:hAnsi="Times New Roman" w:cs="Times New Roman"/>
          <w:bCs/>
          <w:sz w:val="24"/>
          <w:szCs w:val="24"/>
        </w:rPr>
        <w:t xml:space="preserve"> of three years’ imprisonment</w:t>
      </w:r>
      <w:r w:rsidR="00B74C2F" w:rsidRPr="00B74C2F">
        <w:rPr>
          <w:rFonts w:ascii="Times New Roman" w:hAnsi="Times New Roman" w:cs="Times New Roman"/>
          <w:bCs/>
          <w:sz w:val="24"/>
          <w:szCs w:val="24"/>
        </w:rPr>
        <w:t xml:space="preserve"> would be unduly severe, particularly given that the quantity of dagga involved was “under a kilogram.” On this basis, he imposed a suspended </w:t>
      </w:r>
      <w:r w:rsidR="00EE4454">
        <w:rPr>
          <w:rFonts w:ascii="Times New Roman" w:hAnsi="Times New Roman" w:cs="Times New Roman"/>
          <w:bCs/>
          <w:sz w:val="24"/>
          <w:szCs w:val="24"/>
        </w:rPr>
        <w:t xml:space="preserve">custodial </w:t>
      </w:r>
      <w:r w:rsidR="00B74C2F" w:rsidRPr="00B74C2F">
        <w:rPr>
          <w:rFonts w:ascii="Times New Roman" w:hAnsi="Times New Roman" w:cs="Times New Roman"/>
          <w:bCs/>
          <w:sz w:val="24"/>
          <w:szCs w:val="24"/>
        </w:rPr>
        <w:t xml:space="preserve">sentence, contingent upon future good behaviour and the </w:t>
      </w:r>
      <w:r w:rsidR="006E3AC7">
        <w:rPr>
          <w:rFonts w:ascii="Times New Roman" w:hAnsi="Times New Roman" w:cs="Times New Roman"/>
          <w:bCs/>
          <w:sz w:val="24"/>
          <w:szCs w:val="24"/>
        </w:rPr>
        <w:t>performance</w:t>
      </w:r>
      <w:r w:rsidR="00B74C2F" w:rsidRPr="00B74C2F">
        <w:rPr>
          <w:rFonts w:ascii="Times New Roman" w:hAnsi="Times New Roman" w:cs="Times New Roman"/>
          <w:bCs/>
          <w:sz w:val="24"/>
          <w:szCs w:val="24"/>
        </w:rPr>
        <w:t xml:space="preserve"> of community service.</w:t>
      </w:r>
    </w:p>
    <w:p w14:paraId="335BC891" w14:textId="7CF40964" w:rsidR="00EF5C32" w:rsidRDefault="00EF5C32" w:rsidP="00DC7E61">
      <w:pPr>
        <w:spacing w:line="360" w:lineRule="auto"/>
        <w:ind w:firstLine="720"/>
        <w:jc w:val="both"/>
        <w:rPr>
          <w:rFonts w:ascii="Times New Roman" w:hAnsi="Times New Roman" w:cs="Times New Roman"/>
          <w:bCs/>
          <w:sz w:val="24"/>
          <w:szCs w:val="24"/>
        </w:rPr>
      </w:pPr>
      <w:r w:rsidRPr="00EF5C32">
        <w:rPr>
          <w:rFonts w:ascii="Times New Roman" w:hAnsi="Times New Roman" w:cs="Times New Roman"/>
          <w:bCs/>
          <w:sz w:val="24"/>
          <w:szCs w:val="24"/>
        </w:rPr>
        <w:lastRenderedPageBreak/>
        <w:t xml:space="preserve">This reasoning is flawed because the sentencing guidelines clearly state that possession of a small quantity is a </w:t>
      </w:r>
      <w:r w:rsidRPr="00D75375">
        <w:rPr>
          <w:rFonts w:ascii="Times New Roman" w:hAnsi="Times New Roman" w:cs="Times New Roman"/>
          <w:sz w:val="24"/>
          <w:szCs w:val="24"/>
        </w:rPr>
        <w:t>mitigating factor, which attracts a level five fine</w:t>
      </w:r>
      <w:r w:rsidRPr="00EF5C32">
        <w:rPr>
          <w:rFonts w:ascii="Times New Roman" w:hAnsi="Times New Roman" w:cs="Times New Roman"/>
          <w:bCs/>
          <w:sz w:val="24"/>
          <w:szCs w:val="24"/>
        </w:rPr>
        <w:t xml:space="preserve">, not imprisonment. By invoking the harsher presumptive penalty and then dismissing it as “too harsh,” the magistrate demonstrated a misunderstanding of how the guidelines distinguish between aggravating and mitigating </w:t>
      </w:r>
      <w:r w:rsidR="00EE4454">
        <w:rPr>
          <w:rFonts w:ascii="Times New Roman" w:hAnsi="Times New Roman" w:cs="Times New Roman"/>
          <w:bCs/>
          <w:sz w:val="24"/>
          <w:szCs w:val="24"/>
        </w:rPr>
        <w:t>factor</w:t>
      </w:r>
      <w:r w:rsidRPr="00EF5C32">
        <w:rPr>
          <w:rFonts w:ascii="Times New Roman" w:hAnsi="Times New Roman" w:cs="Times New Roman"/>
          <w:bCs/>
          <w:sz w:val="24"/>
          <w:szCs w:val="24"/>
        </w:rPr>
        <w:t>s. As a result, the sentence imposed was not only inconsistent with the regulatory framework but also failed to reflect the structured approach intended to promote fairness, proportionality, and consistency in sentencing.</w:t>
      </w:r>
    </w:p>
    <w:p w14:paraId="6830A91F" w14:textId="098FE10D" w:rsidR="00232261" w:rsidRPr="00232261" w:rsidRDefault="00376760" w:rsidP="00DC7E61">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Other than misapplying the guidelines, t</w:t>
      </w:r>
      <w:r w:rsidR="00232261" w:rsidRPr="00232261">
        <w:rPr>
          <w:rFonts w:ascii="Times New Roman" w:hAnsi="Times New Roman" w:cs="Times New Roman"/>
          <w:bCs/>
          <w:sz w:val="24"/>
          <w:szCs w:val="24"/>
        </w:rPr>
        <w:t>he magistrate erred in characterizing the quantity of 962.6 grammes of dagga as “small.” This is a clear misdirection. Judicial precedent has consistently held that quantities well below this threshold constitute substantial amounts:</w:t>
      </w:r>
    </w:p>
    <w:p w14:paraId="2DD5054C" w14:textId="1F11E6DD" w:rsidR="00232261" w:rsidRPr="00232261" w:rsidRDefault="00232261" w:rsidP="00DC7E61">
      <w:pPr>
        <w:numPr>
          <w:ilvl w:val="0"/>
          <w:numId w:val="15"/>
        </w:numPr>
        <w:spacing w:line="360" w:lineRule="auto"/>
        <w:jc w:val="both"/>
        <w:rPr>
          <w:rFonts w:ascii="Times New Roman" w:hAnsi="Times New Roman" w:cs="Times New Roman"/>
          <w:bCs/>
          <w:sz w:val="24"/>
          <w:szCs w:val="24"/>
        </w:rPr>
      </w:pPr>
      <w:r w:rsidRPr="00232261">
        <w:rPr>
          <w:rFonts w:ascii="Times New Roman" w:hAnsi="Times New Roman" w:cs="Times New Roman"/>
          <w:bCs/>
          <w:sz w:val="24"/>
          <w:szCs w:val="24"/>
        </w:rPr>
        <w:t xml:space="preserve">In </w:t>
      </w:r>
      <w:r w:rsidRPr="00232261">
        <w:rPr>
          <w:rFonts w:ascii="Times New Roman" w:hAnsi="Times New Roman" w:cs="Times New Roman"/>
          <w:bCs/>
          <w:i/>
          <w:iCs/>
          <w:sz w:val="24"/>
          <w:szCs w:val="24"/>
        </w:rPr>
        <w:t xml:space="preserve">S v Macheke </w:t>
      </w:r>
      <w:r w:rsidRPr="00886365">
        <w:rPr>
          <w:rFonts w:ascii="Times New Roman" w:hAnsi="Times New Roman" w:cs="Times New Roman"/>
          <w:bCs/>
          <w:sz w:val="24"/>
          <w:szCs w:val="24"/>
        </w:rPr>
        <w:t>HH 326-24</w:t>
      </w:r>
      <w:r w:rsidRPr="00232261">
        <w:rPr>
          <w:rFonts w:ascii="Times New Roman" w:hAnsi="Times New Roman" w:cs="Times New Roman"/>
          <w:bCs/>
          <w:sz w:val="24"/>
          <w:szCs w:val="24"/>
        </w:rPr>
        <w:t>, 700 grammes of dagga were deemed substantial, and community service was found to be too lenient.</w:t>
      </w:r>
      <w:r w:rsidR="00973B56">
        <w:rPr>
          <w:rFonts w:ascii="Times New Roman" w:hAnsi="Times New Roman" w:cs="Times New Roman"/>
          <w:bCs/>
          <w:sz w:val="24"/>
          <w:szCs w:val="24"/>
        </w:rPr>
        <w:t xml:space="preserve"> It was held that </w:t>
      </w:r>
      <w:r w:rsidR="004948C9">
        <w:rPr>
          <w:rFonts w:ascii="Times New Roman" w:hAnsi="Times New Roman" w:cs="Times New Roman"/>
          <w:bCs/>
          <w:sz w:val="24"/>
          <w:szCs w:val="24"/>
        </w:rPr>
        <w:t xml:space="preserve">effective imprisonment was called for. </w:t>
      </w:r>
    </w:p>
    <w:p w14:paraId="6038F1D3" w14:textId="0156F395" w:rsidR="00232261" w:rsidRPr="00232261" w:rsidRDefault="00232261" w:rsidP="00DC7E61">
      <w:pPr>
        <w:numPr>
          <w:ilvl w:val="0"/>
          <w:numId w:val="15"/>
        </w:numPr>
        <w:spacing w:line="360" w:lineRule="auto"/>
        <w:jc w:val="both"/>
        <w:rPr>
          <w:rFonts w:ascii="Times New Roman" w:hAnsi="Times New Roman" w:cs="Times New Roman"/>
          <w:bCs/>
          <w:sz w:val="24"/>
          <w:szCs w:val="24"/>
        </w:rPr>
      </w:pPr>
      <w:r w:rsidRPr="00232261">
        <w:rPr>
          <w:rFonts w:ascii="Times New Roman" w:hAnsi="Times New Roman" w:cs="Times New Roman"/>
          <w:bCs/>
          <w:sz w:val="24"/>
          <w:szCs w:val="24"/>
        </w:rPr>
        <w:t xml:space="preserve">In </w:t>
      </w:r>
      <w:r w:rsidRPr="00232261">
        <w:rPr>
          <w:rFonts w:ascii="Times New Roman" w:hAnsi="Times New Roman" w:cs="Times New Roman"/>
          <w:bCs/>
          <w:i/>
          <w:iCs/>
          <w:sz w:val="24"/>
          <w:szCs w:val="24"/>
        </w:rPr>
        <w:t xml:space="preserve">Loveness Chibhangu v State </w:t>
      </w:r>
      <w:r w:rsidRPr="00886365">
        <w:rPr>
          <w:rFonts w:ascii="Times New Roman" w:hAnsi="Times New Roman" w:cs="Times New Roman"/>
          <w:bCs/>
          <w:sz w:val="24"/>
          <w:szCs w:val="24"/>
        </w:rPr>
        <w:t>HMA 12-25</w:t>
      </w:r>
      <w:r w:rsidRPr="00232261">
        <w:rPr>
          <w:rFonts w:ascii="Times New Roman" w:hAnsi="Times New Roman" w:cs="Times New Roman"/>
          <w:bCs/>
          <w:sz w:val="24"/>
          <w:szCs w:val="24"/>
        </w:rPr>
        <w:t>, the court upheld a custodial sentence</w:t>
      </w:r>
      <w:r w:rsidR="00973B56">
        <w:rPr>
          <w:rFonts w:ascii="Times New Roman" w:hAnsi="Times New Roman" w:cs="Times New Roman"/>
          <w:bCs/>
          <w:sz w:val="24"/>
          <w:szCs w:val="24"/>
        </w:rPr>
        <w:t xml:space="preserve"> of 12 months’ imprisonment of which 2 months was suspended </w:t>
      </w:r>
      <w:r w:rsidR="00D75375">
        <w:rPr>
          <w:rFonts w:ascii="Times New Roman" w:hAnsi="Times New Roman" w:cs="Times New Roman"/>
          <w:bCs/>
          <w:sz w:val="24"/>
          <w:szCs w:val="24"/>
        </w:rPr>
        <w:t>on condition of</w:t>
      </w:r>
      <w:r w:rsidR="00973B56">
        <w:rPr>
          <w:rFonts w:ascii="Times New Roman" w:hAnsi="Times New Roman" w:cs="Times New Roman"/>
          <w:bCs/>
          <w:sz w:val="24"/>
          <w:szCs w:val="24"/>
        </w:rPr>
        <w:t xml:space="preserve"> future good behavio</w:t>
      </w:r>
      <w:r w:rsidR="004948C9">
        <w:rPr>
          <w:rFonts w:ascii="Times New Roman" w:hAnsi="Times New Roman" w:cs="Times New Roman"/>
          <w:bCs/>
          <w:sz w:val="24"/>
          <w:szCs w:val="24"/>
        </w:rPr>
        <w:t>u</w:t>
      </w:r>
      <w:r w:rsidR="00973B56">
        <w:rPr>
          <w:rFonts w:ascii="Times New Roman" w:hAnsi="Times New Roman" w:cs="Times New Roman"/>
          <w:bCs/>
          <w:sz w:val="24"/>
          <w:szCs w:val="24"/>
        </w:rPr>
        <w:t>r</w:t>
      </w:r>
      <w:r w:rsidRPr="00232261">
        <w:rPr>
          <w:rFonts w:ascii="Times New Roman" w:hAnsi="Times New Roman" w:cs="Times New Roman"/>
          <w:bCs/>
          <w:sz w:val="24"/>
          <w:szCs w:val="24"/>
        </w:rPr>
        <w:t xml:space="preserve"> for 1.2 kg of dagga, emphasizing the societal harm caused by drug abuse.</w:t>
      </w:r>
    </w:p>
    <w:p w14:paraId="03A214DB" w14:textId="70949E32" w:rsidR="00232261" w:rsidRPr="00232261" w:rsidRDefault="00232261" w:rsidP="00DC7E61">
      <w:pPr>
        <w:numPr>
          <w:ilvl w:val="0"/>
          <w:numId w:val="15"/>
        </w:numPr>
        <w:spacing w:line="360" w:lineRule="auto"/>
        <w:jc w:val="both"/>
        <w:rPr>
          <w:rFonts w:ascii="Times New Roman" w:hAnsi="Times New Roman" w:cs="Times New Roman"/>
          <w:bCs/>
          <w:sz w:val="24"/>
          <w:szCs w:val="24"/>
        </w:rPr>
      </w:pPr>
      <w:r w:rsidRPr="00232261">
        <w:rPr>
          <w:rFonts w:ascii="Times New Roman" w:hAnsi="Times New Roman" w:cs="Times New Roman"/>
          <w:bCs/>
          <w:sz w:val="24"/>
          <w:szCs w:val="24"/>
        </w:rPr>
        <w:t xml:space="preserve">In </w:t>
      </w:r>
      <w:r w:rsidRPr="00232261">
        <w:rPr>
          <w:rFonts w:ascii="Times New Roman" w:hAnsi="Times New Roman" w:cs="Times New Roman"/>
          <w:bCs/>
          <w:i/>
          <w:iCs/>
          <w:sz w:val="24"/>
          <w:szCs w:val="24"/>
        </w:rPr>
        <w:t xml:space="preserve">S v Gwenzi </w:t>
      </w:r>
      <w:r w:rsidRPr="00886365">
        <w:rPr>
          <w:rFonts w:ascii="Times New Roman" w:hAnsi="Times New Roman" w:cs="Times New Roman"/>
          <w:bCs/>
          <w:sz w:val="24"/>
          <w:szCs w:val="24"/>
        </w:rPr>
        <w:t>HH 194/88,</w:t>
      </w:r>
      <w:r w:rsidRPr="00232261">
        <w:rPr>
          <w:rFonts w:ascii="Times New Roman" w:hAnsi="Times New Roman" w:cs="Times New Roman"/>
          <w:bCs/>
          <w:sz w:val="24"/>
          <w:szCs w:val="24"/>
        </w:rPr>
        <w:t xml:space="preserve"> possession of 592 grammes </w:t>
      </w:r>
      <w:r w:rsidR="00973B56">
        <w:rPr>
          <w:rFonts w:ascii="Times New Roman" w:hAnsi="Times New Roman" w:cs="Times New Roman"/>
          <w:bCs/>
          <w:sz w:val="24"/>
          <w:szCs w:val="24"/>
        </w:rPr>
        <w:t>was held to warrant</w:t>
      </w:r>
      <w:r w:rsidRPr="00232261">
        <w:rPr>
          <w:rFonts w:ascii="Times New Roman" w:hAnsi="Times New Roman" w:cs="Times New Roman"/>
          <w:bCs/>
          <w:sz w:val="24"/>
          <w:szCs w:val="24"/>
        </w:rPr>
        <w:t xml:space="preserve"> a custodial sentence of 14 months</w:t>
      </w:r>
      <w:r w:rsidR="00973B56">
        <w:rPr>
          <w:rFonts w:ascii="Times New Roman" w:hAnsi="Times New Roman" w:cs="Times New Roman"/>
          <w:bCs/>
          <w:sz w:val="24"/>
          <w:szCs w:val="24"/>
        </w:rPr>
        <w:t>’ imprisonment with half suspended</w:t>
      </w:r>
      <w:r w:rsidRPr="00232261">
        <w:rPr>
          <w:rFonts w:ascii="Times New Roman" w:hAnsi="Times New Roman" w:cs="Times New Roman"/>
          <w:bCs/>
          <w:sz w:val="24"/>
          <w:szCs w:val="24"/>
        </w:rPr>
        <w:t>.</w:t>
      </w:r>
    </w:p>
    <w:p w14:paraId="7C06C9EE" w14:textId="46DE3E2C" w:rsidR="00232261" w:rsidRPr="00232261" w:rsidRDefault="00232261" w:rsidP="00DC7E61">
      <w:pPr>
        <w:numPr>
          <w:ilvl w:val="0"/>
          <w:numId w:val="15"/>
        </w:numPr>
        <w:spacing w:line="360" w:lineRule="auto"/>
        <w:jc w:val="both"/>
        <w:rPr>
          <w:rFonts w:ascii="Times New Roman" w:hAnsi="Times New Roman" w:cs="Times New Roman"/>
          <w:bCs/>
          <w:sz w:val="24"/>
          <w:szCs w:val="24"/>
        </w:rPr>
      </w:pPr>
      <w:r w:rsidRPr="00232261">
        <w:rPr>
          <w:rFonts w:ascii="Times New Roman" w:hAnsi="Times New Roman" w:cs="Times New Roman"/>
          <w:bCs/>
          <w:sz w:val="24"/>
          <w:szCs w:val="24"/>
        </w:rPr>
        <w:t xml:space="preserve">In </w:t>
      </w:r>
      <w:r w:rsidRPr="00232261">
        <w:rPr>
          <w:rFonts w:ascii="Times New Roman" w:hAnsi="Times New Roman" w:cs="Times New Roman"/>
          <w:bCs/>
          <w:i/>
          <w:iCs/>
          <w:sz w:val="24"/>
          <w:szCs w:val="24"/>
        </w:rPr>
        <w:t xml:space="preserve">S v Mugugu </w:t>
      </w:r>
      <w:r w:rsidRPr="00886365">
        <w:rPr>
          <w:rFonts w:ascii="Times New Roman" w:hAnsi="Times New Roman" w:cs="Times New Roman"/>
          <w:bCs/>
          <w:sz w:val="24"/>
          <w:szCs w:val="24"/>
        </w:rPr>
        <w:t>HH 386/13</w:t>
      </w:r>
      <w:r w:rsidRPr="00232261">
        <w:rPr>
          <w:rFonts w:ascii="Times New Roman" w:hAnsi="Times New Roman" w:cs="Times New Roman"/>
          <w:bCs/>
          <w:sz w:val="24"/>
          <w:szCs w:val="24"/>
        </w:rPr>
        <w:t xml:space="preserve">, possession of 1.2 kg led to a sentence of 12 months imprisonment, with </w:t>
      </w:r>
      <w:r w:rsidR="00D93DEC">
        <w:rPr>
          <w:rFonts w:ascii="Times New Roman" w:hAnsi="Times New Roman" w:cs="Times New Roman"/>
          <w:bCs/>
          <w:sz w:val="24"/>
          <w:szCs w:val="24"/>
        </w:rPr>
        <w:t>6 months</w:t>
      </w:r>
      <w:r w:rsidRPr="00232261">
        <w:rPr>
          <w:rFonts w:ascii="Times New Roman" w:hAnsi="Times New Roman" w:cs="Times New Roman"/>
          <w:bCs/>
          <w:sz w:val="24"/>
          <w:szCs w:val="24"/>
        </w:rPr>
        <w:t xml:space="preserve"> suspended.</w:t>
      </w:r>
      <w:r w:rsidR="00D93DEC">
        <w:rPr>
          <w:rFonts w:ascii="Times New Roman" w:hAnsi="Times New Roman" w:cs="Times New Roman"/>
          <w:bCs/>
          <w:sz w:val="24"/>
          <w:szCs w:val="24"/>
        </w:rPr>
        <w:t xml:space="preserve"> The remainder was effective. </w:t>
      </w:r>
    </w:p>
    <w:p w14:paraId="2B7DAE64" w14:textId="133AEF9E" w:rsidR="00232261" w:rsidRPr="00232261" w:rsidRDefault="00232261" w:rsidP="00DC7E61">
      <w:pPr>
        <w:numPr>
          <w:ilvl w:val="0"/>
          <w:numId w:val="15"/>
        </w:numPr>
        <w:spacing w:line="360" w:lineRule="auto"/>
        <w:jc w:val="both"/>
        <w:rPr>
          <w:rFonts w:ascii="Times New Roman" w:hAnsi="Times New Roman" w:cs="Times New Roman"/>
          <w:bCs/>
          <w:sz w:val="24"/>
          <w:szCs w:val="24"/>
        </w:rPr>
      </w:pPr>
      <w:r w:rsidRPr="00232261">
        <w:rPr>
          <w:rFonts w:ascii="Times New Roman" w:hAnsi="Times New Roman" w:cs="Times New Roman"/>
          <w:bCs/>
          <w:sz w:val="24"/>
          <w:szCs w:val="24"/>
        </w:rPr>
        <w:t xml:space="preserve">In </w:t>
      </w:r>
      <w:r w:rsidRPr="00232261">
        <w:rPr>
          <w:rFonts w:ascii="Times New Roman" w:hAnsi="Times New Roman" w:cs="Times New Roman"/>
          <w:bCs/>
          <w:i/>
          <w:iCs/>
          <w:sz w:val="24"/>
          <w:szCs w:val="24"/>
        </w:rPr>
        <w:t xml:space="preserve">Chingwaru </w:t>
      </w:r>
      <w:r w:rsidRPr="00886365">
        <w:rPr>
          <w:rFonts w:ascii="Times New Roman" w:hAnsi="Times New Roman" w:cs="Times New Roman"/>
          <w:bCs/>
          <w:sz w:val="24"/>
          <w:szCs w:val="24"/>
        </w:rPr>
        <w:t>HB 106/93</w:t>
      </w:r>
      <w:r w:rsidRPr="00232261">
        <w:rPr>
          <w:rFonts w:ascii="Times New Roman" w:hAnsi="Times New Roman" w:cs="Times New Roman"/>
          <w:bCs/>
          <w:sz w:val="24"/>
          <w:szCs w:val="24"/>
        </w:rPr>
        <w:t>, possession of 1.4 kg</w:t>
      </w:r>
      <w:r w:rsidR="00212F0C">
        <w:rPr>
          <w:rFonts w:ascii="Times New Roman" w:hAnsi="Times New Roman" w:cs="Times New Roman"/>
          <w:bCs/>
          <w:sz w:val="24"/>
          <w:szCs w:val="24"/>
        </w:rPr>
        <w:t>s</w:t>
      </w:r>
      <w:r w:rsidRPr="00232261">
        <w:rPr>
          <w:rFonts w:ascii="Times New Roman" w:hAnsi="Times New Roman" w:cs="Times New Roman"/>
          <w:bCs/>
          <w:sz w:val="24"/>
          <w:szCs w:val="24"/>
        </w:rPr>
        <w:t xml:space="preserve"> resulted in a 24-month sentence, with 6 months suspended.</w:t>
      </w:r>
      <w:r w:rsidR="00D93DEC">
        <w:rPr>
          <w:rFonts w:ascii="Times New Roman" w:hAnsi="Times New Roman" w:cs="Times New Roman"/>
          <w:bCs/>
          <w:sz w:val="24"/>
          <w:szCs w:val="24"/>
        </w:rPr>
        <w:t xml:space="preserve"> The remainder was effective. </w:t>
      </w:r>
    </w:p>
    <w:p w14:paraId="0F9800C8" w14:textId="644C7BED" w:rsidR="00232261" w:rsidRPr="00637892" w:rsidRDefault="00232261" w:rsidP="00DC7E61">
      <w:pPr>
        <w:spacing w:line="360" w:lineRule="auto"/>
        <w:ind w:firstLine="360"/>
        <w:jc w:val="both"/>
        <w:rPr>
          <w:rFonts w:ascii="Times New Roman" w:hAnsi="Times New Roman" w:cs="Times New Roman"/>
          <w:bCs/>
          <w:sz w:val="24"/>
          <w:szCs w:val="24"/>
        </w:rPr>
      </w:pPr>
      <w:r w:rsidRPr="00232261">
        <w:rPr>
          <w:rFonts w:ascii="Times New Roman" w:hAnsi="Times New Roman" w:cs="Times New Roman"/>
          <w:bCs/>
          <w:sz w:val="24"/>
          <w:szCs w:val="24"/>
        </w:rPr>
        <w:t xml:space="preserve">These </w:t>
      </w:r>
      <w:r w:rsidR="00E65C4F">
        <w:rPr>
          <w:rFonts w:ascii="Times New Roman" w:hAnsi="Times New Roman" w:cs="Times New Roman"/>
          <w:bCs/>
          <w:sz w:val="24"/>
          <w:szCs w:val="24"/>
        </w:rPr>
        <w:t xml:space="preserve">case </w:t>
      </w:r>
      <w:r w:rsidRPr="00232261">
        <w:rPr>
          <w:rFonts w:ascii="Times New Roman" w:hAnsi="Times New Roman" w:cs="Times New Roman"/>
          <w:bCs/>
          <w:sz w:val="24"/>
          <w:szCs w:val="24"/>
        </w:rPr>
        <w:t>authorities demonstrate that 962.6 grammes</w:t>
      </w:r>
      <w:r w:rsidR="003E3AAD">
        <w:rPr>
          <w:rFonts w:ascii="Times New Roman" w:hAnsi="Times New Roman" w:cs="Times New Roman"/>
          <w:bCs/>
          <w:sz w:val="24"/>
          <w:szCs w:val="24"/>
        </w:rPr>
        <w:t xml:space="preserve"> of dagga</w:t>
      </w:r>
      <w:r w:rsidRPr="00232261">
        <w:rPr>
          <w:rFonts w:ascii="Times New Roman" w:hAnsi="Times New Roman" w:cs="Times New Roman"/>
          <w:bCs/>
          <w:sz w:val="24"/>
          <w:szCs w:val="24"/>
        </w:rPr>
        <w:t xml:space="preserve"> is substantial</w:t>
      </w:r>
      <w:r w:rsidR="003E3AAD">
        <w:rPr>
          <w:rFonts w:ascii="Times New Roman" w:hAnsi="Times New Roman" w:cs="Times New Roman"/>
          <w:bCs/>
          <w:sz w:val="24"/>
          <w:szCs w:val="24"/>
        </w:rPr>
        <w:t xml:space="preserve">. </w:t>
      </w:r>
      <w:r w:rsidRPr="00232261">
        <w:rPr>
          <w:rFonts w:ascii="Times New Roman" w:hAnsi="Times New Roman" w:cs="Times New Roman"/>
          <w:bCs/>
          <w:sz w:val="24"/>
          <w:szCs w:val="24"/>
        </w:rPr>
        <w:t xml:space="preserve"> </w:t>
      </w:r>
    </w:p>
    <w:p w14:paraId="0CA8A7C2" w14:textId="32DB04AC" w:rsidR="00A2039A" w:rsidRDefault="00A2039A" w:rsidP="00DC7E61">
      <w:pPr>
        <w:spacing w:line="360" w:lineRule="auto"/>
        <w:ind w:firstLine="360"/>
        <w:jc w:val="both"/>
        <w:rPr>
          <w:rFonts w:ascii="Times New Roman" w:hAnsi="Times New Roman" w:cs="Times New Roman"/>
          <w:bCs/>
          <w:sz w:val="24"/>
          <w:szCs w:val="24"/>
        </w:rPr>
      </w:pPr>
      <w:r w:rsidRPr="00A2039A">
        <w:rPr>
          <w:rFonts w:ascii="Times New Roman" w:hAnsi="Times New Roman" w:cs="Times New Roman"/>
          <w:bCs/>
          <w:sz w:val="24"/>
          <w:szCs w:val="24"/>
        </w:rPr>
        <w:t>Had the magistrate properly considered relevant judicial precedent, he would not have arrived at the erroneous conclusion that the quantity of dagga involved</w:t>
      </w:r>
      <w:r w:rsidRPr="00637892">
        <w:rPr>
          <w:rFonts w:ascii="Times New Roman" w:hAnsi="Times New Roman" w:cs="Times New Roman"/>
          <w:bCs/>
          <w:sz w:val="24"/>
          <w:szCs w:val="24"/>
        </w:rPr>
        <w:t xml:space="preserve">, </w:t>
      </w:r>
      <w:r w:rsidRPr="00A2039A">
        <w:rPr>
          <w:rFonts w:ascii="Times New Roman" w:hAnsi="Times New Roman" w:cs="Times New Roman"/>
          <w:bCs/>
          <w:sz w:val="24"/>
          <w:szCs w:val="24"/>
        </w:rPr>
        <w:t>962.6 grammes</w:t>
      </w:r>
      <w:r w:rsidRPr="00637892">
        <w:rPr>
          <w:rFonts w:ascii="Times New Roman" w:hAnsi="Times New Roman" w:cs="Times New Roman"/>
          <w:bCs/>
          <w:sz w:val="24"/>
          <w:szCs w:val="24"/>
        </w:rPr>
        <w:t xml:space="preserve">, </w:t>
      </w:r>
      <w:r w:rsidRPr="00A2039A">
        <w:rPr>
          <w:rFonts w:ascii="Times New Roman" w:hAnsi="Times New Roman" w:cs="Times New Roman"/>
          <w:bCs/>
          <w:sz w:val="24"/>
          <w:szCs w:val="24"/>
        </w:rPr>
        <w:t>was insubstantial. This mischaracterization of the quantity was a critical misdirection, as it directly influenced h</w:t>
      </w:r>
      <w:r w:rsidR="00C14FDF">
        <w:rPr>
          <w:rFonts w:ascii="Times New Roman" w:hAnsi="Times New Roman" w:cs="Times New Roman"/>
          <w:bCs/>
          <w:sz w:val="24"/>
          <w:szCs w:val="24"/>
        </w:rPr>
        <w:t>is</w:t>
      </w:r>
      <w:r w:rsidRPr="00A2039A">
        <w:rPr>
          <w:rFonts w:ascii="Times New Roman" w:hAnsi="Times New Roman" w:cs="Times New Roman"/>
          <w:bCs/>
          <w:sz w:val="24"/>
          <w:szCs w:val="24"/>
        </w:rPr>
        <w:t xml:space="preserve"> decision to depart from the prescribed sentencing framework. Specifically, it led to the </w:t>
      </w:r>
      <w:r w:rsidR="003E3AAD">
        <w:rPr>
          <w:rFonts w:ascii="Times New Roman" w:hAnsi="Times New Roman" w:cs="Times New Roman"/>
          <w:bCs/>
          <w:sz w:val="24"/>
          <w:szCs w:val="24"/>
        </w:rPr>
        <w:t>erroneous conclusion that</w:t>
      </w:r>
      <w:r w:rsidRPr="00A2039A">
        <w:rPr>
          <w:rFonts w:ascii="Times New Roman" w:hAnsi="Times New Roman" w:cs="Times New Roman"/>
          <w:bCs/>
          <w:sz w:val="24"/>
          <w:szCs w:val="24"/>
        </w:rPr>
        <w:t xml:space="preserve"> the presumptive penalty of three years’ imprisonment, </w:t>
      </w:r>
      <w:r w:rsidR="003E3AAD">
        <w:rPr>
          <w:rFonts w:ascii="Times New Roman" w:hAnsi="Times New Roman" w:cs="Times New Roman"/>
          <w:bCs/>
          <w:sz w:val="24"/>
          <w:szCs w:val="24"/>
        </w:rPr>
        <w:t>w</w:t>
      </w:r>
      <w:r w:rsidR="008C12B0">
        <w:rPr>
          <w:rFonts w:ascii="Times New Roman" w:hAnsi="Times New Roman" w:cs="Times New Roman"/>
          <w:bCs/>
          <w:sz w:val="24"/>
          <w:szCs w:val="24"/>
        </w:rPr>
        <w:t>as too harsh for the quantity of 962,6 grammes.</w:t>
      </w:r>
    </w:p>
    <w:p w14:paraId="450CF5A4" w14:textId="2A79976F" w:rsidR="00BE2625" w:rsidRDefault="00FD3974" w:rsidP="00DC7E61">
      <w:pPr>
        <w:spacing w:line="360" w:lineRule="auto"/>
        <w:ind w:firstLine="360"/>
        <w:jc w:val="both"/>
        <w:rPr>
          <w:rFonts w:ascii="Times New Roman" w:hAnsi="Times New Roman" w:cs="Times New Roman"/>
          <w:bCs/>
          <w:sz w:val="24"/>
          <w:szCs w:val="24"/>
        </w:rPr>
      </w:pPr>
      <w:r w:rsidRPr="00FD3974">
        <w:rPr>
          <w:rFonts w:ascii="Times New Roman" w:hAnsi="Times New Roman" w:cs="Times New Roman"/>
          <w:bCs/>
          <w:sz w:val="24"/>
          <w:szCs w:val="24"/>
        </w:rPr>
        <w:lastRenderedPageBreak/>
        <w:t>Another critical aspect that the magistrate appears to have overlooked is the location in which the offence was committed. The accused was found in possession of dagga at Madokero Mall, a public place frequented by members of the community. Possession of dangerous drugs in a public setting</w:t>
      </w:r>
      <w:r w:rsidR="00AD6CEA">
        <w:rPr>
          <w:rFonts w:ascii="Times New Roman" w:hAnsi="Times New Roman" w:cs="Times New Roman"/>
          <w:bCs/>
          <w:sz w:val="24"/>
          <w:szCs w:val="24"/>
        </w:rPr>
        <w:t>, on its own,</w:t>
      </w:r>
      <w:r w:rsidRPr="00FD3974">
        <w:rPr>
          <w:rFonts w:ascii="Times New Roman" w:hAnsi="Times New Roman" w:cs="Times New Roman"/>
          <w:bCs/>
          <w:sz w:val="24"/>
          <w:szCs w:val="24"/>
        </w:rPr>
        <w:t xml:space="preserve"> is expressly listed as an aggravating factor </w:t>
      </w:r>
      <w:r>
        <w:rPr>
          <w:rFonts w:ascii="Times New Roman" w:hAnsi="Times New Roman" w:cs="Times New Roman"/>
          <w:bCs/>
          <w:sz w:val="24"/>
          <w:szCs w:val="24"/>
        </w:rPr>
        <w:t xml:space="preserve">in the sentencing guidelines. It being an aggravating factor, the offence attracts the presumptive penalty of three years’ imprisonment.  </w:t>
      </w:r>
    </w:p>
    <w:p w14:paraId="58C9ACCF" w14:textId="0A2192E4" w:rsidR="00FD3974" w:rsidRPr="00A2039A" w:rsidRDefault="00FD3974" w:rsidP="00DC7E61">
      <w:pPr>
        <w:spacing w:line="360" w:lineRule="auto"/>
        <w:ind w:firstLine="360"/>
        <w:jc w:val="both"/>
        <w:rPr>
          <w:rFonts w:ascii="Times New Roman" w:hAnsi="Times New Roman" w:cs="Times New Roman"/>
          <w:bCs/>
          <w:sz w:val="24"/>
          <w:szCs w:val="24"/>
        </w:rPr>
      </w:pPr>
      <w:r w:rsidRPr="00FD3974">
        <w:rPr>
          <w:rFonts w:ascii="Times New Roman" w:hAnsi="Times New Roman" w:cs="Times New Roman"/>
          <w:bCs/>
          <w:sz w:val="24"/>
          <w:szCs w:val="24"/>
        </w:rPr>
        <w:t>Moreover, the fact that the police were tipped off by a member of the public suggests that the accused’s possession of the drugs was not discreet but rather visible or known to others</w:t>
      </w:r>
      <w:r>
        <w:rPr>
          <w:rFonts w:ascii="Times New Roman" w:hAnsi="Times New Roman" w:cs="Times New Roman"/>
          <w:bCs/>
          <w:sz w:val="24"/>
          <w:szCs w:val="24"/>
        </w:rPr>
        <w:t xml:space="preserve">. </w:t>
      </w:r>
      <w:r w:rsidRPr="00FD3974">
        <w:rPr>
          <w:rFonts w:ascii="Times New Roman" w:hAnsi="Times New Roman" w:cs="Times New Roman"/>
          <w:bCs/>
          <w:sz w:val="24"/>
          <w:szCs w:val="24"/>
        </w:rPr>
        <w:t>This factor heightens the seriousness of the offence, as it increases the potential for public exposure, and harm.  This further reinforces the need for a sentencing response that reflects the heightened risk and societal impact associated with drug possession in communal spaces. The magistrate’s failure to consider this aggravating factor resulted in a sentence that did not fully account for the broader implications of the accused’s conduct.</w:t>
      </w:r>
    </w:p>
    <w:p w14:paraId="3D387F1E" w14:textId="13799009" w:rsidR="00A2039A" w:rsidRPr="00A2039A" w:rsidRDefault="00A2039A" w:rsidP="00DC7E61">
      <w:pPr>
        <w:spacing w:line="360" w:lineRule="auto"/>
        <w:ind w:firstLine="360"/>
        <w:jc w:val="both"/>
        <w:rPr>
          <w:rFonts w:ascii="Times New Roman" w:hAnsi="Times New Roman" w:cs="Times New Roman"/>
          <w:bCs/>
          <w:sz w:val="24"/>
          <w:szCs w:val="24"/>
        </w:rPr>
      </w:pPr>
      <w:r w:rsidRPr="00A2039A">
        <w:rPr>
          <w:rFonts w:ascii="Times New Roman" w:hAnsi="Times New Roman" w:cs="Times New Roman"/>
          <w:bCs/>
          <w:sz w:val="24"/>
          <w:szCs w:val="24"/>
        </w:rPr>
        <w:t>Had the magistrate correctly classified the dagga as a substantial quantity</w:t>
      </w:r>
      <w:r w:rsidR="00C05FD1">
        <w:rPr>
          <w:rFonts w:ascii="Times New Roman" w:hAnsi="Times New Roman" w:cs="Times New Roman"/>
          <w:bCs/>
          <w:sz w:val="24"/>
          <w:szCs w:val="24"/>
        </w:rPr>
        <w:t xml:space="preserve"> possessed in a public place to the knowledge of members of the public</w:t>
      </w:r>
      <w:r w:rsidRPr="00A2039A">
        <w:rPr>
          <w:rFonts w:ascii="Times New Roman" w:hAnsi="Times New Roman" w:cs="Times New Roman"/>
          <w:bCs/>
          <w:sz w:val="24"/>
          <w:szCs w:val="24"/>
        </w:rPr>
        <w:t>, he would have been compelled to begin h</w:t>
      </w:r>
      <w:r w:rsidR="00734B2F">
        <w:rPr>
          <w:rFonts w:ascii="Times New Roman" w:hAnsi="Times New Roman" w:cs="Times New Roman"/>
          <w:bCs/>
          <w:sz w:val="24"/>
          <w:szCs w:val="24"/>
        </w:rPr>
        <w:t>is</w:t>
      </w:r>
      <w:r w:rsidRPr="00A2039A">
        <w:rPr>
          <w:rFonts w:ascii="Times New Roman" w:hAnsi="Times New Roman" w:cs="Times New Roman"/>
          <w:bCs/>
          <w:sz w:val="24"/>
          <w:szCs w:val="24"/>
        </w:rPr>
        <w:t xml:space="preserve"> sentencing analysis from the presumptive benchmark of three years’ imprisonment. This would have ensured that the sentence imposed was proportionate to the gravity of the offence and aligned with both statutory expectations and public interest considerations.</w:t>
      </w:r>
    </w:p>
    <w:p w14:paraId="3B7170DD" w14:textId="58214C4B" w:rsidR="00A2039A" w:rsidRPr="00A2039A" w:rsidRDefault="00A2039A" w:rsidP="00DC7E61">
      <w:pPr>
        <w:spacing w:line="360" w:lineRule="auto"/>
        <w:ind w:firstLine="360"/>
        <w:jc w:val="both"/>
        <w:rPr>
          <w:rFonts w:ascii="Times New Roman" w:hAnsi="Times New Roman" w:cs="Times New Roman"/>
          <w:bCs/>
          <w:sz w:val="24"/>
          <w:szCs w:val="24"/>
        </w:rPr>
      </w:pPr>
      <w:r w:rsidRPr="00A2039A">
        <w:rPr>
          <w:rFonts w:ascii="Times New Roman" w:hAnsi="Times New Roman" w:cs="Times New Roman"/>
          <w:bCs/>
          <w:sz w:val="24"/>
          <w:szCs w:val="24"/>
        </w:rPr>
        <w:t>While many of the case authorities cited above were decided prior to the promulgation of the 2023 Sentencing Guidelines, they remain instructive in demonstrating judicial consensus on what constitutes a substantial quantity of dagga. The introduction of the Sentencing Guidelines has since elevated the sentencing threshold, requiring courts to impose stiffer penalties</w:t>
      </w:r>
      <w:r w:rsidRPr="00637892">
        <w:rPr>
          <w:rFonts w:ascii="Times New Roman" w:hAnsi="Times New Roman" w:cs="Times New Roman"/>
          <w:bCs/>
          <w:sz w:val="24"/>
          <w:szCs w:val="24"/>
        </w:rPr>
        <w:t xml:space="preserve">, </w:t>
      </w:r>
      <w:r w:rsidRPr="00A2039A">
        <w:rPr>
          <w:rFonts w:ascii="Times New Roman" w:hAnsi="Times New Roman" w:cs="Times New Roman"/>
          <w:bCs/>
          <w:sz w:val="24"/>
          <w:szCs w:val="24"/>
        </w:rPr>
        <w:t>typically in the region of three years’ imprisonment</w:t>
      </w:r>
      <w:r w:rsidRPr="00637892">
        <w:rPr>
          <w:rFonts w:ascii="Times New Roman" w:hAnsi="Times New Roman" w:cs="Times New Roman"/>
          <w:bCs/>
          <w:sz w:val="24"/>
          <w:szCs w:val="24"/>
        </w:rPr>
        <w:t xml:space="preserve">, </w:t>
      </w:r>
      <w:r w:rsidRPr="00A2039A">
        <w:rPr>
          <w:rFonts w:ascii="Times New Roman" w:hAnsi="Times New Roman" w:cs="Times New Roman"/>
          <w:bCs/>
          <w:sz w:val="24"/>
          <w:szCs w:val="24"/>
        </w:rPr>
        <w:t>for offences involving significant quantities of dangerous drugs</w:t>
      </w:r>
      <w:r w:rsidR="004356EC">
        <w:rPr>
          <w:rFonts w:ascii="Times New Roman" w:hAnsi="Times New Roman" w:cs="Times New Roman"/>
          <w:bCs/>
          <w:sz w:val="24"/>
          <w:szCs w:val="24"/>
        </w:rPr>
        <w:t xml:space="preserve"> and or possession of </w:t>
      </w:r>
      <w:r w:rsidR="00235093">
        <w:rPr>
          <w:rFonts w:ascii="Times New Roman" w:hAnsi="Times New Roman" w:cs="Times New Roman"/>
          <w:bCs/>
          <w:sz w:val="24"/>
          <w:szCs w:val="24"/>
        </w:rPr>
        <w:t>such</w:t>
      </w:r>
      <w:r w:rsidR="004356EC">
        <w:rPr>
          <w:rFonts w:ascii="Times New Roman" w:hAnsi="Times New Roman" w:cs="Times New Roman"/>
          <w:bCs/>
          <w:sz w:val="24"/>
          <w:szCs w:val="24"/>
        </w:rPr>
        <w:t xml:space="preserve"> drugs in public places</w:t>
      </w:r>
      <w:r w:rsidRPr="00A2039A">
        <w:rPr>
          <w:rFonts w:ascii="Times New Roman" w:hAnsi="Times New Roman" w:cs="Times New Roman"/>
          <w:bCs/>
          <w:sz w:val="24"/>
          <w:szCs w:val="24"/>
        </w:rPr>
        <w:t>.</w:t>
      </w:r>
    </w:p>
    <w:p w14:paraId="278BD30D" w14:textId="77777777" w:rsidR="00983D9E" w:rsidRDefault="00A2039A" w:rsidP="00DC7E61">
      <w:pPr>
        <w:spacing w:line="360" w:lineRule="auto"/>
        <w:ind w:firstLine="360"/>
        <w:jc w:val="both"/>
        <w:rPr>
          <w:rFonts w:ascii="Times New Roman" w:hAnsi="Times New Roman" w:cs="Times New Roman"/>
          <w:bCs/>
          <w:sz w:val="24"/>
          <w:szCs w:val="24"/>
        </w:rPr>
      </w:pPr>
      <w:r w:rsidRPr="00A2039A">
        <w:rPr>
          <w:rFonts w:ascii="Times New Roman" w:hAnsi="Times New Roman" w:cs="Times New Roman"/>
          <w:bCs/>
          <w:sz w:val="24"/>
          <w:szCs w:val="24"/>
        </w:rPr>
        <w:t xml:space="preserve">This shift in sentencing philosophy is particularly critical in the current climate, where </w:t>
      </w:r>
      <w:r w:rsidRPr="00637892">
        <w:rPr>
          <w:rFonts w:ascii="Times New Roman" w:hAnsi="Times New Roman" w:cs="Times New Roman"/>
          <w:bCs/>
          <w:sz w:val="24"/>
          <w:szCs w:val="24"/>
        </w:rPr>
        <w:t>this country</w:t>
      </w:r>
      <w:r w:rsidRPr="00A2039A">
        <w:rPr>
          <w:rFonts w:ascii="Times New Roman" w:hAnsi="Times New Roman" w:cs="Times New Roman"/>
          <w:bCs/>
          <w:sz w:val="24"/>
          <w:szCs w:val="24"/>
        </w:rPr>
        <w:t xml:space="preserve"> is grappling with a surge in drug abuse and its associated social harms. The courts must respond to this crisis with sentences that reflect the seriousness of the offence and serve as a deterrent to would-be offenders. In this context, lenient sentences such as community service for possession of nearly a kilogram of dagga fall short of the justice system’s duty to protect society and uphold the rule of law.</w:t>
      </w:r>
      <w:r w:rsidR="007042AF" w:rsidRPr="00637892">
        <w:rPr>
          <w:rFonts w:ascii="Times New Roman" w:hAnsi="Times New Roman" w:cs="Times New Roman"/>
          <w:sz w:val="24"/>
          <w:szCs w:val="24"/>
        </w:rPr>
        <w:t xml:space="preserve"> </w:t>
      </w:r>
      <w:r w:rsidR="007042AF" w:rsidRPr="00637892">
        <w:rPr>
          <w:rFonts w:ascii="Times New Roman" w:hAnsi="Times New Roman" w:cs="Times New Roman"/>
          <w:bCs/>
          <w:sz w:val="24"/>
          <w:szCs w:val="24"/>
        </w:rPr>
        <w:t xml:space="preserve">The prevalence of drug abuse in this country has reached deeply concerning levels, posing a significant threat to public health, social stability, and national development. </w:t>
      </w:r>
    </w:p>
    <w:p w14:paraId="07F3ACD4" w14:textId="361914BB" w:rsidR="0094578F" w:rsidRDefault="0094578F" w:rsidP="007C2B3B">
      <w:pPr>
        <w:spacing w:line="360" w:lineRule="auto"/>
        <w:ind w:firstLine="360"/>
        <w:jc w:val="both"/>
        <w:rPr>
          <w:rFonts w:ascii="Times New Roman" w:hAnsi="Times New Roman" w:cs="Times New Roman"/>
          <w:bCs/>
          <w:sz w:val="24"/>
          <w:szCs w:val="24"/>
        </w:rPr>
      </w:pPr>
      <w:r w:rsidRPr="00637892">
        <w:rPr>
          <w:rFonts w:ascii="Times New Roman" w:hAnsi="Times New Roman" w:cs="Times New Roman"/>
          <w:bCs/>
          <w:sz w:val="24"/>
          <w:szCs w:val="24"/>
        </w:rPr>
        <w:lastRenderedPageBreak/>
        <w:t xml:space="preserve">Recent reports and institutional data point to a troubling escalation in drug abuse across </w:t>
      </w:r>
      <w:r w:rsidR="000940DC" w:rsidRPr="00637892">
        <w:rPr>
          <w:rFonts w:ascii="Times New Roman" w:hAnsi="Times New Roman" w:cs="Times New Roman"/>
          <w:bCs/>
          <w:sz w:val="24"/>
          <w:szCs w:val="24"/>
        </w:rPr>
        <w:t>the country</w:t>
      </w:r>
      <w:r w:rsidRPr="00637892">
        <w:rPr>
          <w:rFonts w:ascii="Times New Roman" w:hAnsi="Times New Roman" w:cs="Times New Roman"/>
          <w:bCs/>
          <w:sz w:val="24"/>
          <w:szCs w:val="24"/>
        </w:rPr>
        <w:t>, particularly among the youth. Although comprehensive national statistics remain limited, available evidence paints a stark picture. Harare Central Psychiatric Hospital, for instance, recorded a dramatic rise in drug-related admissions</w:t>
      </w:r>
      <w:r w:rsidR="00983D9E">
        <w:rPr>
          <w:rFonts w:ascii="Times New Roman" w:hAnsi="Times New Roman" w:cs="Times New Roman"/>
          <w:bCs/>
          <w:sz w:val="24"/>
          <w:szCs w:val="24"/>
        </w:rPr>
        <w:t xml:space="preserve"> </w:t>
      </w:r>
      <w:r w:rsidRPr="00637892">
        <w:rPr>
          <w:rFonts w:ascii="Times New Roman" w:hAnsi="Times New Roman" w:cs="Times New Roman"/>
          <w:bCs/>
          <w:sz w:val="24"/>
          <w:szCs w:val="24"/>
        </w:rPr>
        <w:t>from just 150 cases in 2019 to over 825 in 2020. By 2021, the Zimbabwe Civil Liberties and Drug Network estimated that drug abuse was responsible for approximately 60% of all psychiatric hospital admissions, with young people aged between 16 and 25 accounting for nearly 80% of these cases. The Ministry of Health and Child Care also acknowledged the strain on the public health system, attributing a substantial portion of recent mental health hospitalisations directly to substance abuse</w:t>
      </w:r>
      <w:r w:rsidR="00AE1C16">
        <w:rPr>
          <w:rFonts w:ascii="Times New Roman" w:hAnsi="Times New Roman" w:cs="Times New Roman"/>
          <w:bCs/>
          <w:sz w:val="24"/>
          <w:szCs w:val="24"/>
        </w:rPr>
        <w:t>.</w:t>
      </w:r>
      <w:r w:rsidR="00AE1C16" w:rsidRPr="00AE1C16">
        <w:rPr>
          <w:rFonts w:ascii="Times New Roman" w:hAnsi="Times New Roman" w:cs="Times New Roman"/>
          <w:bCs/>
          <w:sz w:val="24"/>
          <w:szCs w:val="24"/>
        </w:rPr>
        <w:t xml:space="preserve"> See </w:t>
      </w:r>
      <w:r w:rsidR="00AE1C16" w:rsidRPr="00AE1C16">
        <w:rPr>
          <w:rFonts w:ascii="Times New Roman" w:hAnsi="Times New Roman" w:cs="Times New Roman"/>
          <w:bCs/>
          <w:i/>
          <w:iCs/>
          <w:sz w:val="24"/>
          <w:szCs w:val="24"/>
        </w:rPr>
        <w:t xml:space="preserve">Zimbabweans say drug and substance abuse is rampant, see it as a society wide challenge: </w:t>
      </w:r>
      <w:r w:rsidR="00AE1C16" w:rsidRPr="00AE1C16">
        <w:rPr>
          <w:rFonts w:ascii="Times New Roman" w:hAnsi="Times New Roman" w:cs="Times New Roman"/>
          <w:bCs/>
          <w:sz w:val="24"/>
          <w:szCs w:val="24"/>
        </w:rPr>
        <w:t xml:space="preserve">Afrobarometer Dispatch No. 939 </w:t>
      </w:r>
      <w:hyperlink r:id="rId8" w:history="1">
        <w:r w:rsidR="00AE1C16" w:rsidRPr="00AE1C16">
          <w:rPr>
            <w:rStyle w:val="Hyperlink"/>
            <w:rFonts w:ascii="Times New Roman" w:hAnsi="Times New Roman" w:cs="Times New Roman"/>
            <w:bCs/>
            <w:sz w:val="24"/>
            <w:szCs w:val="24"/>
          </w:rPr>
          <w:t>https://www.afrobarometer.org/wp-content/uploads/2025/01/AD939-Zimb</w:t>
        </w:r>
      </w:hyperlink>
      <w:r w:rsidR="00AE1C16" w:rsidRPr="00AE1C16">
        <w:rPr>
          <w:rFonts w:ascii="Times New Roman" w:hAnsi="Times New Roman" w:cs="Times New Roman"/>
          <w:bCs/>
          <w:sz w:val="24"/>
          <w:szCs w:val="24"/>
        </w:rPr>
        <w:t>.</w:t>
      </w:r>
      <w:r w:rsidR="00AE1C16">
        <w:rPr>
          <w:rFonts w:ascii="Times New Roman" w:hAnsi="Times New Roman" w:cs="Times New Roman"/>
          <w:bCs/>
          <w:sz w:val="24"/>
          <w:szCs w:val="24"/>
        </w:rPr>
        <w:t xml:space="preserve"> </w:t>
      </w:r>
      <w:r w:rsidR="00AE1C16" w:rsidRPr="00AE1C16">
        <w:rPr>
          <w:rFonts w:ascii="Times New Roman" w:hAnsi="Times New Roman" w:cs="Times New Roman"/>
          <w:bCs/>
          <w:sz w:val="24"/>
          <w:szCs w:val="24"/>
        </w:rPr>
        <w:t>Accessed on 18 August 2025.</w:t>
      </w:r>
    </w:p>
    <w:p w14:paraId="3045E9EF" w14:textId="7B5BD4A2" w:rsidR="00F23C9F" w:rsidRPr="00F23C9F" w:rsidRDefault="00F23C9F" w:rsidP="00DC7E61">
      <w:pPr>
        <w:spacing w:line="360" w:lineRule="auto"/>
        <w:ind w:firstLine="360"/>
        <w:jc w:val="both"/>
        <w:rPr>
          <w:rFonts w:ascii="Times New Roman" w:hAnsi="Times New Roman" w:cs="Times New Roman"/>
          <w:bCs/>
          <w:sz w:val="24"/>
          <w:szCs w:val="24"/>
        </w:rPr>
      </w:pPr>
      <w:r w:rsidRPr="00F23C9F">
        <w:rPr>
          <w:rFonts w:ascii="Times New Roman" w:hAnsi="Times New Roman" w:cs="Times New Roman"/>
          <w:bCs/>
          <w:sz w:val="24"/>
          <w:szCs w:val="24"/>
        </w:rPr>
        <w:t>In 2024, His Excellency President Emmerson Mnangagwa launched the Multi-Sectoral Drug and Substance Abuse Plan (2024–2030), which prioritises the strengthening of law enforcement, disruption of drug supply chains, and expansion of rehabilitation services. The Cabinet further endorsed the principles of a Drug and Substance Agency Bill, aimed at establishing a specialised institution to combat drug-related offences.</w:t>
      </w:r>
      <w:r w:rsidR="00DB554C" w:rsidRPr="00DB554C">
        <w:rPr>
          <w:rFonts w:ascii="Times New Roman" w:hAnsi="Times New Roman" w:cs="Times New Roman"/>
          <w:bCs/>
          <w:sz w:val="24"/>
          <w:szCs w:val="24"/>
        </w:rPr>
        <w:t xml:space="preserve"> </w:t>
      </w:r>
      <w:bookmarkStart w:id="1" w:name="_Hlk206686329"/>
      <w:r w:rsidR="00DB554C" w:rsidRPr="00DB554C">
        <w:rPr>
          <w:rFonts w:ascii="Times New Roman" w:hAnsi="Times New Roman" w:cs="Times New Roman"/>
          <w:bCs/>
          <w:sz w:val="24"/>
          <w:szCs w:val="24"/>
        </w:rPr>
        <w:t xml:space="preserve">See </w:t>
      </w:r>
      <w:r w:rsidR="00DB554C" w:rsidRPr="00DB554C">
        <w:rPr>
          <w:rFonts w:ascii="Times New Roman" w:hAnsi="Times New Roman" w:cs="Times New Roman"/>
          <w:bCs/>
          <w:i/>
          <w:iCs/>
          <w:sz w:val="24"/>
          <w:szCs w:val="24"/>
        </w:rPr>
        <w:t xml:space="preserve">Zimbabweans say drug and substance abuse is rampant, see it as a society wide challenge: </w:t>
      </w:r>
      <w:r w:rsidR="00DB554C" w:rsidRPr="00DB554C">
        <w:rPr>
          <w:rFonts w:ascii="Times New Roman" w:hAnsi="Times New Roman" w:cs="Times New Roman"/>
          <w:bCs/>
          <w:sz w:val="24"/>
          <w:szCs w:val="24"/>
        </w:rPr>
        <w:t xml:space="preserve">Afrobarometer Dispatch No. 939 </w:t>
      </w:r>
      <w:hyperlink r:id="rId9" w:history="1">
        <w:r w:rsidR="00DB554C" w:rsidRPr="00DB554C">
          <w:rPr>
            <w:rStyle w:val="Hyperlink"/>
            <w:rFonts w:ascii="Times New Roman" w:hAnsi="Times New Roman" w:cs="Times New Roman"/>
            <w:bCs/>
            <w:sz w:val="24"/>
            <w:szCs w:val="24"/>
          </w:rPr>
          <w:t>https://www.afrobarometer.org/wp-content/uploads/2025/01/AD939-Zimb</w:t>
        </w:r>
      </w:hyperlink>
      <w:r w:rsidR="00DB554C" w:rsidRPr="00DB554C">
        <w:rPr>
          <w:rFonts w:ascii="Times New Roman" w:hAnsi="Times New Roman" w:cs="Times New Roman"/>
          <w:bCs/>
          <w:sz w:val="24"/>
          <w:szCs w:val="24"/>
        </w:rPr>
        <w:t>. Accessed on 18 August 2025</w:t>
      </w:r>
      <w:r w:rsidR="00DB554C">
        <w:rPr>
          <w:rFonts w:ascii="Times New Roman" w:hAnsi="Times New Roman" w:cs="Times New Roman"/>
          <w:bCs/>
          <w:sz w:val="24"/>
          <w:szCs w:val="24"/>
        </w:rPr>
        <w:t>.</w:t>
      </w:r>
    </w:p>
    <w:bookmarkEnd w:id="1"/>
    <w:p w14:paraId="052C46FA" w14:textId="1761F03B" w:rsidR="00F23C9F" w:rsidRPr="00F23C9F" w:rsidRDefault="00F23C9F" w:rsidP="00DC7E61">
      <w:pPr>
        <w:spacing w:line="360" w:lineRule="auto"/>
        <w:ind w:firstLine="360"/>
        <w:jc w:val="both"/>
        <w:rPr>
          <w:rFonts w:ascii="Times New Roman" w:hAnsi="Times New Roman" w:cs="Times New Roman"/>
          <w:bCs/>
          <w:sz w:val="24"/>
          <w:szCs w:val="24"/>
        </w:rPr>
      </w:pPr>
      <w:r w:rsidRPr="00F23C9F">
        <w:rPr>
          <w:rFonts w:ascii="Times New Roman" w:hAnsi="Times New Roman" w:cs="Times New Roman"/>
          <w:bCs/>
          <w:sz w:val="24"/>
          <w:szCs w:val="24"/>
        </w:rPr>
        <w:t>Public sentiment strongly supports a punitive approach to drug crime</w:t>
      </w:r>
      <w:r w:rsidR="000D2AD6">
        <w:rPr>
          <w:rFonts w:ascii="Times New Roman" w:hAnsi="Times New Roman" w:cs="Times New Roman"/>
          <w:bCs/>
          <w:sz w:val="24"/>
          <w:szCs w:val="24"/>
        </w:rPr>
        <w:t>s</w:t>
      </w:r>
      <w:r w:rsidRPr="00F23C9F">
        <w:rPr>
          <w:rFonts w:ascii="Times New Roman" w:hAnsi="Times New Roman" w:cs="Times New Roman"/>
          <w:bCs/>
          <w:sz w:val="24"/>
          <w:szCs w:val="24"/>
        </w:rPr>
        <w:t>. According to the Afrobarometer Round 10 survey, a large majority of Zimbabweans report that drug abuse is widespread in their communities and advocate for severe penalties against offenders, alongside public education and intensified anti-trafficking efforts. Community leaders, including traditional authorities, have actively addressed the issue, and national campaigns have called upon youth to take leadership in resisting drug abuse.</w:t>
      </w:r>
      <w:r w:rsidR="00DB554C" w:rsidRPr="00DB554C">
        <w:rPr>
          <w:rFonts w:ascii="Times New Roman" w:hAnsi="Times New Roman" w:cs="Times New Roman"/>
          <w:bCs/>
          <w:sz w:val="24"/>
          <w:szCs w:val="24"/>
        </w:rPr>
        <w:t xml:space="preserve"> See </w:t>
      </w:r>
      <w:r w:rsidR="00DB554C" w:rsidRPr="00DB554C">
        <w:rPr>
          <w:rFonts w:ascii="Times New Roman" w:hAnsi="Times New Roman" w:cs="Times New Roman"/>
          <w:bCs/>
          <w:i/>
          <w:iCs/>
          <w:sz w:val="24"/>
          <w:szCs w:val="24"/>
        </w:rPr>
        <w:t xml:space="preserve">Zimbabweans say drug and substance abuse is rampant, see it as a society – wide challenge: </w:t>
      </w:r>
      <w:r w:rsidR="00DB554C" w:rsidRPr="00DB554C">
        <w:rPr>
          <w:rFonts w:ascii="Times New Roman" w:hAnsi="Times New Roman" w:cs="Times New Roman"/>
          <w:bCs/>
          <w:sz w:val="24"/>
          <w:szCs w:val="24"/>
        </w:rPr>
        <w:t xml:space="preserve">Afrobarometer Dispatch No. 939 </w:t>
      </w:r>
      <w:hyperlink r:id="rId10" w:history="1">
        <w:r w:rsidR="00DB554C" w:rsidRPr="00DB554C">
          <w:rPr>
            <w:rStyle w:val="Hyperlink"/>
            <w:rFonts w:ascii="Times New Roman" w:hAnsi="Times New Roman" w:cs="Times New Roman"/>
            <w:bCs/>
            <w:sz w:val="24"/>
            <w:szCs w:val="24"/>
          </w:rPr>
          <w:t>https://www.afrobarometer.org/wp-content/uploads/2025/01/AD939-Zimb</w:t>
        </w:r>
      </w:hyperlink>
      <w:r w:rsidR="00DB554C" w:rsidRPr="00DB554C">
        <w:rPr>
          <w:rFonts w:ascii="Times New Roman" w:hAnsi="Times New Roman" w:cs="Times New Roman"/>
          <w:bCs/>
          <w:sz w:val="24"/>
          <w:szCs w:val="24"/>
        </w:rPr>
        <w:t>. Accessed on 18 August 2025</w:t>
      </w:r>
      <w:r w:rsidR="00DB554C">
        <w:rPr>
          <w:rFonts w:ascii="Times New Roman" w:hAnsi="Times New Roman" w:cs="Times New Roman"/>
          <w:bCs/>
          <w:sz w:val="24"/>
          <w:szCs w:val="24"/>
        </w:rPr>
        <w:t>.</w:t>
      </w:r>
    </w:p>
    <w:p w14:paraId="634972D5" w14:textId="46DE33D3" w:rsidR="00B42AB8" w:rsidRPr="00B42AB8" w:rsidRDefault="00B42AB8" w:rsidP="00DC7E61">
      <w:pPr>
        <w:spacing w:line="360" w:lineRule="auto"/>
        <w:ind w:firstLine="360"/>
        <w:jc w:val="both"/>
        <w:rPr>
          <w:rFonts w:ascii="Times New Roman" w:hAnsi="Times New Roman" w:cs="Times New Roman"/>
          <w:bCs/>
          <w:sz w:val="24"/>
          <w:szCs w:val="24"/>
        </w:rPr>
      </w:pPr>
      <w:r w:rsidRPr="00B42AB8">
        <w:rPr>
          <w:rFonts w:ascii="Times New Roman" w:hAnsi="Times New Roman" w:cs="Times New Roman"/>
          <w:bCs/>
          <w:sz w:val="24"/>
          <w:szCs w:val="24"/>
        </w:rPr>
        <w:t>The</w:t>
      </w:r>
      <w:r w:rsidR="007C2B3B">
        <w:rPr>
          <w:rFonts w:ascii="Times New Roman" w:hAnsi="Times New Roman" w:cs="Times New Roman"/>
          <w:bCs/>
          <w:sz w:val="24"/>
          <w:szCs w:val="24"/>
        </w:rPr>
        <w:t xml:space="preserve"> above</w:t>
      </w:r>
      <w:r w:rsidRPr="00B42AB8">
        <w:rPr>
          <w:rFonts w:ascii="Times New Roman" w:hAnsi="Times New Roman" w:cs="Times New Roman"/>
          <w:bCs/>
          <w:sz w:val="24"/>
          <w:szCs w:val="24"/>
        </w:rPr>
        <w:t xml:space="preserve"> developments underscore a clear and unified stance from both the government and the broader public: drug-related offences pose a significant threat to societal well-being and must be addressed through firm and principled judicial responses. The conduct of the </w:t>
      </w:r>
      <w:r w:rsidRPr="00B42AB8">
        <w:rPr>
          <w:rFonts w:ascii="Times New Roman" w:hAnsi="Times New Roman" w:cs="Times New Roman"/>
          <w:bCs/>
          <w:sz w:val="24"/>
          <w:szCs w:val="24"/>
        </w:rPr>
        <w:lastRenderedPageBreak/>
        <w:t>accused</w:t>
      </w:r>
      <w:r>
        <w:rPr>
          <w:rFonts w:ascii="Times New Roman" w:hAnsi="Times New Roman" w:cs="Times New Roman"/>
          <w:bCs/>
          <w:sz w:val="24"/>
          <w:szCs w:val="24"/>
        </w:rPr>
        <w:t xml:space="preserve"> of </w:t>
      </w:r>
      <w:r w:rsidRPr="00B42AB8">
        <w:rPr>
          <w:rFonts w:ascii="Times New Roman" w:hAnsi="Times New Roman" w:cs="Times New Roman"/>
          <w:bCs/>
          <w:sz w:val="24"/>
          <w:szCs w:val="24"/>
        </w:rPr>
        <w:t>being found in possession of nearly a kilogram of dagga in a public space</w:t>
      </w:r>
      <w:r>
        <w:rPr>
          <w:rFonts w:ascii="Times New Roman" w:hAnsi="Times New Roman" w:cs="Times New Roman"/>
          <w:bCs/>
          <w:sz w:val="24"/>
          <w:szCs w:val="24"/>
        </w:rPr>
        <w:t xml:space="preserve"> </w:t>
      </w:r>
      <w:r w:rsidRPr="00B42AB8">
        <w:rPr>
          <w:rFonts w:ascii="Times New Roman" w:hAnsi="Times New Roman" w:cs="Times New Roman"/>
          <w:bCs/>
          <w:sz w:val="24"/>
          <w:szCs w:val="24"/>
        </w:rPr>
        <w:t>must be regarded as a serious affront to public health and safety. Her actions are not only prejudicial to the community but also undermine ongoing efforts to combat the scourge of substance abuse, which continues to devastate families and communities, particularly among the youth.</w:t>
      </w:r>
      <w:r>
        <w:rPr>
          <w:rFonts w:ascii="Times New Roman" w:hAnsi="Times New Roman" w:cs="Times New Roman"/>
          <w:bCs/>
          <w:sz w:val="24"/>
          <w:szCs w:val="24"/>
        </w:rPr>
        <w:t xml:space="preserve"> </w:t>
      </w:r>
      <w:r w:rsidRPr="00B42AB8">
        <w:rPr>
          <w:rFonts w:ascii="Times New Roman" w:hAnsi="Times New Roman" w:cs="Times New Roman"/>
          <w:bCs/>
          <w:sz w:val="24"/>
          <w:szCs w:val="24"/>
        </w:rPr>
        <w:t>The explanation offered by the accused for her possession of the dagga was unconvincing and lacked credibility. She claimed to have received the drugs for safekeeping from an unnamed individual, yet failed to provide any further details or justification. Such a vague and unsupported account does little to mitigate the seriousness of the offence and suggests a lack of genuine remorse or accountability.</w:t>
      </w:r>
    </w:p>
    <w:p w14:paraId="13C74613" w14:textId="38ADC3C2" w:rsidR="00B42AB8" w:rsidRPr="00B42AB8" w:rsidRDefault="00B42AB8" w:rsidP="00DC7E61">
      <w:pPr>
        <w:spacing w:line="360" w:lineRule="auto"/>
        <w:ind w:firstLine="360"/>
        <w:jc w:val="both"/>
        <w:rPr>
          <w:rFonts w:ascii="Times New Roman" w:hAnsi="Times New Roman" w:cs="Times New Roman"/>
          <w:bCs/>
          <w:sz w:val="24"/>
          <w:szCs w:val="24"/>
        </w:rPr>
      </w:pPr>
      <w:r w:rsidRPr="00B42AB8">
        <w:rPr>
          <w:rFonts w:ascii="Times New Roman" w:hAnsi="Times New Roman" w:cs="Times New Roman"/>
          <w:bCs/>
          <w:sz w:val="24"/>
          <w:szCs w:val="24"/>
        </w:rPr>
        <w:t>Moreover, it is troubling that the accused, who resides in Highfields, was found in possession of the drugs at Madokero Mall</w:t>
      </w:r>
      <w:r>
        <w:rPr>
          <w:rFonts w:ascii="Times New Roman" w:hAnsi="Times New Roman" w:cs="Times New Roman"/>
          <w:bCs/>
          <w:sz w:val="24"/>
          <w:szCs w:val="24"/>
        </w:rPr>
        <w:t xml:space="preserve">, </w:t>
      </w:r>
      <w:r w:rsidRPr="00B42AB8">
        <w:rPr>
          <w:rFonts w:ascii="Times New Roman" w:hAnsi="Times New Roman" w:cs="Times New Roman"/>
          <w:bCs/>
          <w:sz w:val="24"/>
          <w:szCs w:val="24"/>
        </w:rPr>
        <w:t>a location significantly distant from her home. This raises legitimate concerns about the nature and intent of her activities, and whether her presence at the mall was part of a broader pattern of drug distribution or engagement with illicit networks.</w:t>
      </w:r>
    </w:p>
    <w:p w14:paraId="5ED80192" w14:textId="77777777" w:rsidR="00B42AB8" w:rsidRPr="00B42AB8" w:rsidRDefault="00B42AB8" w:rsidP="00DC7E61">
      <w:pPr>
        <w:spacing w:line="360" w:lineRule="auto"/>
        <w:ind w:firstLine="360"/>
        <w:jc w:val="both"/>
        <w:rPr>
          <w:rFonts w:ascii="Times New Roman" w:hAnsi="Times New Roman" w:cs="Times New Roman"/>
          <w:bCs/>
          <w:sz w:val="24"/>
          <w:szCs w:val="24"/>
        </w:rPr>
      </w:pPr>
      <w:r w:rsidRPr="00B42AB8">
        <w:rPr>
          <w:rFonts w:ascii="Times New Roman" w:hAnsi="Times New Roman" w:cs="Times New Roman"/>
          <w:bCs/>
          <w:sz w:val="24"/>
          <w:szCs w:val="24"/>
        </w:rPr>
        <w:t>In light of the national policy direction, which prioritizes the fight against drug abuse, and given the public’s legitimate expectation for the courts to play a meaningful role in deterring such conduct, the need for a robust sentencing approach cannot be overstated. Drug abuse has far-reaching consequences, particularly for young people, and the judiciary must respond in a manner that both denounces the offence and deters future violations. Regrettably, the sentence imposed by the trial magistrate in this case falls short of these objectives and does not adequately reflect the gravity of the offence or the broader societal interests at stake.</w:t>
      </w:r>
    </w:p>
    <w:p w14:paraId="173110B2" w14:textId="6AC27498" w:rsidR="00D63DA7" w:rsidRDefault="00D63DA7" w:rsidP="00DC7E61">
      <w:pPr>
        <w:spacing w:line="360" w:lineRule="auto"/>
        <w:ind w:firstLine="360"/>
        <w:jc w:val="both"/>
        <w:rPr>
          <w:rFonts w:ascii="Times New Roman" w:hAnsi="Times New Roman" w:cs="Times New Roman"/>
          <w:bCs/>
          <w:sz w:val="24"/>
          <w:szCs w:val="24"/>
        </w:rPr>
      </w:pPr>
      <w:r w:rsidRPr="00D63DA7">
        <w:rPr>
          <w:rFonts w:ascii="Times New Roman" w:hAnsi="Times New Roman" w:cs="Times New Roman"/>
          <w:bCs/>
          <w:sz w:val="24"/>
          <w:szCs w:val="24"/>
        </w:rPr>
        <w:t>While the accused’s guilty plea, expression of remorse, and personal circumstances</w:t>
      </w:r>
      <w:r w:rsidR="00424229">
        <w:rPr>
          <w:rFonts w:ascii="Times New Roman" w:hAnsi="Times New Roman" w:cs="Times New Roman"/>
          <w:bCs/>
          <w:sz w:val="24"/>
          <w:szCs w:val="24"/>
        </w:rPr>
        <w:t xml:space="preserve"> that </w:t>
      </w:r>
      <w:r w:rsidRPr="00D63DA7">
        <w:rPr>
          <w:rFonts w:ascii="Times New Roman" w:hAnsi="Times New Roman" w:cs="Times New Roman"/>
          <w:bCs/>
          <w:sz w:val="24"/>
          <w:szCs w:val="24"/>
        </w:rPr>
        <w:t>includ</w:t>
      </w:r>
      <w:r w:rsidR="00424229">
        <w:rPr>
          <w:rFonts w:ascii="Times New Roman" w:hAnsi="Times New Roman" w:cs="Times New Roman"/>
          <w:bCs/>
          <w:sz w:val="24"/>
          <w:szCs w:val="24"/>
        </w:rPr>
        <w:t>e</w:t>
      </w:r>
      <w:r w:rsidRPr="00D63DA7">
        <w:rPr>
          <w:rFonts w:ascii="Times New Roman" w:hAnsi="Times New Roman" w:cs="Times New Roman"/>
          <w:bCs/>
          <w:sz w:val="24"/>
          <w:szCs w:val="24"/>
        </w:rPr>
        <w:t xml:space="preserve"> her status as a single mother of four children and her gender</w:t>
      </w:r>
      <w:r w:rsidR="00424229">
        <w:rPr>
          <w:rFonts w:ascii="Times New Roman" w:hAnsi="Times New Roman" w:cs="Times New Roman"/>
          <w:bCs/>
          <w:sz w:val="24"/>
          <w:szCs w:val="24"/>
        </w:rPr>
        <w:t xml:space="preserve"> </w:t>
      </w:r>
      <w:r w:rsidRPr="00D63DA7">
        <w:rPr>
          <w:rFonts w:ascii="Times New Roman" w:hAnsi="Times New Roman" w:cs="Times New Roman"/>
          <w:bCs/>
          <w:sz w:val="24"/>
          <w:szCs w:val="24"/>
        </w:rPr>
        <w:t>are valid mitigating factors deserving of judicial consideration, they do not outweigh the seriousness of the offence committed. The possession of nearly a kilogram of dagga in a public space is not a trivial infraction</w:t>
      </w:r>
      <w:r w:rsidR="00424229">
        <w:rPr>
          <w:rFonts w:ascii="Times New Roman" w:hAnsi="Times New Roman" w:cs="Times New Roman"/>
          <w:bCs/>
          <w:sz w:val="24"/>
          <w:szCs w:val="24"/>
        </w:rPr>
        <w:t>.</w:t>
      </w:r>
      <w:r w:rsidRPr="00D63DA7">
        <w:rPr>
          <w:rFonts w:ascii="Times New Roman" w:hAnsi="Times New Roman" w:cs="Times New Roman"/>
          <w:bCs/>
          <w:sz w:val="24"/>
          <w:szCs w:val="24"/>
        </w:rPr>
        <w:t xml:space="preserve"> The guidelines prescribe a presumptive penalty of three years’ imprisonment in such cases.</w:t>
      </w:r>
      <w:r w:rsidR="00424229">
        <w:rPr>
          <w:rFonts w:ascii="Times New Roman" w:hAnsi="Times New Roman" w:cs="Times New Roman"/>
          <w:bCs/>
          <w:sz w:val="24"/>
          <w:szCs w:val="24"/>
        </w:rPr>
        <w:t xml:space="preserve"> </w:t>
      </w:r>
      <w:r w:rsidRPr="00D63DA7">
        <w:rPr>
          <w:rFonts w:ascii="Times New Roman" w:hAnsi="Times New Roman" w:cs="Times New Roman"/>
          <w:bCs/>
          <w:sz w:val="24"/>
          <w:szCs w:val="24"/>
        </w:rPr>
        <w:t xml:space="preserve">The public nature of the offence, committed at Madokero Mall, heightens its impact. It exposes members of the community, including vulnerable groups, to the dangers of drug circulation and undermines public safety. Moreover, the accused’s explanation for her possession of the dagga was vague and unsubstantiated, suggesting a lack of accountability. </w:t>
      </w:r>
    </w:p>
    <w:p w14:paraId="1C56E092" w14:textId="21B5C0D1" w:rsidR="00843511" w:rsidRDefault="00843511" w:rsidP="00DC7E61">
      <w:pPr>
        <w:spacing w:line="360" w:lineRule="auto"/>
        <w:ind w:firstLine="360"/>
        <w:jc w:val="both"/>
        <w:rPr>
          <w:rFonts w:ascii="Times New Roman" w:hAnsi="Times New Roman" w:cs="Times New Roman"/>
          <w:bCs/>
          <w:sz w:val="24"/>
          <w:szCs w:val="24"/>
        </w:rPr>
      </w:pPr>
      <w:r w:rsidRPr="00843511">
        <w:rPr>
          <w:rFonts w:ascii="Times New Roman" w:hAnsi="Times New Roman" w:cs="Times New Roman"/>
          <w:bCs/>
          <w:sz w:val="24"/>
          <w:szCs w:val="24"/>
        </w:rPr>
        <w:t xml:space="preserve">In </w:t>
      </w:r>
      <w:r w:rsidRPr="00843511">
        <w:rPr>
          <w:rFonts w:ascii="Times New Roman" w:hAnsi="Times New Roman" w:cs="Times New Roman"/>
          <w:bCs/>
          <w:i/>
          <w:iCs/>
          <w:sz w:val="24"/>
          <w:szCs w:val="24"/>
        </w:rPr>
        <w:t>S v Dube Sixpence HH 77-03</w:t>
      </w:r>
      <w:r w:rsidRPr="00843511">
        <w:rPr>
          <w:rFonts w:ascii="Times New Roman" w:hAnsi="Times New Roman" w:cs="Times New Roman"/>
          <w:bCs/>
          <w:sz w:val="24"/>
          <w:szCs w:val="24"/>
        </w:rPr>
        <w:t xml:space="preserve">, the court </w:t>
      </w:r>
      <w:r w:rsidR="007C2B3B">
        <w:rPr>
          <w:rFonts w:ascii="Times New Roman" w:hAnsi="Times New Roman" w:cs="Times New Roman"/>
          <w:bCs/>
          <w:sz w:val="24"/>
          <w:szCs w:val="24"/>
        </w:rPr>
        <w:t>stated emphatically</w:t>
      </w:r>
      <w:r w:rsidRPr="00843511">
        <w:rPr>
          <w:rFonts w:ascii="Times New Roman" w:hAnsi="Times New Roman" w:cs="Times New Roman"/>
          <w:bCs/>
          <w:sz w:val="24"/>
          <w:szCs w:val="24"/>
        </w:rPr>
        <w:t xml:space="preserve"> that possession of substantial quantities of dagga warrants a custodial sentence, even in the absence of direct evidence of </w:t>
      </w:r>
      <w:r w:rsidRPr="00843511">
        <w:rPr>
          <w:rFonts w:ascii="Times New Roman" w:hAnsi="Times New Roman" w:cs="Times New Roman"/>
          <w:bCs/>
          <w:sz w:val="24"/>
          <w:szCs w:val="24"/>
        </w:rPr>
        <w:lastRenderedPageBreak/>
        <w:t xml:space="preserve">intent to supply. The court emphasized that the larger the quantity, the stronger the inference of commercial intent, noting that the temptation to distribute is inherently present when an individual is found in possession of large amounts of a mind-altering and habit-forming substance such as dagga. The court underscored the importance of discouraging drug use, particularly given its harmful impact on youth and the broader community. </w:t>
      </w:r>
    </w:p>
    <w:p w14:paraId="7128E815" w14:textId="233A4653" w:rsidR="00843511" w:rsidRPr="00B8301C" w:rsidRDefault="00B8301C" w:rsidP="00DC7E61">
      <w:pPr>
        <w:spacing w:line="360" w:lineRule="auto"/>
        <w:ind w:firstLine="360"/>
        <w:jc w:val="both"/>
        <w:rPr>
          <w:rFonts w:ascii="Times New Roman" w:hAnsi="Times New Roman" w:cs="Times New Roman"/>
          <w:bCs/>
          <w:sz w:val="24"/>
          <w:szCs w:val="24"/>
        </w:rPr>
      </w:pPr>
      <w:r w:rsidRPr="00B8301C">
        <w:rPr>
          <w:rFonts w:ascii="Times New Roman" w:hAnsi="Times New Roman" w:cs="Times New Roman"/>
          <w:bCs/>
          <w:sz w:val="24"/>
          <w:szCs w:val="24"/>
        </w:rPr>
        <w:t xml:space="preserve">In </w:t>
      </w:r>
      <w:r w:rsidR="008916C9" w:rsidRPr="008916C9">
        <w:rPr>
          <w:rFonts w:ascii="Times New Roman" w:hAnsi="Times New Roman" w:cs="Times New Roman"/>
          <w:bCs/>
          <w:i/>
          <w:iCs/>
          <w:sz w:val="24"/>
          <w:szCs w:val="24"/>
        </w:rPr>
        <w:t>Attorney-General v Sibanda and Others</w:t>
      </w:r>
      <w:r w:rsidR="008916C9">
        <w:rPr>
          <w:rFonts w:ascii="Times New Roman" w:hAnsi="Times New Roman" w:cs="Times New Roman"/>
          <w:bCs/>
          <w:i/>
          <w:iCs/>
          <w:sz w:val="24"/>
          <w:szCs w:val="24"/>
        </w:rPr>
        <w:t xml:space="preserve"> </w:t>
      </w:r>
      <w:r w:rsidRPr="00B8301C">
        <w:rPr>
          <w:rFonts w:ascii="Times New Roman" w:hAnsi="Times New Roman" w:cs="Times New Roman"/>
          <w:sz w:val="24"/>
          <w:szCs w:val="24"/>
        </w:rPr>
        <w:t>HH 594/99</w:t>
      </w:r>
      <w:r w:rsidRPr="00B8301C">
        <w:rPr>
          <w:rFonts w:ascii="Times New Roman" w:hAnsi="Times New Roman" w:cs="Times New Roman"/>
          <w:bCs/>
          <w:sz w:val="24"/>
          <w:szCs w:val="24"/>
        </w:rPr>
        <w:t>, the court emphasized that even first-time female offenders with children are not immune from custodial sentences when found in possession of large quantities of drugs intended for resale. The court held that a sentence of 2½ years imprisonment with half suspended would have been appropriate for possession of 5.05 kg</w:t>
      </w:r>
      <w:r>
        <w:rPr>
          <w:rFonts w:ascii="Times New Roman" w:hAnsi="Times New Roman" w:cs="Times New Roman"/>
          <w:bCs/>
          <w:sz w:val="24"/>
          <w:szCs w:val="24"/>
        </w:rPr>
        <w:t>s to 10 kgs</w:t>
      </w:r>
      <w:r w:rsidRPr="00B8301C">
        <w:rPr>
          <w:rFonts w:ascii="Times New Roman" w:hAnsi="Times New Roman" w:cs="Times New Roman"/>
          <w:bCs/>
          <w:sz w:val="24"/>
          <w:szCs w:val="24"/>
        </w:rPr>
        <w:t xml:space="preserve"> of dagga</w:t>
      </w:r>
      <w:r>
        <w:rPr>
          <w:rFonts w:ascii="Times New Roman" w:hAnsi="Times New Roman" w:cs="Times New Roman"/>
          <w:bCs/>
          <w:sz w:val="24"/>
          <w:szCs w:val="24"/>
        </w:rPr>
        <w:t xml:space="preserve"> meant for resale</w:t>
      </w:r>
      <w:r w:rsidRPr="00B8301C">
        <w:rPr>
          <w:rFonts w:ascii="Times New Roman" w:hAnsi="Times New Roman" w:cs="Times New Roman"/>
          <w:bCs/>
          <w:sz w:val="24"/>
          <w:szCs w:val="24"/>
        </w:rPr>
        <w:t>, underscoring the seriousness of such offences.</w:t>
      </w:r>
      <w:r w:rsidRPr="00B8301C">
        <w:t xml:space="preserve"> </w:t>
      </w:r>
      <w:r w:rsidRPr="00B8301C">
        <w:rPr>
          <w:rFonts w:ascii="Times New Roman" w:hAnsi="Times New Roman" w:cs="Times New Roman"/>
          <w:bCs/>
          <w:sz w:val="24"/>
          <w:szCs w:val="24"/>
        </w:rPr>
        <w:t xml:space="preserve">Notably, the respondents in that case </w:t>
      </w:r>
      <w:r w:rsidRPr="005A2016">
        <w:rPr>
          <w:rFonts w:ascii="Times New Roman" w:hAnsi="Times New Roman" w:cs="Times New Roman"/>
          <w:bCs/>
          <w:sz w:val="24"/>
          <w:szCs w:val="24"/>
        </w:rPr>
        <w:t>were female, unemployed, first offenders with children, yet the court still found the original sentences appealed against by the Attorney General too lenient.</w:t>
      </w:r>
      <w:r w:rsidR="005A2016" w:rsidRPr="005A2016">
        <w:rPr>
          <w:bCs/>
        </w:rPr>
        <w:t xml:space="preserve"> </w:t>
      </w:r>
      <w:r w:rsidR="005A2016" w:rsidRPr="005A2016">
        <w:rPr>
          <w:rFonts w:ascii="Times New Roman" w:hAnsi="Times New Roman" w:cs="Times New Roman"/>
          <w:bCs/>
          <w:sz w:val="24"/>
          <w:szCs w:val="24"/>
        </w:rPr>
        <w:t>The court drew a clear distinction between trivial possession and serious cases involving large quantities or intent to supply, stating that in such aggravated circumstances, courts have not hesitated to impose substantial custodial sentences, even on first offenders.</w:t>
      </w:r>
    </w:p>
    <w:p w14:paraId="3F5F6A07" w14:textId="064233EE" w:rsidR="00DE0184" w:rsidRPr="00DE0184" w:rsidRDefault="00DE0184" w:rsidP="00DC7E61">
      <w:pPr>
        <w:spacing w:line="360" w:lineRule="auto"/>
        <w:ind w:firstLine="360"/>
        <w:jc w:val="both"/>
        <w:rPr>
          <w:rFonts w:ascii="Times New Roman" w:hAnsi="Times New Roman" w:cs="Times New Roman"/>
          <w:bCs/>
          <w:sz w:val="24"/>
          <w:szCs w:val="24"/>
        </w:rPr>
      </w:pPr>
      <w:r w:rsidRPr="00DE0184">
        <w:rPr>
          <w:rFonts w:ascii="Times New Roman" w:hAnsi="Times New Roman" w:cs="Times New Roman"/>
          <w:bCs/>
          <w:sz w:val="24"/>
          <w:szCs w:val="24"/>
        </w:rPr>
        <w:t xml:space="preserve">While in </w:t>
      </w:r>
      <w:r>
        <w:rPr>
          <w:rFonts w:ascii="Times New Roman" w:hAnsi="Times New Roman" w:cs="Times New Roman"/>
          <w:bCs/>
          <w:sz w:val="24"/>
          <w:szCs w:val="24"/>
        </w:rPr>
        <w:t xml:space="preserve">the </w:t>
      </w:r>
      <w:r w:rsidRPr="00DE0184">
        <w:rPr>
          <w:rFonts w:ascii="Times New Roman" w:hAnsi="Times New Roman" w:cs="Times New Roman"/>
          <w:bCs/>
          <w:i/>
          <w:iCs/>
          <w:sz w:val="24"/>
          <w:szCs w:val="24"/>
        </w:rPr>
        <w:t>Sibanda</w:t>
      </w:r>
      <w:r w:rsidRPr="00DE0184">
        <w:rPr>
          <w:rFonts w:ascii="Times New Roman" w:hAnsi="Times New Roman" w:cs="Times New Roman"/>
          <w:bCs/>
          <w:sz w:val="24"/>
          <w:szCs w:val="24"/>
        </w:rPr>
        <w:t xml:space="preserve"> </w:t>
      </w:r>
      <w:r>
        <w:rPr>
          <w:rFonts w:ascii="Times New Roman" w:hAnsi="Times New Roman" w:cs="Times New Roman"/>
          <w:bCs/>
          <w:sz w:val="24"/>
          <w:szCs w:val="24"/>
        </w:rPr>
        <w:t xml:space="preserve">case it was </w:t>
      </w:r>
      <w:r w:rsidRPr="00DE0184">
        <w:rPr>
          <w:rFonts w:ascii="Times New Roman" w:hAnsi="Times New Roman" w:cs="Times New Roman"/>
          <w:bCs/>
          <w:sz w:val="24"/>
          <w:szCs w:val="24"/>
        </w:rPr>
        <w:t>held that a sentence of 2½ years’ imprisonment with half suspended would have been appropriate for possession of between 5.05 kg</w:t>
      </w:r>
      <w:r>
        <w:rPr>
          <w:rFonts w:ascii="Times New Roman" w:hAnsi="Times New Roman" w:cs="Times New Roman"/>
          <w:bCs/>
          <w:sz w:val="24"/>
          <w:szCs w:val="24"/>
        </w:rPr>
        <w:t>s</w:t>
      </w:r>
      <w:r w:rsidRPr="00DE0184">
        <w:rPr>
          <w:rFonts w:ascii="Times New Roman" w:hAnsi="Times New Roman" w:cs="Times New Roman"/>
          <w:bCs/>
          <w:sz w:val="24"/>
          <w:szCs w:val="24"/>
        </w:rPr>
        <w:t xml:space="preserve"> and 10 kg</w:t>
      </w:r>
      <w:r>
        <w:rPr>
          <w:rFonts w:ascii="Times New Roman" w:hAnsi="Times New Roman" w:cs="Times New Roman"/>
          <w:bCs/>
          <w:sz w:val="24"/>
          <w:szCs w:val="24"/>
        </w:rPr>
        <w:t>s</w:t>
      </w:r>
      <w:r w:rsidRPr="00DE0184">
        <w:rPr>
          <w:rFonts w:ascii="Times New Roman" w:hAnsi="Times New Roman" w:cs="Times New Roman"/>
          <w:bCs/>
          <w:sz w:val="24"/>
          <w:szCs w:val="24"/>
        </w:rPr>
        <w:t xml:space="preserve"> of dagga, it is important to recognize that sentencing standards have since evolved. With the enactment of the 2023 Sentencing Guidelines under Statutory Instrument 146 of 2023, the penalties for drug-related offences have become significantly more stringent. For possession of large quantities of dangerous drugs, the guidelines now prescribe a presumptive penalty of three years’ imprisonment, reflecting a firmer judicial stance on drug-related crime.</w:t>
      </w:r>
    </w:p>
    <w:p w14:paraId="4A735803" w14:textId="3D4C2F45" w:rsidR="00DE0184" w:rsidRDefault="00DE0184" w:rsidP="00DC7E61">
      <w:pPr>
        <w:spacing w:line="360" w:lineRule="auto"/>
        <w:ind w:firstLine="360"/>
        <w:jc w:val="both"/>
        <w:rPr>
          <w:rFonts w:ascii="Times New Roman" w:hAnsi="Times New Roman" w:cs="Times New Roman"/>
          <w:bCs/>
          <w:sz w:val="24"/>
          <w:szCs w:val="24"/>
        </w:rPr>
      </w:pPr>
      <w:r w:rsidRPr="00DE0184">
        <w:rPr>
          <w:rFonts w:ascii="Times New Roman" w:hAnsi="Times New Roman" w:cs="Times New Roman"/>
          <w:bCs/>
          <w:sz w:val="24"/>
          <w:szCs w:val="24"/>
        </w:rPr>
        <w:t>Accordingly, where the quantity of drugs is deemed substantial, the starting point for sentencing is three years</w:t>
      </w:r>
      <w:r w:rsidR="00527949">
        <w:rPr>
          <w:rFonts w:ascii="Times New Roman" w:hAnsi="Times New Roman" w:cs="Times New Roman"/>
          <w:bCs/>
          <w:sz w:val="24"/>
          <w:szCs w:val="24"/>
        </w:rPr>
        <w:t>’ imprisonment</w:t>
      </w:r>
      <w:r w:rsidRPr="00DE0184">
        <w:rPr>
          <w:rFonts w:ascii="Times New Roman" w:hAnsi="Times New Roman" w:cs="Times New Roman"/>
          <w:bCs/>
          <w:sz w:val="24"/>
          <w:szCs w:val="24"/>
        </w:rPr>
        <w:t xml:space="preserve">. </w:t>
      </w:r>
      <w:r w:rsidR="00BF58B6">
        <w:rPr>
          <w:rFonts w:ascii="Times New Roman" w:hAnsi="Times New Roman" w:cs="Times New Roman"/>
          <w:bCs/>
          <w:sz w:val="24"/>
          <w:szCs w:val="24"/>
        </w:rPr>
        <w:t>A</w:t>
      </w:r>
      <w:r w:rsidRPr="00DE0184">
        <w:rPr>
          <w:rFonts w:ascii="Times New Roman" w:hAnsi="Times New Roman" w:cs="Times New Roman"/>
          <w:bCs/>
          <w:sz w:val="24"/>
          <w:szCs w:val="24"/>
        </w:rPr>
        <w:t>ny departure from the presumptive penalty must be clearly articulated and well justified in the sentencing judgment. This ensures consistency, transparency, and alignment with the national policy objective of combating drug abuse.</w:t>
      </w:r>
    </w:p>
    <w:p w14:paraId="2C45AA0B" w14:textId="1DBC222F" w:rsidR="00CE63CC" w:rsidRDefault="00A46C38" w:rsidP="00DC7E61">
      <w:pPr>
        <w:spacing w:line="360" w:lineRule="auto"/>
        <w:ind w:firstLine="360"/>
        <w:jc w:val="both"/>
        <w:rPr>
          <w:rFonts w:ascii="Times New Roman" w:hAnsi="Times New Roman" w:cs="Times New Roman"/>
          <w:bCs/>
          <w:sz w:val="24"/>
          <w:szCs w:val="24"/>
        </w:rPr>
      </w:pPr>
      <w:r w:rsidRPr="00886365">
        <w:rPr>
          <w:rFonts w:ascii="Times New Roman" w:hAnsi="Times New Roman" w:cs="Times New Roman"/>
          <w:sz w:val="24"/>
          <w:szCs w:val="24"/>
        </w:rPr>
        <w:t xml:space="preserve">The question is </w:t>
      </w:r>
      <w:r w:rsidR="00886365" w:rsidRPr="00886365">
        <w:rPr>
          <w:rFonts w:ascii="Times New Roman" w:hAnsi="Times New Roman" w:cs="Times New Roman"/>
          <w:sz w:val="24"/>
          <w:szCs w:val="24"/>
        </w:rPr>
        <w:t>w</w:t>
      </w:r>
      <w:r w:rsidR="00BF58B6" w:rsidRPr="00BF58B6">
        <w:rPr>
          <w:rFonts w:ascii="Times New Roman" w:hAnsi="Times New Roman" w:cs="Times New Roman"/>
          <w:sz w:val="24"/>
          <w:szCs w:val="24"/>
        </w:rPr>
        <w:t>hat counts as a “large quantity”?</w:t>
      </w:r>
      <w:r w:rsidR="00BF58B6" w:rsidRPr="00BF58B6">
        <w:rPr>
          <w:rFonts w:ascii="Times New Roman" w:hAnsi="Times New Roman" w:cs="Times New Roman"/>
          <w:bCs/>
          <w:sz w:val="24"/>
          <w:szCs w:val="24"/>
        </w:rPr>
        <w:t xml:space="preserve"> The guidelines under Statutory Instrument</w:t>
      </w:r>
      <w:r w:rsidR="00BF58B6" w:rsidRPr="00BF58B6">
        <w:rPr>
          <w:rFonts w:ascii="Times New Roman" w:hAnsi="Times New Roman" w:cs="Times New Roman"/>
          <w:bCs/>
          <w:i/>
          <w:iCs/>
          <w:sz w:val="24"/>
          <w:szCs w:val="24"/>
        </w:rPr>
        <w:t xml:space="preserve"> </w:t>
      </w:r>
      <w:r w:rsidR="00BF58B6" w:rsidRPr="00C92BD0">
        <w:rPr>
          <w:rFonts w:ascii="Times New Roman" w:hAnsi="Times New Roman" w:cs="Times New Roman"/>
          <w:bCs/>
          <w:sz w:val="24"/>
          <w:szCs w:val="24"/>
        </w:rPr>
        <w:t>146 of 2023</w:t>
      </w:r>
      <w:r w:rsidR="00BF58B6" w:rsidRPr="00BF58B6">
        <w:rPr>
          <w:rFonts w:ascii="Times New Roman" w:hAnsi="Times New Roman" w:cs="Times New Roman"/>
          <w:bCs/>
          <w:sz w:val="24"/>
          <w:szCs w:val="24"/>
        </w:rPr>
        <w:t xml:space="preserve"> do</w:t>
      </w:r>
      <w:r w:rsidR="00886365">
        <w:rPr>
          <w:rFonts w:ascii="Times New Roman" w:hAnsi="Times New Roman" w:cs="Times New Roman"/>
          <w:bCs/>
          <w:sz w:val="24"/>
          <w:szCs w:val="24"/>
        </w:rPr>
        <w:t xml:space="preserve"> </w:t>
      </w:r>
      <w:r w:rsidR="00BF58B6" w:rsidRPr="00BF58B6">
        <w:rPr>
          <w:rFonts w:ascii="Times New Roman" w:hAnsi="Times New Roman" w:cs="Times New Roman"/>
          <w:bCs/>
          <w:sz w:val="24"/>
          <w:szCs w:val="24"/>
        </w:rPr>
        <w:t>n</w:t>
      </w:r>
      <w:r w:rsidR="00886365">
        <w:rPr>
          <w:rFonts w:ascii="Times New Roman" w:hAnsi="Times New Roman" w:cs="Times New Roman"/>
          <w:bCs/>
          <w:sz w:val="24"/>
          <w:szCs w:val="24"/>
        </w:rPr>
        <w:t>o</w:t>
      </w:r>
      <w:r w:rsidR="00BF58B6" w:rsidRPr="00BF58B6">
        <w:rPr>
          <w:rFonts w:ascii="Times New Roman" w:hAnsi="Times New Roman" w:cs="Times New Roman"/>
          <w:bCs/>
          <w:sz w:val="24"/>
          <w:szCs w:val="24"/>
        </w:rPr>
        <w:t>t give a fixed numerical definition of “large quantity” for every drug. Instead, they leave it to judicial interpretation</w:t>
      </w:r>
      <w:r w:rsidR="00527949">
        <w:rPr>
          <w:rFonts w:ascii="Times New Roman" w:hAnsi="Times New Roman" w:cs="Times New Roman"/>
          <w:bCs/>
          <w:sz w:val="24"/>
          <w:szCs w:val="24"/>
        </w:rPr>
        <w:t xml:space="preserve"> which should be</w:t>
      </w:r>
      <w:r w:rsidR="00BF58B6" w:rsidRPr="00BF58B6">
        <w:rPr>
          <w:rFonts w:ascii="Times New Roman" w:hAnsi="Times New Roman" w:cs="Times New Roman"/>
          <w:bCs/>
          <w:sz w:val="24"/>
          <w:szCs w:val="24"/>
        </w:rPr>
        <w:t xml:space="preserve"> based on context, precedent, and proportionality. </w:t>
      </w:r>
      <w:r w:rsidR="00CE63CC">
        <w:rPr>
          <w:rFonts w:ascii="Times New Roman" w:hAnsi="Times New Roman" w:cs="Times New Roman"/>
          <w:bCs/>
          <w:sz w:val="24"/>
          <w:szCs w:val="24"/>
        </w:rPr>
        <w:t>I</w:t>
      </w:r>
      <w:r w:rsidR="00BF58B6" w:rsidRPr="00BF58B6">
        <w:rPr>
          <w:rFonts w:ascii="Times New Roman" w:hAnsi="Times New Roman" w:cs="Times New Roman"/>
          <w:bCs/>
          <w:sz w:val="24"/>
          <w:szCs w:val="24"/>
        </w:rPr>
        <w:t xml:space="preserve">n </w:t>
      </w:r>
      <w:r w:rsidR="00BF58B6" w:rsidRPr="00BF58B6">
        <w:rPr>
          <w:rFonts w:ascii="Times New Roman" w:hAnsi="Times New Roman" w:cs="Times New Roman"/>
          <w:bCs/>
          <w:i/>
          <w:iCs/>
          <w:sz w:val="24"/>
          <w:szCs w:val="24"/>
        </w:rPr>
        <w:t>S v Macheke</w:t>
      </w:r>
      <w:r w:rsidR="00CE63CC">
        <w:rPr>
          <w:rFonts w:ascii="Times New Roman" w:hAnsi="Times New Roman" w:cs="Times New Roman"/>
          <w:bCs/>
          <w:sz w:val="24"/>
          <w:szCs w:val="24"/>
        </w:rPr>
        <w:t xml:space="preserve"> </w:t>
      </w:r>
      <w:r w:rsidR="00CE63CC" w:rsidRPr="00CE63CC">
        <w:rPr>
          <w:rFonts w:ascii="Times New Roman" w:hAnsi="Times New Roman" w:cs="Times New Roman"/>
          <w:bCs/>
          <w:sz w:val="24"/>
          <w:szCs w:val="24"/>
        </w:rPr>
        <w:t>HH 326-24</w:t>
      </w:r>
      <w:r w:rsidR="00CE63CC">
        <w:rPr>
          <w:rFonts w:ascii="Times New Roman" w:hAnsi="Times New Roman" w:cs="Times New Roman"/>
          <w:bCs/>
          <w:sz w:val="24"/>
          <w:szCs w:val="24"/>
        </w:rPr>
        <w:t xml:space="preserve"> (a case done after the promulgation of the sentencing guidelines) </w:t>
      </w:r>
      <w:r w:rsidR="00BF58B6" w:rsidRPr="00BF58B6">
        <w:rPr>
          <w:rFonts w:ascii="Times New Roman" w:hAnsi="Times New Roman" w:cs="Times New Roman"/>
          <w:bCs/>
          <w:sz w:val="24"/>
          <w:szCs w:val="24"/>
        </w:rPr>
        <w:t>possession of 700g of dagga was deemed a “substantial quantity,” and the court referenced the presumptive penalty of 3 years’ imprisonment for large quantities.</w:t>
      </w:r>
    </w:p>
    <w:p w14:paraId="0A09E331" w14:textId="14610B8B" w:rsidR="00E12738" w:rsidRDefault="00CE63CC" w:rsidP="00DC7E61">
      <w:pPr>
        <w:spacing w:line="360" w:lineRule="auto"/>
        <w:ind w:firstLine="360"/>
        <w:jc w:val="both"/>
        <w:rPr>
          <w:rFonts w:ascii="Times New Roman" w:hAnsi="Times New Roman" w:cs="Times New Roman"/>
          <w:bCs/>
          <w:sz w:val="24"/>
          <w:szCs w:val="24"/>
        </w:rPr>
      </w:pPr>
      <w:r w:rsidRPr="00CE63CC">
        <w:rPr>
          <w:rFonts w:ascii="Times New Roman" w:hAnsi="Times New Roman" w:cs="Times New Roman"/>
          <w:sz w:val="24"/>
          <w:szCs w:val="24"/>
        </w:rPr>
        <w:lastRenderedPageBreak/>
        <w:t xml:space="preserve">A question can be asked: </w:t>
      </w:r>
      <w:r w:rsidR="00E12738">
        <w:rPr>
          <w:rFonts w:ascii="Times New Roman" w:hAnsi="Times New Roman" w:cs="Times New Roman"/>
          <w:sz w:val="24"/>
          <w:szCs w:val="24"/>
        </w:rPr>
        <w:t>d</w:t>
      </w:r>
      <w:r w:rsidRPr="00CE63CC">
        <w:rPr>
          <w:rFonts w:ascii="Times New Roman" w:hAnsi="Times New Roman" w:cs="Times New Roman"/>
          <w:sz w:val="24"/>
          <w:szCs w:val="24"/>
        </w:rPr>
        <w:t>oes the presumptive penalty imply that an individual found in possession of 1kg of dagga is liable to the same sentence as someone found with 5kg</w:t>
      </w:r>
      <w:r w:rsidR="005369BC">
        <w:rPr>
          <w:rFonts w:ascii="Times New Roman" w:hAnsi="Times New Roman" w:cs="Times New Roman"/>
          <w:sz w:val="24"/>
          <w:szCs w:val="24"/>
        </w:rPr>
        <w:t>s</w:t>
      </w:r>
      <w:r w:rsidRPr="00CE63CC">
        <w:rPr>
          <w:rFonts w:ascii="Times New Roman" w:hAnsi="Times New Roman" w:cs="Times New Roman"/>
          <w:sz w:val="24"/>
          <w:szCs w:val="24"/>
        </w:rPr>
        <w:t>?</w:t>
      </w:r>
      <w:r>
        <w:rPr>
          <w:rFonts w:ascii="Times New Roman" w:hAnsi="Times New Roman" w:cs="Times New Roman"/>
          <w:b/>
          <w:bCs/>
          <w:sz w:val="24"/>
          <w:szCs w:val="24"/>
        </w:rPr>
        <w:t xml:space="preserve"> </w:t>
      </w:r>
      <w:r w:rsidR="00BF58B6" w:rsidRPr="00BF58B6">
        <w:rPr>
          <w:rFonts w:ascii="Times New Roman" w:hAnsi="Times New Roman" w:cs="Times New Roman"/>
          <w:bCs/>
          <w:sz w:val="24"/>
          <w:szCs w:val="24"/>
        </w:rPr>
        <w:t>Under the guidelines, both 1kg and 5kg</w:t>
      </w:r>
      <w:r w:rsidR="005369BC">
        <w:rPr>
          <w:rFonts w:ascii="Times New Roman" w:hAnsi="Times New Roman" w:cs="Times New Roman"/>
          <w:bCs/>
          <w:sz w:val="24"/>
          <w:szCs w:val="24"/>
        </w:rPr>
        <w:t>s</w:t>
      </w:r>
      <w:r w:rsidR="00BF58B6" w:rsidRPr="00BF58B6">
        <w:rPr>
          <w:rFonts w:ascii="Times New Roman" w:hAnsi="Times New Roman" w:cs="Times New Roman"/>
          <w:bCs/>
          <w:sz w:val="24"/>
          <w:szCs w:val="24"/>
        </w:rPr>
        <w:t xml:space="preserve"> of dagga could fall under the “large quantity” category. That means the starting point for sentencing is the same—3 years’ imprisonment. But </w:t>
      </w:r>
      <w:r w:rsidR="005369BC">
        <w:rPr>
          <w:rFonts w:ascii="Times New Roman" w:hAnsi="Times New Roman" w:cs="Times New Roman"/>
          <w:bCs/>
          <w:sz w:val="24"/>
          <w:szCs w:val="24"/>
        </w:rPr>
        <w:t xml:space="preserve">it is pertinent to note that </w:t>
      </w:r>
      <w:r w:rsidR="005369BC" w:rsidRPr="00E12738">
        <w:rPr>
          <w:rFonts w:ascii="Times New Roman" w:hAnsi="Times New Roman" w:cs="Times New Roman"/>
          <w:bCs/>
          <w:sz w:val="24"/>
          <w:szCs w:val="24"/>
        </w:rPr>
        <w:t>t</w:t>
      </w:r>
      <w:r w:rsidR="00BF58B6" w:rsidRPr="00BF58B6">
        <w:rPr>
          <w:rFonts w:ascii="Times New Roman" w:hAnsi="Times New Roman" w:cs="Times New Roman"/>
          <w:bCs/>
          <w:sz w:val="24"/>
          <w:szCs w:val="24"/>
        </w:rPr>
        <w:t>he presumptive penalty is not a fixed sentence. It</w:t>
      </w:r>
      <w:r w:rsidR="005369BC" w:rsidRPr="00E12738">
        <w:rPr>
          <w:rFonts w:ascii="Times New Roman" w:hAnsi="Times New Roman" w:cs="Times New Roman"/>
          <w:bCs/>
          <w:sz w:val="24"/>
          <w:szCs w:val="24"/>
        </w:rPr>
        <w:t xml:space="preserve"> i</w:t>
      </w:r>
      <w:r w:rsidR="00BF58B6" w:rsidRPr="00BF58B6">
        <w:rPr>
          <w:rFonts w:ascii="Times New Roman" w:hAnsi="Times New Roman" w:cs="Times New Roman"/>
          <w:bCs/>
          <w:sz w:val="24"/>
          <w:szCs w:val="24"/>
        </w:rPr>
        <w:t>s a guideline.</w:t>
      </w:r>
      <w:r w:rsidR="005369BC" w:rsidRPr="00E12738">
        <w:rPr>
          <w:rFonts w:ascii="Times New Roman" w:hAnsi="Times New Roman" w:cs="Times New Roman"/>
          <w:bCs/>
          <w:sz w:val="24"/>
          <w:szCs w:val="24"/>
        </w:rPr>
        <w:t xml:space="preserve"> </w:t>
      </w:r>
      <w:r w:rsidR="00BF58B6" w:rsidRPr="00BF58B6">
        <w:rPr>
          <w:rFonts w:ascii="Times New Roman" w:hAnsi="Times New Roman" w:cs="Times New Roman"/>
          <w:bCs/>
          <w:sz w:val="24"/>
          <w:szCs w:val="24"/>
        </w:rPr>
        <w:t>Courts can increase or reduce the sentence based on aggravating or mitigating factors.</w:t>
      </w:r>
      <w:r w:rsidR="005369BC" w:rsidRPr="00E12738">
        <w:rPr>
          <w:rFonts w:ascii="Times New Roman" w:hAnsi="Times New Roman" w:cs="Times New Roman"/>
          <w:bCs/>
          <w:sz w:val="24"/>
          <w:szCs w:val="24"/>
        </w:rPr>
        <w:t xml:space="preserve"> </w:t>
      </w:r>
      <w:r w:rsidR="00BF58B6" w:rsidRPr="00BF58B6">
        <w:rPr>
          <w:rFonts w:ascii="Times New Roman" w:hAnsi="Times New Roman" w:cs="Times New Roman"/>
          <w:bCs/>
          <w:sz w:val="24"/>
          <w:szCs w:val="24"/>
        </w:rPr>
        <w:t>A person with 5kg</w:t>
      </w:r>
      <w:r w:rsidR="005369BC" w:rsidRPr="00E12738">
        <w:rPr>
          <w:rFonts w:ascii="Times New Roman" w:hAnsi="Times New Roman" w:cs="Times New Roman"/>
          <w:bCs/>
          <w:sz w:val="24"/>
          <w:szCs w:val="24"/>
        </w:rPr>
        <w:t>s</w:t>
      </w:r>
      <w:r w:rsidR="00BF58B6" w:rsidRPr="00BF58B6">
        <w:rPr>
          <w:rFonts w:ascii="Times New Roman" w:hAnsi="Times New Roman" w:cs="Times New Roman"/>
          <w:bCs/>
          <w:sz w:val="24"/>
          <w:szCs w:val="24"/>
        </w:rPr>
        <w:t xml:space="preserve"> may face a harsher sentence than someone with 1kg if the court finds the quantity significantly more aggravating, especially if there are other factors like intent to distribute, prior convictions, or concealment.</w:t>
      </w:r>
      <w:r w:rsidR="005369BC">
        <w:rPr>
          <w:rFonts w:ascii="Times New Roman" w:hAnsi="Times New Roman" w:cs="Times New Roman"/>
          <w:bCs/>
          <w:sz w:val="24"/>
          <w:szCs w:val="24"/>
        </w:rPr>
        <w:t xml:space="preserve"> </w:t>
      </w:r>
      <w:r w:rsidR="005369BC" w:rsidRPr="00E12738">
        <w:rPr>
          <w:rFonts w:ascii="Times New Roman" w:hAnsi="Times New Roman" w:cs="Times New Roman"/>
          <w:bCs/>
          <w:sz w:val="24"/>
          <w:szCs w:val="24"/>
        </w:rPr>
        <w:t>The b</w:t>
      </w:r>
      <w:r w:rsidR="00BF58B6" w:rsidRPr="00BF58B6">
        <w:rPr>
          <w:rFonts w:ascii="Times New Roman" w:hAnsi="Times New Roman" w:cs="Times New Roman"/>
          <w:bCs/>
          <w:sz w:val="24"/>
          <w:szCs w:val="24"/>
        </w:rPr>
        <w:t>ottom line</w:t>
      </w:r>
      <w:r w:rsidR="005369BC" w:rsidRPr="00E12738">
        <w:rPr>
          <w:rFonts w:ascii="Times New Roman" w:hAnsi="Times New Roman" w:cs="Times New Roman"/>
          <w:bCs/>
          <w:sz w:val="24"/>
          <w:szCs w:val="24"/>
        </w:rPr>
        <w:t xml:space="preserve"> is y</w:t>
      </w:r>
      <w:r w:rsidR="00BF58B6" w:rsidRPr="00BF58B6">
        <w:rPr>
          <w:rFonts w:ascii="Times New Roman" w:hAnsi="Times New Roman" w:cs="Times New Roman"/>
          <w:bCs/>
          <w:sz w:val="24"/>
          <w:szCs w:val="24"/>
        </w:rPr>
        <w:t>es, both 1kg and 5kg</w:t>
      </w:r>
      <w:r w:rsidR="005369BC">
        <w:rPr>
          <w:rFonts w:ascii="Times New Roman" w:hAnsi="Times New Roman" w:cs="Times New Roman"/>
          <w:bCs/>
          <w:sz w:val="24"/>
          <w:szCs w:val="24"/>
        </w:rPr>
        <w:t>s</w:t>
      </w:r>
      <w:r w:rsidR="00BF58B6" w:rsidRPr="00BF58B6">
        <w:rPr>
          <w:rFonts w:ascii="Times New Roman" w:hAnsi="Times New Roman" w:cs="Times New Roman"/>
          <w:bCs/>
          <w:sz w:val="24"/>
          <w:szCs w:val="24"/>
        </w:rPr>
        <w:t xml:space="preserve"> can trigger the same presumptive penalty</w:t>
      </w:r>
      <w:r w:rsidR="00527949">
        <w:rPr>
          <w:rFonts w:ascii="Times New Roman" w:hAnsi="Times New Roman" w:cs="Times New Roman"/>
          <w:bCs/>
          <w:sz w:val="24"/>
          <w:szCs w:val="24"/>
        </w:rPr>
        <w:t>, b</w:t>
      </w:r>
      <w:r w:rsidR="00BF58B6" w:rsidRPr="00BF58B6">
        <w:rPr>
          <w:rFonts w:ascii="Times New Roman" w:hAnsi="Times New Roman" w:cs="Times New Roman"/>
          <w:bCs/>
          <w:sz w:val="24"/>
          <w:szCs w:val="24"/>
        </w:rPr>
        <w:t>ut the final sentence may differ depending on the full circumstances. The court must justify any departure from the 3-year benchmark in its sentencing judgment.</w:t>
      </w:r>
    </w:p>
    <w:p w14:paraId="31AD848A" w14:textId="07026404" w:rsidR="006D36E7" w:rsidRDefault="00B8301C" w:rsidP="00DC7E61">
      <w:pPr>
        <w:spacing w:line="360" w:lineRule="auto"/>
        <w:ind w:firstLine="360"/>
        <w:jc w:val="both"/>
        <w:rPr>
          <w:rFonts w:ascii="Times New Roman" w:hAnsi="Times New Roman" w:cs="Times New Roman"/>
          <w:bCs/>
          <w:sz w:val="24"/>
          <w:szCs w:val="24"/>
        </w:rPr>
      </w:pPr>
      <w:r w:rsidRPr="00B8301C">
        <w:rPr>
          <w:rFonts w:ascii="Times New Roman" w:hAnsi="Times New Roman" w:cs="Times New Roman"/>
          <w:bCs/>
          <w:sz w:val="24"/>
          <w:szCs w:val="24"/>
        </w:rPr>
        <w:t xml:space="preserve">In light of both the precedent set in </w:t>
      </w:r>
      <w:r w:rsidR="00E12738">
        <w:rPr>
          <w:rFonts w:ascii="Times New Roman" w:hAnsi="Times New Roman" w:cs="Times New Roman"/>
          <w:bCs/>
          <w:sz w:val="24"/>
          <w:szCs w:val="24"/>
        </w:rPr>
        <w:t xml:space="preserve">cases </w:t>
      </w:r>
      <w:r w:rsidR="00843511">
        <w:rPr>
          <w:rFonts w:ascii="Times New Roman" w:hAnsi="Times New Roman" w:cs="Times New Roman"/>
          <w:bCs/>
          <w:sz w:val="24"/>
          <w:szCs w:val="24"/>
        </w:rPr>
        <w:t xml:space="preserve">cited elsewhere above and </w:t>
      </w:r>
      <w:r w:rsidRPr="00B8301C">
        <w:rPr>
          <w:rFonts w:ascii="Times New Roman" w:hAnsi="Times New Roman" w:cs="Times New Roman"/>
          <w:bCs/>
          <w:sz w:val="24"/>
          <w:szCs w:val="24"/>
        </w:rPr>
        <w:t xml:space="preserve">the sentencing </w:t>
      </w:r>
      <w:r w:rsidR="00843511">
        <w:rPr>
          <w:rFonts w:ascii="Times New Roman" w:hAnsi="Times New Roman" w:cs="Times New Roman"/>
          <w:bCs/>
          <w:sz w:val="24"/>
          <w:szCs w:val="24"/>
        </w:rPr>
        <w:t>guidelines</w:t>
      </w:r>
      <w:r w:rsidRPr="00B8301C">
        <w:rPr>
          <w:rFonts w:ascii="Times New Roman" w:hAnsi="Times New Roman" w:cs="Times New Roman"/>
          <w:bCs/>
          <w:sz w:val="24"/>
          <w:szCs w:val="24"/>
        </w:rPr>
        <w:t xml:space="preserve">, the present case involving a female first offender found with nearly a kilogram of dagga in a public space clearly falls within the category of serious offences. </w:t>
      </w:r>
      <w:r w:rsidR="002A5A0C" w:rsidRPr="002A5A0C">
        <w:rPr>
          <w:rFonts w:ascii="Times New Roman" w:hAnsi="Times New Roman" w:cs="Times New Roman"/>
          <w:bCs/>
          <w:sz w:val="24"/>
          <w:szCs w:val="24"/>
        </w:rPr>
        <w:t xml:space="preserve">In sentencing the accused, the magistrate ought to have commenced his analysis by acknowledging that the offence falls squarely within the category of possession of a </w:t>
      </w:r>
      <w:r w:rsidR="002A5A0C" w:rsidRPr="002A5A0C">
        <w:rPr>
          <w:rFonts w:ascii="Times New Roman" w:hAnsi="Times New Roman" w:cs="Times New Roman"/>
          <w:bCs/>
          <w:i/>
          <w:iCs/>
          <w:sz w:val="24"/>
          <w:szCs w:val="24"/>
        </w:rPr>
        <w:t>substantial quantity</w:t>
      </w:r>
      <w:r w:rsidR="002A5A0C" w:rsidRPr="002A5A0C">
        <w:rPr>
          <w:rFonts w:ascii="Times New Roman" w:hAnsi="Times New Roman" w:cs="Times New Roman"/>
          <w:bCs/>
          <w:sz w:val="24"/>
          <w:szCs w:val="24"/>
        </w:rPr>
        <w:t xml:space="preserve"> of a prohibited drug, as contemplated by the </w:t>
      </w:r>
      <w:r w:rsidR="002A5A0C" w:rsidRPr="002A5A0C">
        <w:rPr>
          <w:rFonts w:ascii="Times New Roman" w:hAnsi="Times New Roman" w:cs="Times New Roman"/>
          <w:sz w:val="24"/>
          <w:szCs w:val="24"/>
        </w:rPr>
        <w:t>Sentencing Guidelines. This classification triggers a presumptive penalty of three years’ imprisonment, whic</w:t>
      </w:r>
      <w:r w:rsidR="002A5A0C" w:rsidRPr="002A5A0C">
        <w:rPr>
          <w:rFonts w:ascii="Times New Roman" w:hAnsi="Times New Roman" w:cs="Times New Roman"/>
          <w:bCs/>
          <w:sz w:val="24"/>
          <w:szCs w:val="24"/>
        </w:rPr>
        <w:t xml:space="preserve">h should have served as the starting point for the sentencing inquiry. </w:t>
      </w:r>
      <w:r w:rsidR="004B5DF8">
        <w:rPr>
          <w:rFonts w:ascii="Times New Roman" w:hAnsi="Times New Roman" w:cs="Times New Roman"/>
          <w:bCs/>
          <w:sz w:val="24"/>
          <w:szCs w:val="24"/>
        </w:rPr>
        <w:t>T</w:t>
      </w:r>
      <w:r w:rsidR="004B5DF8" w:rsidRPr="004B5DF8">
        <w:rPr>
          <w:rFonts w:ascii="Times New Roman" w:hAnsi="Times New Roman" w:cs="Times New Roman"/>
          <w:bCs/>
          <w:sz w:val="24"/>
          <w:szCs w:val="24"/>
        </w:rPr>
        <w:t xml:space="preserve">he magistrate </w:t>
      </w:r>
      <w:r w:rsidR="004B5DF8">
        <w:rPr>
          <w:rFonts w:ascii="Times New Roman" w:hAnsi="Times New Roman" w:cs="Times New Roman"/>
          <w:bCs/>
          <w:sz w:val="24"/>
          <w:szCs w:val="24"/>
        </w:rPr>
        <w:t>should also have referred</w:t>
      </w:r>
      <w:r w:rsidR="004B5DF8" w:rsidRPr="004B5DF8">
        <w:rPr>
          <w:rFonts w:ascii="Times New Roman" w:hAnsi="Times New Roman" w:cs="Times New Roman"/>
          <w:bCs/>
          <w:sz w:val="24"/>
          <w:szCs w:val="24"/>
        </w:rPr>
        <w:t xml:space="preserve"> to precedent</w:t>
      </w:r>
      <w:r w:rsidR="00615326">
        <w:rPr>
          <w:rFonts w:ascii="Times New Roman" w:hAnsi="Times New Roman" w:cs="Times New Roman"/>
          <w:bCs/>
          <w:sz w:val="24"/>
          <w:szCs w:val="24"/>
        </w:rPr>
        <w:t xml:space="preserve"> to see the established sentencing trends</w:t>
      </w:r>
      <w:r w:rsidR="004B5DF8">
        <w:rPr>
          <w:rFonts w:ascii="Times New Roman" w:hAnsi="Times New Roman" w:cs="Times New Roman"/>
          <w:bCs/>
          <w:sz w:val="24"/>
          <w:szCs w:val="24"/>
        </w:rPr>
        <w:t xml:space="preserve">. </w:t>
      </w:r>
    </w:p>
    <w:p w14:paraId="66763F55" w14:textId="75127226" w:rsidR="002A5A0C" w:rsidRDefault="002A5A0C" w:rsidP="00DC7E61">
      <w:pPr>
        <w:spacing w:line="360" w:lineRule="auto"/>
        <w:ind w:firstLine="360"/>
        <w:jc w:val="both"/>
        <w:rPr>
          <w:rFonts w:ascii="Times New Roman" w:hAnsi="Times New Roman" w:cs="Times New Roman"/>
          <w:bCs/>
          <w:sz w:val="24"/>
          <w:szCs w:val="24"/>
        </w:rPr>
      </w:pPr>
      <w:r w:rsidRPr="002A5A0C">
        <w:rPr>
          <w:rFonts w:ascii="Times New Roman" w:hAnsi="Times New Roman" w:cs="Times New Roman"/>
          <w:bCs/>
          <w:sz w:val="24"/>
          <w:szCs w:val="24"/>
        </w:rPr>
        <w:t>The magistrate should then have considered the aggravating factors present</w:t>
      </w:r>
      <w:r w:rsidR="00C10C41">
        <w:rPr>
          <w:rFonts w:ascii="Times New Roman" w:hAnsi="Times New Roman" w:cs="Times New Roman"/>
          <w:bCs/>
          <w:sz w:val="24"/>
          <w:szCs w:val="24"/>
        </w:rPr>
        <w:t xml:space="preserve">, </w:t>
      </w:r>
      <w:r w:rsidRPr="002A5A0C">
        <w:rPr>
          <w:rFonts w:ascii="Times New Roman" w:hAnsi="Times New Roman" w:cs="Times New Roman"/>
          <w:bCs/>
          <w:sz w:val="24"/>
          <w:szCs w:val="24"/>
        </w:rPr>
        <w:t xml:space="preserve">most notably, the public nature of the offence, given that the dagga was found at a shopping mall, a location frequented by families and children, thereby heightening the potential social harm. However, while the quantity was substantial, the magistrate ought to have carefully contextualized it: 962.6g, though well beyond personal use thresholds, does not approach the extreme volumes. The magistrate should then have weighed the mitigating factors, including the accused’s guilty plea, her status as a single mother of four, and any genuine expression of remorse. These considerations, if properly substantiated, could justify a downward adjustment from the presumptive sentence. </w:t>
      </w:r>
      <w:r w:rsidR="00135790">
        <w:rPr>
          <w:rFonts w:ascii="Times New Roman" w:hAnsi="Times New Roman" w:cs="Times New Roman"/>
          <w:bCs/>
          <w:sz w:val="24"/>
          <w:szCs w:val="24"/>
        </w:rPr>
        <w:t>A</w:t>
      </w:r>
      <w:r w:rsidRPr="002A5A0C">
        <w:rPr>
          <w:rFonts w:ascii="Times New Roman" w:hAnsi="Times New Roman" w:cs="Times New Roman"/>
          <w:bCs/>
          <w:sz w:val="24"/>
          <w:szCs w:val="24"/>
        </w:rPr>
        <w:t>ny departure from the three-year benchmark would require clear and reasoned justification, demonstrating that the final sentence remains proportionate to the offence and consistent with the public interest in deterring drug-related crimes. By anchoring the analysis in the guidelines and transparently balancing aggravating and mitigating factors, the magistrate would have ensured a principled and legally sound sentencing outcome.</w:t>
      </w:r>
    </w:p>
    <w:p w14:paraId="0903A6A8" w14:textId="01C3B46A" w:rsidR="006D36E7" w:rsidRPr="002A5A0C" w:rsidRDefault="00135790" w:rsidP="00DC7E61">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W</w:t>
      </w:r>
      <w:r w:rsidR="006D36E7" w:rsidRPr="006D36E7">
        <w:rPr>
          <w:rFonts w:ascii="Times New Roman" w:hAnsi="Times New Roman" w:cs="Times New Roman"/>
          <w:bCs/>
          <w:sz w:val="24"/>
          <w:szCs w:val="24"/>
        </w:rPr>
        <w:t>hile the accused’s personal circumstances and her status as a first offender were properly considered as mitigating factors, they did not outweigh the seriousness of the offence. The presumptive penalty of three years’ imprisonment reflects the gravity with which such of</w:t>
      </w:r>
      <w:r w:rsidR="006D36E7">
        <w:rPr>
          <w:rFonts w:ascii="Times New Roman" w:hAnsi="Times New Roman" w:cs="Times New Roman"/>
          <w:bCs/>
          <w:sz w:val="24"/>
          <w:szCs w:val="24"/>
        </w:rPr>
        <w:t>f</w:t>
      </w:r>
      <w:r w:rsidR="006D36E7" w:rsidRPr="006D36E7">
        <w:rPr>
          <w:rFonts w:ascii="Times New Roman" w:hAnsi="Times New Roman" w:cs="Times New Roman"/>
          <w:bCs/>
          <w:sz w:val="24"/>
          <w:szCs w:val="24"/>
        </w:rPr>
        <w:t xml:space="preserve">ences are now treated, and rightly so, given their corrosive impact on public health and safety. In this context, an effective custodial sentence was not only warranted but necessary to serve the dual objectives of deterrence and denunciation. A suspended </w:t>
      </w:r>
      <w:r>
        <w:rPr>
          <w:rFonts w:ascii="Times New Roman" w:hAnsi="Times New Roman" w:cs="Times New Roman"/>
          <w:bCs/>
          <w:sz w:val="24"/>
          <w:szCs w:val="24"/>
        </w:rPr>
        <w:t xml:space="preserve">custodial </w:t>
      </w:r>
      <w:r w:rsidR="006D36E7" w:rsidRPr="006D36E7">
        <w:rPr>
          <w:rFonts w:ascii="Times New Roman" w:hAnsi="Times New Roman" w:cs="Times New Roman"/>
          <w:bCs/>
          <w:sz w:val="24"/>
          <w:szCs w:val="24"/>
        </w:rPr>
        <w:t>sentence</w:t>
      </w:r>
      <w:r w:rsidR="006D36E7">
        <w:rPr>
          <w:rFonts w:ascii="Times New Roman" w:hAnsi="Times New Roman" w:cs="Times New Roman"/>
          <w:bCs/>
          <w:sz w:val="24"/>
          <w:szCs w:val="24"/>
        </w:rPr>
        <w:t xml:space="preserve"> on condition of future good behaviour and performance of community service</w:t>
      </w:r>
      <w:r w:rsidR="006D36E7" w:rsidRPr="006D36E7">
        <w:rPr>
          <w:rFonts w:ascii="Times New Roman" w:hAnsi="Times New Roman" w:cs="Times New Roman"/>
          <w:bCs/>
          <w:sz w:val="24"/>
          <w:szCs w:val="24"/>
        </w:rPr>
        <w:t>, as imposed by the trial magistrate, failed to meet these objectives and did not adequately reflect the seriousness of the offence or the expectations of the law and society.</w:t>
      </w:r>
      <w:r w:rsidR="004B5DF8" w:rsidRPr="004B5DF8">
        <w:t xml:space="preserve"> </w:t>
      </w:r>
    </w:p>
    <w:p w14:paraId="505A2C2B" w14:textId="2C62FC48" w:rsidR="00D63DA7" w:rsidRPr="00D63DA7" w:rsidRDefault="00D01B7B" w:rsidP="00DC7E61">
      <w:pPr>
        <w:spacing w:line="360" w:lineRule="auto"/>
        <w:ind w:firstLine="360"/>
        <w:jc w:val="both"/>
        <w:rPr>
          <w:rFonts w:ascii="Times New Roman" w:hAnsi="Times New Roman" w:cs="Times New Roman"/>
          <w:bCs/>
          <w:sz w:val="24"/>
          <w:szCs w:val="24"/>
        </w:rPr>
      </w:pPr>
      <w:r w:rsidRPr="00D01B7B">
        <w:rPr>
          <w:rFonts w:ascii="Times New Roman" w:hAnsi="Times New Roman" w:cs="Times New Roman"/>
          <w:bCs/>
          <w:sz w:val="24"/>
          <w:szCs w:val="24"/>
        </w:rPr>
        <w:t xml:space="preserve">The </w:t>
      </w:r>
      <w:r w:rsidRPr="00D01B7B">
        <w:rPr>
          <w:rFonts w:ascii="Times New Roman" w:hAnsi="Times New Roman" w:cs="Times New Roman"/>
          <w:bCs/>
          <w:i/>
          <w:iCs/>
          <w:sz w:val="24"/>
          <w:szCs w:val="24"/>
        </w:rPr>
        <w:t>Sibanda</w:t>
      </w:r>
      <w:r w:rsidRPr="00D01B7B">
        <w:rPr>
          <w:rFonts w:ascii="Times New Roman" w:hAnsi="Times New Roman" w:cs="Times New Roman"/>
          <w:bCs/>
          <w:sz w:val="24"/>
          <w:szCs w:val="24"/>
        </w:rPr>
        <w:t xml:space="preserve"> case </w:t>
      </w:r>
      <w:r w:rsidR="00135790" w:rsidRPr="00135790">
        <w:rPr>
          <w:rFonts w:ascii="Times New Roman" w:hAnsi="Times New Roman" w:cs="Times New Roman"/>
          <w:bCs/>
          <w:i/>
          <w:iCs/>
          <w:sz w:val="24"/>
          <w:szCs w:val="24"/>
        </w:rPr>
        <w:t xml:space="preserve">supra </w:t>
      </w:r>
      <w:r w:rsidRPr="00D01B7B">
        <w:rPr>
          <w:rFonts w:ascii="Times New Roman" w:hAnsi="Times New Roman" w:cs="Times New Roman"/>
          <w:bCs/>
          <w:sz w:val="24"/>
          <w:szCs w:val="24"/>
        </w:rPr>
        <w:t>affirms that even first-time female offenders with dependents are not exempt from custodial sentences when the offence is of a serious nature. While gender and parental responsibilities are acknowledged as mitigating factors, they do not insulate an offender from imprisonment where the gravity of the offence and the public interest in deterrence demand a firm judicial response.</w:t>
      </w:r>
      <w:r>
        <w:rPr>
          <w:rFonts w:ascii="Times New Roman" w:hAnsi="Times New Roman" w:cs="Times New Roman"/>
          <w:bCs/>
          <w:sz w:val="24"/>
          <w:szCs w:val="24"/>
        </w:rPr>
        <w:t xml:space="preserve"> </w:t>
      </w:r>
      <w:r w:rsidR="00D63DA7" w:rsidRPr="00D63DA7">
        <w:rPr>
          <w:rFonts w:ascii="Times New Roman" w:hAnsi="Times New Roman" w:cs="Times New Roman"/>
          <w:bCs/>
          <w:sz w:val="24"/>
          <w:szCs w:val="24"/>
        </w:rPr>
        <w:t>The courts have a duty to balance compassion with deterrence, and in cases involving aggravated drug possession, the need to send a clear message against such conduct is paramount. A</w:t>
      </w:r>
      <w:r w:rsidR="008F7933">
        <w:rPr>
          <w:rFonts w:ascii="Times New Roman" w:hAnsi="Times New Roman" w:cs="Times New Roman"/>
          <w:bCs/>
          <w:sz w:val="24"/>
          <w:szCs w:val="24"/>
        </w:rPr>
        <w:t>n effective</w:t>
      </w:r>
      <w:r w:rsidR="00D63DA7" w:rsidRPr="00D63DA7">
        <w:rPr>
          <w:rFonts w:ascii="Times New Roman" w:hAnsi="Times New Roman" w:cs="Times New Roman"/>
          <w:bCs/>
          <w:sz w:val="24"/>
          <w:szCs w:val="24"/>
        </w:rPr>
        <w:t xml:space="preserve"> custodial sentence would have served both deterrent and denunciatory purposes, reinforcing the seriousness with which society views drug-related offences and aligning judicial outcomes with public interest and statutory expectations.</w:t>
      </w:r>
    </w:p>
    <w:p w14:paraId="139889CF" w14:textId="77777777" w:rsidR="00D01B7B" w:rsidRDefault="00D01B7B" w:rsidP="00DC7E61">
      <w:pPr>
        <w:spacing w:line="360" w:lineRule="auto"/>
        <w:ind w:firstLine="360"/>
        <w:jc w:val="both"/>
        <w:rPr>
          <w:rFonts w:ascii="Times New Roman" w:hAnsi="Times New Roman" w:cs="Times New Roman"/>
          <w:bCs/>
          <w:sz w:val="24"/>
          <w:szCs w:val="24"/>
        </w:rPr>
      </w:pPr>
      <w:r w:rsidRPr="00D01B7B">
        <w:rPr>
          <w:rFonts w:ascii="Times New Roman" w:hAnsi="Times New Roman" w:cs="Times New Roman"/>
          <w:bCs/>
          <w:sz w:val="24"/>
          <w:szCs w:val="24"/>
        </w:rPr>
        <w:t xml:space="preserve">Given the magistrate’s misapplication of the sentencing guidelines and the erroneous characterization of the quantity of dagga as insubstantial, it is difficult to conclude that the sentencing outcome was legally sound. Consequently, the sentence imposed falls short of meeting the requirements of real and substantial justice. </w:t>
      </w:r>
    </w:p>
    <w:p w14:paraId="6B3A181A" w14:textId="1465E44A" w:rsidR="00232261" w:rsidRDefault="00232261" w:rsidP="00DC7E61">
      <w:pPr>
        <w:spacing w:line="360" w:lineRule="auto"/>
        <w:ind w:firstLine="360"/>
        <w:jc w:val="both"/>
        <w:rPr>
          <w:rFonts w:ascii="Times New Roman" w:hAnsi="Times New Roman" w:cs="Times New Roman"/>
          <w:bCs/>
          <w:sz w:val="24"/>
          <w:szCs w:val="24"/>
        </w:rPr>
      </w:pPr>
      <w:r w:rsidRPr="00232261">
        <w:rPr>
          <w:rFonts w:ascii="Times New Roman" w:hAnsi="Times New Roman" w:cs="Times New Roman"/>
          <w:bCs/>
          <w:sz w:val="24"/>
          <w:szCs w:val="24"/>
        </w:rPr>
        <w:t>Accordingly</w:t>
      </w:r>
      <w:r w:rsidR="00D466BA">
        <w:rPr>
          <w:rFonts w:ascii="Times New Roman" w:hAnsi="Times New Roman" w:cs="Times New Roman"/>
          <w:bCs/>
          <w:sz w:val="24"/>
          <w:szCs w:val="24"/>
        </w:rPr>
        <w:t>, t</w:t>
      </w:r>
      <w:r w:rsidRPr="00232261">
        <w:rPr>
          <w:rFonts w:ascii="Times New Roman" w:hAnsi="Times New Roman" w:cs="Times New Roman"/>
          <w:bCs/>
          <w:sz w:val="24"/>
          <w:szCs w:val="24"/>
        </w:rPr>
        <w:t>he conviction of the accused is confirmed</w:t>
      </w:r>
      <w:r w:rsidR="00D466BA">
        <w:rPr>
          <w:rFonts w:ascii="Times New Roman" w:hAnsi="Times New Roman" w:cs="Times New Roman"/>
          <w:bCs/>
          <w:sz w:val="24"/>
          <w:szCs w:val="24"/>
        </w:rPr>
        <w:t xml:space="preserve">. </w:t>
      </w:r>
      <w:r w:rsidR="00D01B7B">
        <w:rPr>
          <w:rFonts w:ascii="Times New Roman" w:hAnsi="Times New Roman" w:cs="Times New Roman"/>
          <w:bCs/>
          <w:sz w:val="24"/>
          <w:szCs w:val="24"/>
        </w:rPr>
        <w:t>However</w:t>
      </w:r>
      <w:r w:rsidR="00D466BA">
        <w:rPr>
          <w:rFonts w:ascii="Times New Roman" w:hAnsi="Times New Roman" w:cs="Times New Roman"/>
          <w:bCs/>
          <w:sz w:val="24"/>
          <w:szCs w:val="24"/>
        </w:rPr>
        <w:t xml:space="preserve">, </w:t>
      </w:r>
      <w:r w:rsidR="00D01B7B">
        <w:rPr>
          <w:rFonts w:ascii="Times New Roman" w:hAnsi="Times New Roman" w:cs="Times New Roman"/>
          <w:bCs/>
          <w:sz w:val="24"/>
          <w:szCs w:val="24"/>
        </w:rPr>
        <w:t xml:space="preserve">I </w:t>
      </w:r>
      <w:r w:rsidR="00D466BA">
        <w:rPr>
          <w:rFonts w:ascii="Times New Roman" w:hAnsi="Times New Roman" w:cs="Times New Roman"/>
          <w:bCs/>
          <w:sz w:val="24"/>
          <w:szCs w:val="24"/>
        </w:rPr>
        <w:t xml:space="preserve">withhold my certificate in respect of the sentence.  </w:t>
      </w:r>
    </w:p>
    <w:p w14:paraId="424F7AA4" w14:textId="77777777" w:rsidR="00971C07" w:rsidRDefault="00971C07" w:rsidP="00DC7E61">
      <w:pPr>
        <w:spacing w:line="360" w:lineRule="auto"/>
        <w:ind w:firstLine="360"/>
        <w:jc w:val="both"/>
        <w:rPr>
          <w:rFonts w:ascii="Times New Roman" w:hAnsi="Times New Roman" w:cs="Times New Roman"/>
          <w:bCs/>
          <w:sz w:val="24"/>
          <w:szCs w:val="24"/>
        </w:rPr>
      </w:pPr>
    </w:p>
    <w:p w14:paraId="48D243C0" w14:textId="304E82BD" w:rsidR="00971C07" w:rsidRPr="00232261" w:rsidRDefault="00971C07" w:rsidP="00DC7E61">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MUREMBA J ……….</w:t>
      </w:r>
    </w:p>
    <w:p w14:paraId="24DA750D" w14:textId="698AC071" w:rsidR="00CF543B" w:rsidRPr="00637892" w:rsidRDefault="00CF543B" w:rsidP="00637892">
      <w:pPr>
        <w:spacing w:before="240" w:line="360" w:lineRule="auto"/>
        <w:jc w:val="both"/>
        <w:rPr>
          <w:rFonts w:ascii="Times New Roman" w:hAnsi="Times New Roman" w:cs="Times New Roman"/>
          <w:sz w:val="24"/>
          <w:szCs w:val="24"/>
          <w:u w:val="single"/>
          <w:lang w:val="en-ZA"/>
        </w:rPr>
      </w:pPr>
    </w:p>
    <w:sectPr w:rsidR="00CF543B" w:rsidRPr="0063789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C4EB1" w14:textId="77777777" w:rsidR="00E040F3" w:rsidRDefault="00E040F3" w:rsidP="008A36F7">
      <w:pPr>
        <w:spacing w:after="0" w:line="240" w:lineRule="auto"/>
      </w:pPr>
      <w:r>
        <w:separator/>
      </w:r>
    </w:p>
  </w:endnote>
  <w:endnote w:type="continuationSeparator" w:id="0">
    <w:p w14:paraId="54EEA89C" w14:textId="77777777" w:rsidR="00E040F3" w:rsidRDefault="00E040F3" w:rsidP="008A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A066D" w14:textId="77777777" w:rsidR="00E040F3" w:rsidRDefault="00E040F3" w:rsidP="008A36F7">
      <w:pPr>
        <w:spacing w:after="0" w:line="240" w:lineRule="auto"/>
      </w:pPr>
      <w:r>
        <w:separator/>
      </w:r>
    </w:p>
  </w:footnote>
  <w:footnote w:type="continuationSeparator" w:id="0">
    <w:p w14:paraId="4427582B" w14:textId="77777777" w:rsidR="00E040F3" w:rsidRDefault="00E040F3" w:rsidP="008A36F7">
      <w:pPr>
        <w:spacing w:after="0" w:line="240" w:lineRule="auto"/>
      </w:pPr>
      <w:r>
        <w:continuationSeparator/>
      </w:r>
    </w:p>
  </w:footnote>
  <w:footnote w:id="1">
    <w:p w14:paraId="205D4584" w14:textId="55A611BE" w:rsidR="008F3C54" w:rsidRPr="008F3C54" w:rsidRDefault="008F3C54">
      <w:pPr>
        <w:pStyle w:val="FootnoteText"/>
        <w:rPr>
          <w:lang w:val="en-US"/>
        </w:rPr>
      </w:pPr>
      <w:r>
        <w:rPr>
          <w:rStyle w:val="FootnoteReference"/>
        </w:rPr>
        <w:footnoteRef/>
      </w:r>
      <w:r>
        <w:t xml:space="preserve"> </w:t>
      </w:r>
      <w:r>
        <w:rPr>
          <w:lang w:val="en-US"/>
        </w:rPr>
        <w:t>S 157 (1)(a) of the Criminal Law (Codification and Reform) Act [</w:t>
      </w:r>
      <w:r w:rsidRPr="008F3C54">
        <w:rPr>
          <w:i/>
          <w:iCs/>
          <w:lang w:val="en-US"/>
        </w:rPr>
        <w:t>Chapter</w:t>
      </w:r>
      <w:r>
        <w:rPr>
          <w:lang w:val="en-US"/>
        </w:rPr>
        <w:t xml:space="preserve"> 9:23].</w:t>
      </w:r>
    </w:p>
  </w:footnote>
  <w:footnote w:id="2">
    <w:p w14:paraId="2A509D6E" w14:textId="08A47555" w:rsidR="00BA50A9" w:rsidRPr="00BA50A9" w:rsidRDefault="00BA50A9">
      <w:pPr>
        <w:pStyle w:val="FootnoteText"/>
        <w:rPr>
          <w:lang w:val="en-US"/>
        </w:rPr>
      </w:pPr>
      <w:r>
        <w:rPr>
          <w:rStyle w:val="FootnoteReference"/>
        </w:rPr>
        <w:footnoteRef/>
      </w:r>
      <w:r>
        <w:t xml:space="preserve"> </w:t>
      </w:r>
      <w:r>
        <w:rPr>
          <w:lang w:val="en-US"/>
        </w:rPr>
        <w:t xml:space="preserve">S 5(2) of the Sentencing </w:t>
      </w:r>
      <w:r w:rsidR="004356EC">
        <w:rPr>
          <w:lang w:val="en-US"/>
        </w:rPr>
        <w:t>Guidelines, S.I</w:t>
      </w:r>
      <w:r w:rsidR="00EB181B">
        <w:rPr>
          <w:lang w:val="en-US"/>
        </w:rPr>
        <w:t xml:space="preserve"> 146 of </w:t>
      </w:r>
      <w:r>
        <w:rPr>
          <w:lang w:val="en-US"/>
        </w:rPr>
        <w:t>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237546"/>
      <w:docPartObj>
        <w:docPartGallery w:val="Page Numbers (Top of Page)"/>
        <w:docPartUnique/>
      </w:docPartObj>
    </w:sdtPr>
    <w:sdtEndPr>
      <w:rPr>
        <w:noProof/>
      </w:rPr>
    </w:sdtEndPr>
    <w:sdtContent>
      <w:p w14:paraId="16415960" w14:textId="024A8F4B" w:rsidR="00013AA1" w:rsidRDefault="00013AA1">
        <w:pPr>
          <w:pStyle w:val="Header"/>
          <w:jc w:val="right"/>
        </w:pPr>
        <w:r>
          <w:fldChar w:fldCharType="begin"/>
        </w:r>
        <w:r>
          <w:instrText xml:space="preserve"> PAGE   \* MERGEFORMAT </w:instrText>
        </w:r>
        <w:r>
          <w:fldChar w:fldCharType="separate"/>
        </w:r>
        <w:r w:rsidR="0054092A">
          <w:rPr>
            <w:noProof/>
          </w:rPr>
          <w:t>1</w:t>
        </w:r>
        <w:r>
          <w:rPr>
            <w:noProof/>
          </w:rPr>
          <w:fldChar w:fldCharType="end"/>
        </w:r>
      </w:p>
    </w:sdtContent>
  </w:sdt>
  <w:p w14:paraId="7F9611A9" w14:textId="2ED9A823" w:rsidR="00013AA1" w:rsidRDefault="00726C7D">
    <w:pPr>
      <w:pStyle w:val="Header"/>
    </w:pPr>
    <w:r>
      <w:tab/>
      <w:t xml:space="preserve">                                                                                                                                                                  HH 479-25</w:t>
    </w:r>
  </w:p>
  <w:p w14:paraId="5CAB91E0" w14:textId="4F7E54A9" w:rsidR="00726C7D" w:rsidRDefault="00726C7D">
    <w:pPr>
      <w:pStyle w:val="Header"/>
    </w:pPr>
    <w:r>
      <w:tab/>
      <w:t xml:space="preserve">                                                                                                                                                         HCHCR 4618-25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05F"/>
    <w:multiLevelType w:val="hybridMultilevel"/>
    <w:tmpl w:val="23EA19EA"/>
    <w:lvl w:ilvl="0" w:tplc="0C1AB298">
      <w:start w:val="1"/>
      <w:numFmt w:val="decimal"/>
      <w:lvlText w:val="(%1)"/>
      <w:lvlJc w:val="left"/>
      <w:pPr>
        <w:ind w:left="510" w:hanging="360"/>
      </w:pPr>
      <w:rPr>
        <w:rFonts w:hint="default"/>
      </w:rPr>
    </w:lvl>
    <w:lvl w:ilvl="1" w:tplc="30090019" w:tentative="1">
      <w:start w:val="1"/>
      <w:numFmt w:val="lowerLetter"/>
      <w:lvlText w:val="%2."/>
      <w:lvlJc w:val="left"/>
      <w:pPr>
        <w:ind w:left="1230" w:hanging="360"/>
      </w:pPr>
    </w:lvl>
    <w:lvl w:ilvl="2" w:tplc="3009001B" w:tentative="1">
      <w:start w:val="1"/>
      <w:numFmt w:val="lowerRoman"/>
      <w:lvlText w:val="%3."/>
      <w:lvlJc w:val="right"/>
      <w:pPr>
        <w:ind w:left="1950" w:hanging="180"/>
      </w:pPr>
    </w:lvl>
    <w:lvl w:ilvl="3" w:tplc="3009000F" w:tentative="1">
      <w:start w:val="1"/>
      <w:numFmt w:val="decimal"/>
      <w:lvlText w:val="%4."/>
      <w:lvlJc w:val="left"/>
      <w:pPr>
        <w:ind w:left="2670" w:hanging="360"/>
      </w:pPr>
    </w:lvl>
    <w:lvl w:ilvl="4" w:tplc="30090019" w:tentative="1">
      <w:start w:val="1"/>
      <w:numFmt w:val="lowerLetter"/>
      <w:lvlText w:val="%5."/>
      <w:lvlJc w:val="left"/>
      <w:pPr>
        <w:ind w:left="3390" w:hanging="360"/>
      </w:pPr>
    </w:lvl>
    <w:lvl w:ilvl="5" w:tplc="3009001B" w:tentative="1">
      <w:start w:val="1"/>
      <w:numFmt w:val="lowerRoman"/>
      <w:lvlText w:val="%6."/>
      <w:lvlJc w:val="right"/>
      <w:pPr>
        <w:ind w:left="4110" w:hanging="180"/>
      </w:pPr>
    </w:lvl>
    <w:lvl w:ilvl="6" w:tplc="3009000F" w:tentative="1">
      <w:start w:val="1"/>
      <w:numFmt w:val="decimal"/>
      <w:lvlText w:val="%7."/>
      <w:lvlJc w:val="left"/>
      <w:pPr>
        <w:ind w:left="4830" w:hanging="360"/>
      </w:pPr>
    </w:lvl>
    <w:lvl w:ilvl="7" w:tplc="30090019" w:tentative="1">
      <w:start w:val="1"/>
      <w:numFmt w:val="lowerLetter"/>
      <w:lvlText w:val="%8."/>
      <w:lvlJc w:val="left"/>
      <w:pPr>
        <w:ind w:left="5550" w:hanging="360"/>
      </w:pPr>
    </w:lvl>
    <w:lvl w:ilvl="8" w:tplc="3009001B" w:tentative="1">
      <w:start w:val="1"/>
      <w:numFmt w:val="lowerRoman"/>
      <w:lvlText w:val="%9."/>
      <w:lvlJc w:val="right"/>
      <w:pPr>
        <w:ind w:left="6270" w:hanging="180"/>
      </w:pPr>
    </w:lvl>
  </w:abstractNum>
  <w:abstractNum w:abstractNumId="1" w15:restartNumberingAfterBreak="0">
    <w:nsid w:val="09146D17"/>
    <w:multiLevelType w:val="hybridMultilevel"/>
    <w:tmpl w:val="4ABC81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4263854"/>
    <w:multiLevelType w:val="hybridMultilevel"/>
    <w:tmpl w:val="6068D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D77C37"/>
    <w:multiLevelType w:val="multilevel"/>
    <w:tmpl w:val="5A8C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63E8B"/>
    <w:multiLevelType w:val="hybridMultilevel"/>
    <w:tmpl w:val="33C44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86818"/>
    <w:multiLevelType w:val="hybridMultilevel"/>
    <w:tmpl w:val="41A81AD0"/>
    <w:lvl w:ilvl="0" w:tplc="F5C8B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ED5A9F"/>
    <w:multiLevelType w:val="hybridMultilevel"/>
    <w:tmpl w:val="620268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AC57103"/>
    <w:multiLevelType w:val="hybridMultilevel"/>
    <w:tmpl w:val="860283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BCA13D5"/>
    <w:multiLevelType w:val="multilevel"/>
    <w:tmpl w:val="2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F14CB"/>
    <w:multiLevelType w:val="multilevel"/>
    <w:tmpl w:val="E304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44C38"/>
    <w:multiLevelType w:val="hybridMultilevel"/>
    <w:tmpl w:val="536A754C"/>
    <w:lvl w:ilvl="0" w:tplc="00D41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8578C1"/>
    <w:multiLevelType w:val="hybridMultilevel"/>
    <w:tmpl w:val="CC5C80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3088D"/>
    <w:multiLevelType w:val="hybridMultilevel"/>
    <w:tmpl w:val="E5546F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68842E9"/>
    <w:multiLevelType w:val="hybridMultilevel"/>
    <w:tmpl w:val="49A46A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D6933A9"/>
    <w:multiLevelType w:val="hybridMultilevel"/>
    <w:tmpl w:val="20E08C92"/>
    <w:lvl w:ilvl="0" w:tplc="5E98737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97C26F8">
      <w:numFmt w:val="bullet"/>
      <w:lvlText w:val="•"/>
      <w:lvlJc w:val="left"/>
      <w:pPr>
        <w:ind w:left="1573" w:hanging="360"/>
      </w:pPr>
      <w:rPr>
        <w:rFonts w:hint="default"/>
        <w:lang w:val="en-US" w:eastAsia="en-US" w:bidi="ar-SA"/>
      </w:rPr>
    </w:lvl>
    <w:lvl w:ilvl="2" w:tplc="75F0FFF8">
      <w:numFmt w:val="bullet"/>
      <w:lvlText w:val="•"/>
      <w:lvlJc w:val="left"/>
      <w:pPr>
        <w:ind w:left="2407" w:hanging="360"/>
      </w:pPr>
      <w:rPr>
        <w:rFonts w:hint="default"/>
        <w:lang w:val="en-US" w:eastAsia="en-US" w:bidi="ar-SA"/>
      </w:rPr>
    </w:lvl>
    <w:lvl w:ilvl="3" w:tplc="733AF604">
      <w:numFmt w:val="bullet"/>
      <w:lvlText w:val="•"/>
      <w:lvlJc w:val="left"/>
      <w:pPr>
        <w:ind w:left="3241" w:hanging="360"/>
      </w:pPr>
      <w:rPr>
        <w:rFonts w:hint="default"/>
        <w:lang w:val="en-US" w:eastAsia="en-US" w:bidi="ar-SA"/>
      </w:rPr>
    </w:lvl>
    <w:lvl w:ilvl="4" w:tplc="9EA25B18">
      <w:numFmt w:val="bullet"/>
      <w:lvlText w:val="•"/>
      <w:lvlJc w:val="left"/>
      <w:pPr>
        <w:ind w:left="4074" w:hanging="360"/>
      </w:pPr>
      <w:rPr>
        <w:rFonts w:hint="default"/>
        <w:lang w:val="en-US" w:eastAsia="en-US" w:bidi="ar-SA"/>
      </w:rPr>
    </w:lvl>
    <w:lvl w:ilvl="5" w:tplc="3C1A1856">
      <w:numFmt w:val="bullet"/>
      <w:lvlText w:val="•"/>
      <w:lvlJc w:val="left"/>
      <w:pPr>
        <w:ind w:left="4908" w:hanging="360"/>
      </w:pPr>
      <w:rPr>
        <w:rFonts w:hint="default"/>
        <w:lang w:val="en-US" w:eastAsia="en-US" w:bidi="ar-SA"/>
      </w:rPr>
    </w:lvl>
    <w:lvl w:ilvl="6" w:tplc="EA903C04">
      <w:numFmt w:val="bullet"/>
      <w:lvlText w:val="•"/>
      <w:lvlJc w:val="left"/>
      <w:pPr>
        <w:ind w:left="5742" w:hanging="360"/>
      </w:pPr>
      <w:rPr>
        <w:rFonts w:hint="default"/>
        <w:lang w:val="en-US" w:eastAsia="en-US" w:bidi="ar-SA"/>
      </w:rPr>
    </w:lvl>
    <w:lvl w:ilvl="7" w:tplc="BF2EC81E">
      <w:numFmt w:val="bullet"/>
      <w:lvlText w:val="•"/>
      <w:lvlJc w:val="left"/>
      <w:pPr>
        <w:ind w:left="6576" w:hanging="360"/>
      </w:pPr>
      <w:rPr>
        <w:rFonts w:hint="default"/>
        <w:lang w:val="en-US" w:eastAsia="en-US" w:bidi="ar-SA"/>
      </w:rPr>
    </w:lvl>
    <w:lvl w:ilvl="8" w:tplc="A23EB9A6">
      <w:numFmt w:val="bullet"/>
      <w:lvlText w:val="•"/>
      <w:lvlJc w:val="left"/>
      <w:pPr>
        <w:ind w:left="7409" w:hanging="360"/>
      </w:pPr>
      <w:rPr>
        <w:rFonts w:hint="default"/>
        <w:lang w:val="en-US" w:eastAsia="en-US" w:bidi="ar-SA"/>
      </w:rPr>
    </w:lvl>
  </w:abstractNum>
  <w:abstractNum w:abstractNumId="15" w15:restartNumberingAfterBreak="0">
    <w:nsid w:val="725613A3"/>
    <w:multiLevelType w:val="multilevel"/>
    <w:tmpl w:val="29AC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028A8"/>
    <w:multiLevelType w:val="hybridMultilevel"/>
    <w:tmpl w:val="FF26F8E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6"/>
  </w:num>
  <w:num w:numId="5">
    <w:abstractNumId w:val="7"/>
  </w:num>
  <w:num w:numId="6">
    <w:abstractNumId w:val="2"/>
  </w:num>
  <w:num w:numId="7">
    <w:abstractNumId w:val="13"/>
  </w:num>
  <w:num w:numId="8">
    <w:abstractNumId w:val="4"/>
  </w:num>
  <w:num w:numId="9">
    <w:abstractNumId w:val="11"/>
  </w:num>
  <w:num w:numId="10">
    <w:abstractNumId w:val="10"/>
  </w:num>
  <w:num w:numId="11">
    <w:abstractNumId w:val="5"/>
  </w:num>
  <w:num w:numId="12">
    <w:abstractNumId w:val="16"/>
  </w:num>
  <w:num w:numId="13">
    <w:abstractNumId w:val="15"/>
  </w:num>
  <w:num w:numId="14">
    <w:abstractNumId w:val="14"/>
  </w:num>
  <w:num w:numId="15">
    <w:abstractNumId w:val="9"/>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47"/>
    <w:rsid w:val="00013AA1"/>
    <w:rsid w:val="0001522E"/>
    <w:rsid w:val="00021BEC"/>
    <w:rsid w:val="00030822"/>
    <w:rsid w:val="00036ED8"/>
    <w:rsid w:val="000419F0"/>
    <w:rsid w:val="00042E13"/>
    <w:rsid w:val="000534B9"/>
    <w:rsid w:val="00063940"/>
    <w:rsid w:val="00066B16"/>
    <w:rsid w:val="00070640"/>
    <w:rsid w:val="000767C0"/>
    <w:rsid w:val="00093DAE"/>
    <w:rsid w:val="000940DC"/>
    <w:rsid w:val="000A5F66"/>
    <w:rsid w:val="000B0013"/>
    <w:rsid w:val="000D2AD6"/>
    <w:rsid w:val="000E7029"/>
    <w:rsid w:val="000F3D98"/>
    <w:rsid w:val="00123F5F"/>
    <w:rsid w:val="00127647"/>
    <w:rsid w:val="00130016"/>
    <w:rsid w:val="00135790"/>
    <w:rsid w:val="00142FF2"/>
    <w:rsid w:val="00147C73"/>
    <w:rsid w:val="00150306"/>
    <w:rsid w:val="00173535"/>
    <w:rsid w:val="00173D91"/>
    <w:rsid w:val="00191D0D"/>
    <w:rsid w:val="001B04C5"/>
    <w:rsid w:val="001B30F7"/>
    <w:rsid w:val="001B5940"/>
    <w:rsid w:val="001C38DA"/>
    <w:rsid w:val="001D6D18"/>
    <w:rsid w:val="001E7ACF"/>
    <w:rsid w:val="00212F0C"/>
    <w:rsid w:val="00225603"/>
    <w:rsid w:val="00231B38"/>
    <w:rsid w:val="00232261"/>
    <w:rsid w:val="00235093"/>
    <w:rsid w:val="0026048D"/>
    <w:rsid w:val="002725A3"/>
    <w:rsid w:val="00295FFA"/>
    <w:rsid w:val="002A5A0C"/>
    <w:rsid w:val="002A6882"/>
    <w:rsid w:val="002B2341"/>
    <w:rsid w:val="002B4676"/>
    <w:rsid w:val="002E6BC2"/>
    <w:rsid w:val="002E72D9"/>
    <w:rsid w:val="00300CEF"/>
    <w:rsid w:val="00312504"/>
    <w:rsid w:val="003322F1"/>
    <w:rsid w:val="00335C32"/>
    <w:rsid w:val="00336819"/>
    <w:rsid w:val="0035432E"/>
    <w:rsid w:val="00365A5C"/>
    <w:rsid w:val="00366A29"/>
    <w:rsid w:val="0037294B"/>
    <w:rsid w:val="00376760"/>
    <w:rsid w:val="003A4787"/>
    <w:rsid w:val="003B231E"/>
    <w:rsid w:val="003E0298"/>
    <w:rsid w:val="003E3AAD"/>
    <w:rsid w:val="003F28E6"/>
    <w:rsid w:val="00405CE9"/>
    <w:rsid w:val="0041545D"/>
    <w:rsid w:val="00424229"/>
    <w:rsid w:val="00424B84"/>
    <w:rsid w:val="004267CD"/>
    <w:rsid w:val="004356EC"/>
    <w:rsid w:val="00445387"/>
    <w:rsid w:val="00457468"/>
    <w:rsid w:val="004577EF"/>
    <w:rsid w:val="00483AAF"/>
    <w:rsid w:val="00492B54"/>
    <w:rsid w:val="00493D2C"/>
    <w:rsid w:val="004948C9"/>
    <w:rsid w:val="004A3353"/>
    <w:rsid w:val="004B360A"/>
    <w:rsid w:val="004B5DF8"/>
    <w:rsid w:val="004C45EF"/>
    <w:rsid w:val="004D0A4A"/>
    <w:rsid w:val="004D113C"/>
    <w:rsid w:val="004D5066"/>
    <w:rsid w:val="004E33C2"/>
    <w:rsid w:val="004E78C9"/>
    <w:rsid w:val="00527949"/>
    <w:rsid w:val="005369BC"/>
    <w:rsid w:val="0054092A"/>
    <w:rsid w:val="00553F7B"/>
    <w:rsid w:val="00573C17"/>
    <w:rsid w:val="00583142"/>
    <w:rsid w:val="0059367A"/>
    <w:rsid w:val="0059542F"/>
    <w:rsid w:val="005A0AF7"/>
    <w:rsid w:val="005A2016"/>
    <w:rsid w:val="005A355F"/>
    <w:rsid w:val="005B758D"/>
    <w:rsid w:val="005C1763"/>
    <w:rsid w:val="005D0CEC"/>
    <w:rsid w:val="005D3E63"/>
    <w:rsid w:val="005E09C3"/>
    <w:rsid w:val="00604CB2"/>
    <w:rsid w:val="00615326"/>
    <w:rsid w:val="00621C75"/>
    <w:rsid w:val="00625B25"/>
    <w:rsid w:val="0063164C"/>
    <w:rsid w:val="0063198C"/>
    <w:rsid w:val="00634453"/>
    <w:rsid w:val="00637892"/>
    <w:rsid w:val="006558A4"/>
    <w:rsid w:val="00656794"/>
    <w:rsid w:val="006B319A"/>
    <w:rsid w:val="006C03FC"/>
    <w:rsid w:val="006C0F49"/>
    <w:rsid w:val="006D36E7"/>
    <w:rsid w:val="006E3AC7"/>
    <w:rsid w:val="007042AF"/>
    <w:rsid w:val="0071187C"/>
    <w:rsid w:val="00726C7D"/>
    <w:rsid w:val="00734B2F"/>
    <w:rsid w:val="00734EF9"/>
    <w:rsid w:val="00765E1A"/>
    <w:rsid w:val="0078315B"/>
    <w:rsid w:val="007B7C4E"/>
    <w:rsid w:val="007C2B3B"/>
    <w:rsid w:val="007C34FF"/>
    <w:rsid w:val="007D040A"/>
    <w:rsid w:val="007E1BAF"/>
    <w:rsid w:val="007E1D61"/>
    <w:rsid w:val="007E1FC1"/>
    <w:rsid w:val="007F3F40"/>
    <w:rsid w:val="00811DA1"/>
    <w:rsid w:val="008136AA"/>
    <w:rsid w:val="00824ADC"/>
    <w:rsid w:val="008313F9"/>
    <w:rsid w:val="00843511"/>
    <w:rsid w:val="00846479"/>
    <w:rsid w:val="00864BA5"/>
    <w:rsid w:val="008807CA"/>
    <w:rsid w:val="00885668"/>
    <w:rsid w:val="00886365"/>
    <w:rsid w:val="008916C9"/>
    <w:rsid w:val="00897776"/>
    <w:rsid w:val="008A35A8"/>
    <w:rsid w:val="008A36F7"/>
    <w:rsid w:val="008B1220"/>
    <w:rsid w:val="008C12B0"/>
    <w:rsid w:val="008C2458"/>
    <w:rsid w:val="008C250C"/>
    <w:rsid w:val="008C302D"/>
    <w:rsid w:val="008C417C"/>
    <w:rsid w:val="008E09C0"/>
    <w:rsid w:val="008E494C"/>
    <w:rsid w:val="008F0B25"/>
    <w:rsid w:val="008F3C54"/>
    <w:rsid w:val="008F7933"/>
    <w:rsid w:val="00902E23"/>
    <w:rsid w:val="00906EC8"/>
    <w:rsid w:val="00917F1D"/>
    <w:rsid w:val="0094578F"/>
    <w:rsid w:val="00947069"/>
    <w:rsid w:val="00951853"/>
    <w:rsid w:val="00971C07"/>
    <w:rsid w:val="0097216A"/>
    <w:rsid w:val="00973B56"/>
    <w:rsid w:val="00983D9E"/>
    <w:rsid w:val="00987093"/>
    <w:rsid w:val="009B289D"/>
    <w:rsid w:val="009D4239"/>
    <w:rsid w:val="009E1BF9"/>
    <w:rsid w:val="009E1DAB"/>
    <w:rsid w:val="00A0706C"/>
    <w:rsid w:val="00A17F89"/>
    <w:rsid w:val="00A2039A"/>
    <w:rsid w:val="00A2384F"/>
    <w:rsid w:val="00A33C38"/>
    <w:rsid w:val="00A34495"/>
    <w:rsid w:val="00A40C5F"/>
    <w:rsid w:val="00A46C38"/>
    <w:rsid w:val="00A51D85"/>
    <w:rsid w:val="00A5671E"/>
    <w:rsid w:val="00A62C09"/>
    <w:rsid w:val="00A9246C"/>
    <w:rsid w:val="00AA2810"/>
    <w:rsid w:val="00AA5F05"/>
    <w:rsid w:val="00AB1350"/>
    <w:rsid w:val="00AD6CEA"/>
    <w:rsid w:val="00AE1C16"/>
    <w:rsid w:val="00AE4A9C"/>
    <w:rsid w:val="00B01957"/>
    <w:rsid w:val="00B0210D"/>
    <w:rsid w:val="00B14DED"/>
    <w:rsid w:val="00B21B10"/>
    <w:rsid w:val="00B3488D"/>
    <w:rsid w:val="00B42AB8"/>
    <w:rsid w:val="00B50694"/>
    <w:rsid w:val="00B62C6D"/>
    <w:rsid w:val="00B66AC6"/>
    <w:rsid w:val="00B74C2F"/>
    <w:rsid w:val="00B75572"/>
    <w:rsid w:val="00B7763E"/>
    <w:rsid w:val="00B8301C"/>
    <w:rsid w:val="00B93CAD"/>
    <w:rsid w:val="00B9665C"/>
    <w:rsid w:val="00B975BD"/>
    <w:rsid w:val="00BA50A9"/>
    <w:rsid w:val="00BC60B9"/>
    <w:rsid w:val="00BE2625"/>
    <w:rsid w:val="00BF1CBD"/>
    <w:rsid w:val="00BF58B6"/>
    <w:rsid w:val="00C0427A"/>
    <w:rsid w:val="00C05EE8"/>
    <w:rsid w:val="00C05FD1"/>
    <w:rsid w:val="00C10C41"/>
    <w:rsid w:val="00C14FDF"/>
    <w:rsid w:val="00C37063"/>
    <w:rsid w:val="00C6071E"/>
    <w:rsid w:val="00C62CDA"/>
    <w:rsid w:val="00C636D4"/>
    <w:rsid w:val="00C76EF9"/>
    <w:rsid w:val="00C92BD0"/>
    <w:rsid w:val="00C944CC"/>
    <w:rsid w:val="00CA1341"/>
    <w:rsid w:val="00CB7521"/>
    <w:rsid w:val="00CE63CC"/>
    <w:rsid w:val="00CE72DD"/>
    <w:rsid w:val="00CF438A"/>
    <w:rsid w:val="00CF48FA"/>
    <w:rsid w:val="00CF543B"/>
    <w:rsid w:val="00D01B7B"/>
    <w:rsid w:val="00D03F66"/>
    <w:rsid w:val="00D359E7"/>
    <w:rsid w:val="00D466BA"/>
    <w:rsid w:val="00D61B73"/>
    <w:rsid w:val="00D63DA7"/>
    <w:rsid w:val="00D650F2"/>
    <w:rsid w:val="00D705F8"/>
    <w:rsid w:val="00D75375"/>
    <w:rsid w:val="00D93DEC"/>
    <w:rsid w:val="00DB554C"/>
    <w:rsid w:val="00DC7E61"/>
    <w:rsid w:val="00DE0184"/>
    <w:rsid w:val="00E040F3"/>
    <w:rsid w:val="00E12738"/>
    <w:rsid w:val="00E46B03"/>
    <w:rsid w:val="00E506AD"/>
    <w:rsid w:val="00E65C4F"/>
    <w:rsid w:val="00E72AC9"/>
    <w:rsid w:val="00E8487F"/>
    <w:rsid w:val="00E955F8"/>
    <w:rsid w:val="00EA473A"/>
    <w:rsid w:val="00EB181B"/>
    <w:rsid w:val="00EB78BF"/>
    <w:rsid w:val="00EC15FC"/>
    <w:rsid w:val="00EE380B"/>
    <w:rsid w:val="00EE4454"/>
    <w:rsid w:val="00EF5C32"/>
    <w:rsid w:val="00F23C9F"/>
    <w:rsid w:val="00F7253A"/>
    <w:rsid w:val="00F73AD9"/>
    <w:rsid w:val="00FB1BBC"/>
    <w:rsid w:val="00FC7B0E"/>
    <w:rsid w:val="00FD3974"/>
    <w:rsid w:val="00FD67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FF586"/>
  <w15:docId w15:val="{8667E13E-A1E1-41C5-A080-B10ED2AA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36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6F7"/>
    <w:rPr>
      <w:sz w:val="20"/>
      <w:szCs w:val="20"/>
    </w:rPr>
  </w:style>
  <w:style w:type="character" w:styleId="FootnoteReference">
    <w:name w:val="footnote reference"/>
    <w:basedOn w:val="DefaultParagraphFont"/>
    <w:uiPriority w:val="99"/>
    <w:semiHidden/>
    <w:unhideWhenUsed/>
    <w:rsid w:val="008A36F7"/>
    <w:rPr>
      <w:vertAlign w:val="superscript"/>
    </w:rPr>
  </w:style>
  <w:style w:type="paragraph" w:styleId="Header">
    <w:name w:val="header"/>
    <w:basedOn w:val="Normal"/>
    <w:link w:val="HeaderChar"/>
    <w:uiPriority w:val="99"/>
    <w:unhideWhenUsed/>
    <w:rsid w:val="00824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ADC"/>
  </w:style>
  <w:style w:type="paragraph" w:styleId="Footer">
    <w:name w:val="footer"/>
    <w:basedOn w:val="Normal"/>
    <w:link w:val="FooterChar"/>
    <w:uiPriority w:val="99"/>
    <w:unhideWhenUsed/>
    <w:rsid w:val="00824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ADC"/>
  </w:style>
  <w:style w:type="paragraph" w:styleId="ListParagraph">
    <w:name w:val="List Paragraph"/>
    <w:basedOn w:val="Normal"/>
    <w:uiPriority w:val="34"/>
    <w:qFormat/>
    <w:rsid w:val="00824ADC"/>
    <w:pPr>
      <w:ind w:left="720"/>
      <w:contextualSpacing/>
    </w:pPr>
  </w:style>
  <w:style w:type="table" w:styleId="TableGrid">
    <w:name w:val="Table Grid"/>
    <w:basedOn w:val="TableNormal"/>
    <w:uiPriority w:val="39"/>
    <w:rsid w:val="00AA2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776"/>
    <w:rPr>
      <w:sz w:val="16"/>
      <w:szCs w:val="16"/>
    </w:rPr>
  </w:style>
  <w:style w:type="paragraph" w:styleId="CommentText">
    <w:name w:val="annotation text"/>
    <w:basedOn w:val="Normal"/>
    <w:link w:val="CommentTextChar"/>
    <w:uiPriority w:val="99"/>
    <w:semiHidden/>
    <w:unhideWhenUsed/>
    <w:rsid w:val="00897776"/>
    <w:pPr>
      <w:spacing w:line="240" w:lineRule="auto"/>
    </w:pPr>
    <w:rPr>
      <w:sz w:val="20"/>
      <w:szCs w:val="20"/>
    </w:rPr>
  </w:style>
  <w:style w:type="character" w:customStyle="1" w:styleId="CommentTextChar">
    <w:name w:val="Comment Text Char"/>
    <w:basedOn w:val="DefaultParagraphFont"/>
    <w:link w:val="CommentText"/>
    <w:uiPriority w:val="99"/>
    <w:semiHidden/>
    <w:rsid w:val="00897776"/>
    <w:rPr>
      <w:sz w:val="20"/>
      <w:szCs w:val="20"/>
    </w:rPr>
  </w:style>
  <w:style w:type="paragraph" w:styleId="CommentSubject">
    <w:name w:val="annotation subject"/>
    <w:basedOn w:val="CommentText"/>
    <w:next w:val="CommentText"/>
    <w:link w:val="CommentSubjectChar"/>
    <w:uiPriority w:val="99"/>
    <w:semiHidden/>
    <w:unhideWhenUsed/>
    <w:rsid w:val="00897776"/>
    <w:rPr>
      <w:b/>
      <w:bCs/>
    </w:rPr>
  </w:style>
  <w:style w:type="character" w:customStyle="1" w:styleId="CommentSubjectChar">
    <w:name w:val="Comment Subject Char"/>
    <w:basedOn w:val="CommentTextChar"/>
    <w:link w:val="CommentSubject"/>
    <w:uiPriority w:val="99"/>
    <w:semiHidden/>
    <w:rsid w:val="00897776"/>
    <w:rPr>
      <w:b/>
      <w:bCs/>
      <w:sz w:val="20"/>
      <w:szCs w:val="20"/>
    </w:rPr>
  </w:style>
  <w:style w:type="paragraph" w:styleId="BodyText">
    <w:name w:val="Body Text"/>
    <w:basedOn w:val="Normal"/>
    <w:link w:val="BodyTextChar"/>
    <w:uiPriority w:val="99"/>
    <w:semiHidden/>
    <w:unhideWhenUsed/>
    <w:rsid w:val="0078315B"/>
    <w:pPr>
      <w:spacing w:after="120"/>
    </w:pPr>
  </w:style>
  <w:style w:type="character" w:customStyle="1" w:styleId="BodyTextChar">
    <w:name w:val="Body Text Char"/>
    <w:basedOn w:val="DefaultParagraphFont"/>
    <w:link w:val="BodyText"/>
    <w:uiPriority w:val="99"/>
    <w:semiHidden/>
    <w:rsid w:val="0078315B"/>
  </w:style>
  <w:style w:type="character" w:customStyle="1" w:styleId="s1">
    <w:name w:val="s1"/>
    <w:basedOn w:val="DefaultParagraphFont"/>
    <w:rsid w:val="00B50694"/>
    <w:rPr>
      <w:rFonts w:ascii="Helvetica" w:hAnsi="Helvetica" w:hint="default"/>
      <w:b w:val="0"/>
      <w:bCs w:val="0"/>
      <w:i w:val="0"/>
      <w:iCs w:val="0"/>
      <w:sz w:val="18"/>
      <w:szCs w:val="18"/>
    </w:rPr>
  </w:style>
  <w:style w:type="paragraph" w:styleId="NormalWeb">
    <w:name w:val="Normal (Web)"/>
    <w:basedOn w:val="Normal"/>
    <w:uiPriority w:val="99"/>
    <w:semiHidden/>
    <w:unhideWhenUsed/>
    <w:rsid w:val="00070640"/>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character" w:styleId="Strong">
    <w:name w:val="Strong"/>
    <w:basedOn w:val="DefaultParagraphFont"/>
    <w:uiPriority w:val="22"/>
    <w:qFormat/>
    <w:rsid w:val="00070640"/>
    <w:rPr>
      <w:b/>
      <w:bCs/>
    </w:rPr>
  </w:style>
  <w:style w:type="character" w:customStyle="1" w:styleId="mx-05">
    <w:name w:val="mx-0.5"/>
    <w:basedOn w:val="DefaultParagraphFont"/>
    <w:rsid w:val="00070640"/>
  </w:style>
  <w:style w:type="character" w:styleId="Hyperlink">
    <w:name w:val="Hyperlink"/>
    <w:basedOn w:val="DefaultParagraphFont"/>
    <w:uiPriority w:val="99"/>
    <w:unhideWhenUsed/>
    <w:rsid w:val="00E46B03"/>
    <w:rPr>
      <w:color w:val="0563C1" w:themeColor="hyperlink"/>
      <w:u w:val="single"/>
    </w:rPr>
  </w:style>
  <w:style w:type="character" w:customStyle="1" w:styleId="UnresolvedMention">
    <w:name w:val="Unresolved Mention"/>
    <w:basedOn w:val="DefaultParagraphFont"/>
    <w:uiPriority w:val="99"/>
    <w:semiHidden/>
    <w:unhideWhenUsed/>
    <w:rsid w:val="00E46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4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frobarometer.org/wp-content/uploads/2025/01/AD939-Zim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frobarometer.org/wp-content/uploads/2025/01/AD939-Zimb" TargetMode="External"/><Relationship Id="rId4" Type="http://schemas.openxmlformats.org/officeDocument/2006/relationships/settings" Target="settings.xml"/><Relationship Id="rId9" Type="http://schemas.openxmlformats.org/officeDocument/2006/relationships/hyperlink" Target="https://www.afrobarometer.org/wp-content/uploads/2025/01/AD939-Zi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34B1-893E-4007-9569-C08181E4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kudzwai gwatidzo</dc:creator>
  <cp:keywords/>
  <dc:description/>
  <cp:lastModifiedBy>JSC</cp:lastModifiedBy>
  <cp:revision>2</cp:revision>
  <cp:lastPrinted>2025-08-22T06:37:00Z</cp:lastPrinted>
  <dcterms:created xsi:type="dcterms:W3CDTF">2025-08-22T10:28:00Z</dcterms:created>
  <dcterms:modified xsi:type="dcterms:W3CDTF">2025-08-22T10:28:00Z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cfbb7ee929a723ed8125d1b89986d5a1867524ebe80363d9c3779cfce489acf7</vt:lpwstr>
  </property>
</Properties>
</file>