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34360" w14:textId="77777777" w:rsidR="00473143" w:rsidRDefault="00473143" w:rsidP="00306C46">
      <w:pPr>
        <w:spacing w:line="240" w:lineRule="auto"/>
        <w:contextualSpacing/>
        <w:rPr>
          <w:rFonts w:ascii="new roman" w:hAnsi="new roman"/>
          <w:sz w:val="24"/>
          <w:szCs w:val="24"/>
        </w:rPr>
      </w:pPr>
      <w:r>
        <w:rPr>
          <w:rFonts w:ascii="new roman" w:hAnsi="new roman"/>
          <w:sz w:val="24"/>
          <w:szCs w:val="24"/>
        </w:rPr>
        <w:t xml:space="preserve">THE STATE </w:t>
      </w:r>
    </w:p>
    <w:p w14:paraId="157C8BC6" w14:textId="77777777" w:rsidR="00473143" w:rsidRDefault="00473143" w:rsidP="00306C46">
      <w:pPr>
        <w:spacing w:line="240" w:lineRule="auto"/>
        <w:contextualSpacing/>
        <w:rPr>
          <w:rFonts w:ascii="new roman" w:hAnsi="new roman"/>
          <w:sz w:val="24"/>
          <w:szCs w:val="24"/>
        </w:rPr>
      </w:pPr>
      <w:r>
        <w:rPr>
          <w:rFonts w:ascii="new roman" w:hAnsi="new roman"/>
          <w:sz w:val="24"/>
          <w:szCs w:val="24"/>
        </w:rPr>
        <w:t>versus</w:t>
      </w:r>
    </w:p>
    <w:p w14:paraId="660AF2DC" w14:textId="77777777" w:rsidR="00473143" w:rsidRDefault="00473143" w:rsidP="00306C46">
      <w:pPr>
        <w:spacing w:line="240" w:lineRule="auto"/>
        <w:contextualSpacing/>
        <w:rPr>
          <w:rFonts w:ascii="new roman" w:hAnsi="new roman"/>
          <w:sz w:val="24"/>
          <w:szCs w:val="24"/>
        </w:rPr>
      </w:pPr>
      <w:r>
        <w:rPr>
          <w:rFonts w:ascii="new roman" w:hAnsi="new roman"/>
          <w:sz w:val="24"/>
          <w:szCs w:val="24"/>
        </w:rPr>
        <w:t>BERNARD KUFAKUNESU</w:t>
      </w:r>
      <w:r>
        <w:rPr>
          <w:rFonts w:ascii="new roman" w:hAnsi="new roman"/>
          <w:sz w:val="24"/>
          <w:szCs w:val="24"/>
        </w:rPr>
        <w:br/>
      </w:r>
    </w:p>
    <w:p w14:paraId="12D3D403" w14:textId="77777777" w:rsidR="00306C46" w:rsidRDefault="00306C46" w:rsidP="00306C46">
      <w:pPr>
        <w:spacing w:line="240" w:lineRule="auto"/>
        <w:contextualSpacing/>
        <w:rPr>
          <w:rFonts w:ascii="new roman" w:hAnsi="new roman"/>
          <w:sz w:val="24"/>
          <w:szCs w:val="24"/>
        </w:rPr>
      </w:pPr>
    </w:p>
    <w:p w14:paraId="4D13CA26" w14:textId="0B18B6F6" w:rsidR="00473143" w:rsidRDefault="00473143" w:rsidP="00306C46">
      <w:pPr>
        <w:spacing w:line="240" w:lineRule="auto"/>
        <w:contextualSpacing/>
        <w:rPr>
          <w:rFonts w:ascii="new roman" w:hAnsi="new roman"/>
          <w:sz w:val="24"/>
          <w:szCs w:val="24"/>
        </w:rPr>
      </w:pPr>
      <w:r>
        <w:rPr>
          <w:rFonts w:ascii="new roman" w:hAnsi="new roman"/>
          <w:sz w:val="24"/>
          <w:szCs w:val="24"/>
        </w:rPr>
        <w:t>IN THE HIGH COURT OF ZIMBABWE</w:t>
      </w:r>
      <w:r>
        <w:rPr>
          <w:rFonts w:ascii="new roman" w:hAnsi="new roman"/>
          <w:sz w:val="24"/>
          <w:szCs w:val="24"/>
        </w:rPr>
        <w:br/>
      </w:r>
      <w:r w:rsidR="00553864" w:rsidRPr="00837959">
        <w:rPr>
          <w:rFonts w:ascii="new roman" w:hAnsi="new roman"/>
          <w:b/>
          <w:bCs/>
          <w:sz w:val="24"/>
          <w:szCs w:val="24"/>
        </w:rPr>
        <w:t>BACHI MZAWAZI J</w:t>
      </w:r>
      <w:r w:rsidR="00553864">
        <w:rPr>
          <w:rFonts w:ascii="new roman" w:hAnsi="new roman"/>
          <w:sz w:val="24"/>
          <w:szCs w:val="24"/>
        </w:rPr>
        <w:br/>
        <w:t xml:space="preserve">CHINHOYI </w:t>
      </w:r>
      <w:r w:rsidR="00052CB0">
        <w:rPr>
          <w:rFonts w:ascii="new roman" w:hAnsi="new roman"/>
          <w:sz w:val="24"/>
          <w:szCs w:val="24"/>
        </w:rPr>
        <w:t xml:space="preserve">12, 14 </w:t>
      </w:r>
      <w:r w:rsidR="00553864">
        <w:rPr>
          <w:rFonts w:ascii="new roman" w:hAnsi="new roman"/>
          <w:sz w:val="24"/>
          <w:szCs w:val="24"/>
        </w:rPr>
        <w:t>&amp;</w:t>
      </w:r>
      <w:r w:rsidR="00052CB0">
        <w:rPr>
          <w:rFonts w:ascii="new roman" w:hAnsi="new roman"/>
          <w:sz w:val="24"/>
          <w:szCs w:val="24"/>
        </w:rPr>
        <w:t xml:space="preserve"> 17 </w:t>
      </w:r>
      <w:r>
        <w:rPr>
          <w:rFonts w:ascii="new roman" w:hAnsi="new roman"/>
          <w:sz w:val="24"/>
          <w:szCs w:val="24"/>
        </w:rPr>
        <w:t>F</w:t>
      </w:r>
      <w:r w:rsidR="00052CB0">
        <w:rPr>
          <w:rFonts w:ascii="new roman" w:hAnsi="new roman"/>
          <w:sz w:val="24"/>
          <w:szCs w:val="24"/>
        </w:rPr>
        <w:t>ebruary</w:t>
      </w:r>
      <w:r>
        <w:rPr>
          <w:rFonts w:ascii="new roman" w:hAnsi="new roman"/>
          <w:sz w:val="24"/>
          <w:szCs w:val="24"/>
        </w:rPr>
        <w:t xml:space="preserve"> 2025</w:t>
      </w:r>
    </w:p>
    <w:p w14:paraId="3C683712" w14:textId="77777777" w:rsidR="00306C46" w:rsidRDefault="00306C46" w:rsidP="00306C46">
      <w:pPr>
        <w:spacing w:line="240" w:lineRule="auto"/>
        <w:contextualSpacing/>
        <w:rPr>
          <w:rFonts w:ascii="new roman" w:hAnsi="new roman"/>
          <w:b/>
          <w:sz w:val="24"/>
          <w:szCs w:val="24"/>
        </w:rPr>
      </w:pPr>
    </w:p>
    <w:p w14:paraId="23F7BCEF" w14:textId="77777777" w:rsidR="00306C46" w:rsidRDefault="00306C46" w:rsidP="00306C46">
      <w:pPr>
        <w:spacing w:line="240" w:lineRule="auto"/>
        <w:contextualSpacing/>
        <w:rPr>
          <w:rFonts w:ascii="new roman" w:hAnsi="new roman"/>
          <w:b/>
          <w:sz w:val="24"/>
          <w:szCs w:val="24"/>
        </w:rPr>
      </w:pPr>
    </w:p>
    <w:p w14:paraId="06E6604F" w14:textId="3F6BA2ED" w:rsidR="00306C46" w:rsidRDefault="00306C46" w:rsidP="00306C46">
      <w:pPr>
        <w:spacing w:line="240" w:lineRule="auto"/>
        <w:contextualSpacing/>
        <w:rPr>
          <w:rFonts w:ascii="new roman" w:hAnsi="new roman"/>
          <w:sz w:val="24"/>
          <w:szCs w:val="24"/>
        </w:rPr>
      </w:pPr>
      <w:r>
        <w:rPr>
          <w:rFonts w:ascii="new roman" w:hAnsi="new roman"/>
          <w:sz w:val="24"/>
          <w:szCs w:val="24"/>
        </w:rPr>
        <w:t xml:space="preserve">Assessors: </w:t>
      </w:r>
      <w:r>
        <w:rPr>
          <w:rFonts w:ascii="new roman" w:hAnsi="new roman"/>
          <w:sz w:val="24"/>
          <w:szCs w:val="24"/>
        </w:rPr>
        <w:tab/>
      </w:r>
      <w:r w:rsidRPr="00306C46">
        <w:rPr>
          <w:rFonts w:ascii="new roman" w:hAnsi="new roman"/>
          <w:i/>
          <w:iCs/>
          <w:sz w:val="24"/>
          <w:szCs w:val="24"/>
        </w:rPr>
        <w:t xml:space="preserve">1. Dr Mashavave </w:t>
      </w:r>
      <w:r w:rsidRPr="00306C46">
        <w:rPr>
          <w:rFonts w:ascii="new roman" w:hAnsi="new roman"/>
          <w:i/>
          <w:iCs/>
          <w:sz w:val="24"/>
          <w:szCs w:val="24"/>
        </w:rPr>
        <w:br/>
        <w:t xml:space="preserve">                   </w:t>
      </w:r>
      <w:r w:rsidRPr="00306C46">
        <w:rPr>
          <w:rFonts w:ascii="new roman" w:hAnsi="new roman"/>
          <w:i/>
          <w:iCs/>
          <w:sz w:val="24"/>
          <w:szCs w:val="24"/>
        </w:rPr>
        <w:tab/>
        <w:t>2. Mr Kamanga</w:t>
      </w:r>
    </w:p>
    <w:p w14:paraId="35F640A2" w14:textId="77777777" w:rsidR="00306C46" w:rsidRDefault="00306C46" w:rsidP="00306C46">
      <w:pPr>
        <w:spacing w:line="240" w:lineRule="auto"/>
        <w:contextualSpacing/>
        <w:rPr>
          <w:rFonts w:ascii="new roman" w:hAnsi="new roman"/>
          <w:b/>
          <w:sz w:val="24"/>
          <w:szCs w:val="24"/>
        </w:rPr>
      </w:pPr>
    </w:p>
    <w:p w14:paraId="4B928E01" w14:textId="77777777" w:rsidR="00306C46" w:rsidRDefault="00306C46" w:rsidP="00306C46">
      <w:pPr>
        <w:spacing w:line="240" w:lineRule="auto"/>
        <w:contextualSpacing/>
        <w:rPr>
          <w:rFonts w:ascii="new roman" w:hAnsi="new roman"/>
          <w:b/>
          <w:sz w:val="24"/>
          <w:szCs w:val="24"/>
        </w:rPr>
      </w:pPr>
    </w:p>
    <w:p w14:paraId="0B3EE0AF" w14:textId="1F56449A" w:rsidR="00473143" w:rsidRDefault="00473143" w:rsidP="00306C46">
      <w:pPr>
        <w:spacing w:line="240" w:lineRule="auto"/>
        <w:contextualSpacing/>
        <w:rPr>
          <w:rFonts w:ascii="new roman" w:hAnsi="new roman"/>
          <w:b/>
          <w:sz w:val="24"/>
          <w:szCs w:val="24"/>
        </w:rPr>
      </w:pPr>
      <w:r w:rsidRPr="00473143">
        <w:rPr>
          <w:rFonts w:ascii="new roman" w:hAnsi="new roman"/>
          <w:b/>
          <w:sz w:val="24"/>
          <w:szCs w:val="24"/>
        </w:rPr>
        <w:t>Criminal Trial</w:t>
      </w:r>
    </w:p>
    <w:p w14:paraId="173FE468" w14:textId="092A1C5D" w:rsidR="00306C46" w:rsidRDefault="00306C46" w:rsidP="00306C46">
      <w:pPr>
        <w:spacing w:line="240" w:lineRule="auto"/>
        <w:contextualSpacing/>
        <w:rPr>
          <w:rFonts w:ascii="new roman" w:hAnsi="new roman"/>
          <w:b/>
          <w:sz w:val="24"/>
          <w:szCs w:val="24"/>
        </w:rPr>
      </w:pPr>
    </w:p>
    <w:p w14:paraId="2F8EC034" w14:textId="77777777" w:rsidR="00306C46" w:rsidRDefault="00306C46" w:rsidP="00306C46">
      <w:pPr>
        <w:spacing w:line="240" w:lineRule="auto"/>
        <w:contextualSpacing/>
        <w:rPr>
          <w:rFonts w:ascii="new roman" w:hAnsi="new roman"/>
          <w:b/>
          <w:sz w:val="24"/>
          <w:szCs w:val="24"/>
        </w:rPr>
      </w:pPr>
    </w:p>
    <w:p w14:paraId="063E5AFE" w14:textId="3C960840" w:rsidR="00473143" w:rsidRPr="00DD2F1B" w:rsidRDefault="00553864" w:rsidP="00306C46">
      <w:pPr>
        <w:spacing w:line="240" w:lineRule="auto"/>
        <w:contextualSpacing/>
        <w:rPr>
          <w:rFonts w:ascii="new roman" w:hAnsi="new roman"/>
          <w:sz w:val="24"/>
          <w:szCs w:val="24"/>
        </w:rPr>
      </w:pPr>
      <w:r>
        <w:rPr>
          <w:rFonts w:ascii="new roman" w:hAnsi="new roman"/>
          <w:i/>
          <w:sz w:val="24"/>
          <w:szCs w:val="24"/>
        </w:rPr>
        <w:t>R.</w:t>
      </w:r>
      <w:r w:rsidR="000F1BD3">
        <w:rPr>
          <w:rFonts w:ascii="new roman" w:hAnsi="new roman"/>
          <w:i/>
          <w:sz w:val="24"/>
          <w:szCs w:val="24"/>
        </w:rPr>
        <w:t xml:space="preserve"> </w:t>
      </w:r>
      <w:r>
        <w:rPr>
          <w:rFonts w:ascii="new roman" w:hAnsi="new roman"/>
          <w:i/>
          <w:sz w:val="24"/>
          <w:szCs w:val="24"/>
        </w:rPr>
        <w:t xml:space="preserve">Nikisi </w:t>
      </w:r>
      <w:r w:rsidR="00DD2F1B" w:rsidRPr="00DD2F1B">
        <w:rPr>
          <w:rFonts w:ascii="new roman" w:hAnsi="new roman"/>
          <w:sz w:val="24"/>
          <w:szCs w:val="24"/>
        </w:rPr>
        <w:t>for the State</w:t>
      </w:r>
      <w:r w:rsidR="00DD2F1B">
        <w:rPr>
          <w:rFonts w:ascii="new roman" w:hAnsi="new roman"/>
          <w:sz w:val="24"/>
          <w:szCs w:val="24"/>
        </w:rPr>
        <w:br/>
      </w:r>
      <w:r w:rsidR="00DD2F1B" w:rsidRPr="00DD2F1B">
        <w:rPr>
          <w:rFonts w:ascii="new roman" w:hAnsi="new roman"/>
          <w:i/>
          <w:sz w:val="24"/>
          <w:szCs w:val="24"/>
        </w:rPr>
        <w:t>M.</w:t>
      </w:r>
      <w:r w:rsidR="000F1BD3">
        <w:rPr>
          <w:rFonts w:ascii="new roman" w:hAnsi="new roman"/>
          <w:i/>
          <w:sz w:val="24"/>
          <w:szCs w:val="24"/>
        </w:rPr>
        <w:t xml:space="preserve"> </w:t>
      </w:r>
      <w:r w:rsidR="00DD2F1B" w:rsidRPr="00DD2F1B">
        <w:rPr>
          <w:rFonts w:ascii="new roman" w:hAnsi="new roman"/>
          <w:i/>
          <w:sz w:val="24"/>
          <w:szCs w:val="24"/>
        </w:rPr>
        <w:t>Magama</w:t>
      </w:r>
      <w:r w:rsidR="00DD2F1B">
        <w:rPr>
          <w:rFonts w:ascii="new roman" w:hAnsi="new roman"/>
          <w:sz w:val="24"/>
          <w:szCs w:val="24"/>
        </w:rPr>
        <w:t xml:space="preserve"> for the Accused</w:t>
      </w:r>
    </w:p>
    <w:p w14:paraId="187D94BF" w14:textId="77777777" w:rsidR="00DD2F1B" w:rsidRDefault="00DD2F1B" w:rsidP="00E54F75">
      <w:pPr>
        <w:rPr>
          <w:rFonts w:ascii="new roman" w:hAnsi="new roman"/>
          <w:sz w:val="24"/>
          <w:szCs w:val="24"/>
        </w:rPr>
      </w:pPr>
    </w:p>
    <w:p w14:paraId="24C02A92" w14:textId="77777777" w:rsidR="004712CB" w:rsidRDefault="00DD2F1B" w:rsidP="0002528A">
      <w:pPr>
        <w:spacing w:line="360" w:lineRule="auto"/>
        <w:rPr>
          <w:rFonts w:ascii="new roman" w:hAnsi="new roman"/>
          <w:b/>
          <w:sz w:val="24"/>
          <w:szCs w:val="24"/>
        </w:rPr>
      </w:pPr>
      <w:r w:rsidRPr="00DD2F1B">
        <w:rPr>
          <w:rFonts w:ascii="new roman" w:hAnsi="new roman"/>
          <w:b/>
          <w:sz w:val="24"/>
          <w:szCs w:val="24"/>
        </w:rPr>
        <w:t>BACHI MZAWAZI J:</w:t>
      </w:r>
      <w:r>
        <w:rPr>
          <w:rFonts w:ascii="new roman" w:hAnsi="new roman"/>
          <w:b/>
          <w:sz w:val="24"/>
          <w:szCs w:val="24"/>
        </w:rPr>
        <w:t xml:space="preserve"> </w:t>
      </w:r>
    </w:p>
    <w:p w14:paraId="7B2DEBF1" w14:textId="77777777" w:rsidR="00C030B6" w:rsidRPr="00C030B6" w:rsidRDefault="00C030B6" w:rsidP="0002528A">
      <w:pPr>
        <w:spacing w:line="360" w:lineRule="auto"/>
        <w:rPr>
          <w:rFonts w:ascii="new roman" w:hAnsi="new roman"/>
          <w:sz w:val="24"/>
          <w:szCs w:val="24"/>
          <w:u w:val="single"/>
        </w:rPr>
      </w:pPr>
      <w:r w:rsidRPr="00C030B6">
        <w:rPr>
          <w:rFonts w:ascii="new roman" w:hAnsi="new roman"/>
          <w:sz w:val="24"/>
          <w:szCs w:val="24"/>
          <w:u w:val="single"/>
        </w:rPr>
        <w:t>Summarized background</w:t>
      </w:r>
    </w:p>
    <w:p w14:paraId="2BC172A4" w14:textId="2F7C35E7" w:rsidR="00553864" w:rsidRDefault="00553864" w:rsidP="008A253E">
      <w:pPr>
        <w:spacing w:line="360" w:lineRule="auto"/>
        <w:jc w:val="both"/>
        <w:rPr>
          <w:rFonts w:ascii="new roman" w:hAnsi="new roman"/>
          <w:sz w:val="24"/>
          <w:szCs w:val="24"/>
        </w:rPr>
      </w:pPr>
      <w:r>
        <w:rPr>
          <w:rFonts w:ascii="new roman" w:hAnsi="new roman"/>
          <w:sz w:val="24"/>
          <w:szCs w:val="24"/>
        </w:rPr>
        <w:t xml:space="preserve">The accused person has been convicted of murder with constructive </w:t>
      </w:r>
      <w:r w:rsidR="008A253E">
        <w:rPr>
          <w:rFonts w:ascii="new roman" w:hAnsi="new roman"/>
          <w:sz w:val="24"/>
          <w:szCs w:val="24"/>
        </w:rPr>
        <w:t xml:space="preserve">intent </w:t>
      </w:r>
      <w:r w:rsidR="000F1BD3">
        <w:rPr>
          <w:rFonts w:ascii="new roman" w:hAnsi="new roman"/>
          <w:sz w:val="24"/>
          <w:szCs w:val="24"/>
        </w:rPr>
        <w:t>of the</w:t>
      </w:r>
      <w:r>
        <w:rPr>
          <w:rFonts w:ascii="new roman" w:hAnsi="new roman"/>
          <w:sz w:val="24"/>
          <w:szCs w:val="24"/>
        </w:rPr>
        <w:t xml:space="preserve"> </w:t>
      </w:r>
      <w:r w:rsidR="000F1BD3">
        <w:rPr>
          <w:rFonts w:ascii="new roman" w:hAnsi="new roman"/>
          <w:sz w:val="24"/>
          <w:szCs w:val="24"/>
        </w:rPr>
        <w:t>deceased Viola</w:t>
      </w:r>
      <w:r w:rsidRPr="007F1297">
        <w:rPr>
          <w:rFonts w:ascii="new roman" w:hAnsi="new roman"/>
          <w:sz w:val="24"/>
          <w:szCs w:val="24"/>
        </w:rPr>
        <w:t xml:space="preserve"> Chitsinde</w:t>
      </w:r>
      <w:r>
        <w:rPr>
          <w:rFonts w:ascii="new roman" w:hAnsi="new roman"/>
          <w:sz w:val="24"/>
          <w:szCs w:val="24"/>
        </w:rPr>
        <w:t>, a woman with whom he had two minor children and used to stay with as his second ‘wife’, through assaults and strangulation using an</w:t>
      </w:r>
      <w:r w:rsidRPr="007F1297">
        <w:rPr>
          <w:rFonts w:ascii="new roman" w:hAnsi="new roman"/>
          <w:sz w:val="24"/>
          <w:szCs w:val="24"/>
        </w:rPr>
        <w:t xml:space="preserve"> electric iron power cable</w:t>
      </w:r>
      <w:r>
        <w:rPr>
          <w:rFonts w:ascii="new roman" w:hAnsi="new roman"/>
          <w:sz w:val="24"/>
          <w:szCs w:val="24"/>
        </w:rPr>
        <w:t>.  The offence took place on the 28th of October 2024,</w:t>
      </w:r>
      <w:r w:rsidRPr="007F1297">
        <w:rPr>
          <w:rFonts w:ascii="new roman" w:hAnsi="new roman"/>
          <w:sz w:val="24"/>
          <w:szCs w:val="24"/>
        </w:rPr>
        <w:t xml:space="preserve"> at Tegwede Shop, Ma</w:t>
      </w:r>
      <w:r>
        <w:rPr>
          <w:rFonts w:ascii="new roman" w:hAnsi="new roman"/>
          <w:sz w:val="24"/>
          <w:szCs w:val="24"/>
        </w:rPr>
        <w:t xml:space="preserve">siyarwa Business Centre, Zvimba. The deceased who was visibly pregnant had demanded some cash for a scan through one of the police officers at Kutama Police station who in </w:t>
      </w:r>
      <w:r w:rsidR="000F1BD3">
        <w:rPr>
          <w:rFonts w:ascii="new roman" w:hAnsi="new roman"/>
          <w:sz w:val="24"/>
          <w:szCs w:val="24"/>
        </w:rPr>
        <w:t>turn had</w:t>
      </w:r>
      <w:r>
        <w:rPr>
          <w:rFonts w:ascii="new roman" w:hAnsi="new roman"/>
          <w:sz w:val="24"/>
          <w:szCs w:val="24"/>
        </w:rPr>
        <w:t xml:space="preserve"> called the accused.  The deceased ended up at the accused’s shop residence where a fatal altercation ensued. The body of the deceased was discovered a few kilometres away from the accused’s home. This resulted in the arrest of the accused. He was charged with</w:t>
      </w:r>
      <w:r w:rsidRPr="006505E2">
        <w:rPr>
          <w:rFonts w:ascii="new roman" w:hAnsi="new roman"/>
          <w:sz w:val="24"/>
          <w:szCs w:val="24"/>
        </w:rPr>
        <w:t xml:space="preserve"> </w:t>
      </w:r>
      <w:r>
        <w:rPr>
          <w:rFonts w:ascii="new roman" w:hAnsi="new roman"/>
          <w:sz w:val="24"/>
          <w:szCs w:val="24"/>
        </w:rPr>
        <w:t>murder as defined in section 47 of the Criminal Law Code.</w:t>
      </w:r>
    </w:p>
    <w:p w14:paraId="3757BB3F" w14:textId="013BC8B9" w:rsidR="00C030B6" w:rsidRDefault="00553864" w:rsidP="008A253E">
      <w:pPr>
        <w:spacing w:line="360" w:lineRule="auto"/>
        <w:jc w:val="both"/>
        <w:rPr>
          <w:rFonts w:ascii="new roman" w:hAnsi="new roman"/>
          <w:sz w:val="24"/>
          <w:szCs w:val="24"/>
        </w:rPr>
      </w:pPr>
      <w:r w:rsidRPr="00553864">
        <w:rPr>
          <w:rFonts w:ascii="new roman" w:hAnsi="new roman"/>
          <w:sz w:val="24"/>
          <w:szCs w:val="24"/>
        </w:rPr>
        <w:t>In his defence outline</w:t>
      </w:r>
      <w:r>
        <w:rPr>
          <w:rFonts w:ascii="new roman" w:hAnsi="new roman"/>
          <w:sz w:val="24"/>
          <w:szCs w:val="24"/>
        </w:rPr>
        <w:t xml:space="preserve">, the accused admitted to killing the deceased but denied having the requisite intention to murder. It is his evidence that though he was not amused with </w:t>
      </w:r>
      <w:r w:rsidR="00395226">
        <w:rPr>
          <w:rFonts w:ascii="new roman" w:hAnsi="new roman"/>
          <w:sz w:val="24"/>
          <w:szCs w:val="24"/>
        </w:rPr>
        <w:t xml:space="preserve">the </w:t>
      </w:r>
      <w:r>
        <w:rPr>
          <w:rFonts w:ascii="new roman" w:hAnsi="new roman"/>
          <w:sz w:val="24"/>
          <w:szCs w:val="24"/>
        </w:rPr>
        <w:t>police station avenue</w:t>
      </w:r>
      <w:r w:rsidR="00395226">
        <w:rPr>
          <w:rFonts w:ascii="new roman" w:hAnsi="new roman"/>
          <w:sz w:val="24"/>
          <w:szCs w:val="24"/>
        </w:rPr>
        <w:t xml:space="preserve"> that</w:t>
      </w:r>
      <w:r>
        <w:rPr>
          <w:rFonts w:ascii="new roman" w:hAnsi="new roman"/>
          <w:sz w:val="24"/>
          <w:szCs w:val="24"/>
        </w:rPr>
        <w:t xml:space="preserve"> had</w:t>
      </w:r>
      <w:r w:rsidR="00395226">
        <w:rPr>
          <w:rFonts w:ascii="new roman" w:hAnsi="new roman"/>
          <w:sz w:val="24"/>
          <w:szCs w:val="24"/>
        </w:rPr>
        <w:t xml:space="preserve"> been </w:t>
      </w:r>
      <w:r w:rsidR="00837959">
        <w:rPr>
          <w:rFonts w:ascii="new roman" w:hAnsi="new roman"/>
          <w:sz w:val="24"/>
          <w:szCs w:val="24"/>
        </w:rPr>
        <w:t xml:space="preserve">chosen </w:t>
      </w:r>
      <w:r w:rsidR="00395226">
        <w:rPr>
          <w:rFonts w:ascii="new roman" w:hAnsi="new roman"/>
          <w:sz w:val="24"/>
          <w:szCs w:val="24"/>
        </w:rPr>
        <w:t>by the deceased</w:t>
      </w:r>
      <w:r>
        <w:rPr>
          <w:rFonts w:ascii="new roman" w:hAnsi="new roman"/>
          <w:sz w:val="24"/>
          <w:szCs w:val="24"/>
        </w:rPr>
        <w:t xml:space="preserve"> to settle their monetary disputes </w:t>
      </w:r>
      <w:r w:rsidR="00395226">
        <w:rPr>
          <w:rFonts w:ascii="new roman" w:hAnsi="new roman"/>
          <w:sz w:val="24"/>
          <w:szCs w:val="24"/>
        </w:rPr>
        <w:t xml:space="preserve">as they had always </w:t>
      </w:r>
      <w:r w:rsidR="00837959">
        <w:rPr>
          <w:rFonts w:ascii="new roman" w:hAnsi="new roman"/>
          <w:sz w:val="24"/>
          <w:szCs w:val="24"/>
        </w:rPr>
        <w:t xml:space="preserve">previously </w:t>
      </w:r>
      <w:r w:rsidR="00395226">
        <w:rPr>
          <w:rFonts w:ascii="new roman" w:hAnsi="new roman"/>
          <w:sz w:val="24"/>
          <w:szCs w:val="24"/>
        </w:rPr>
        <w:t xml:space="preserve">resolved them privately, he had agreed to meet the deceased at his shop homestead. He stated that at first there was rapport but later on the deceased who had been </w:t>
      </w:r>
      <w:r w:rsidR="00395226">
        <w:rPr>
          <w:rFonts w:ascii="new roman" w:hAnsi="new roman"/>
          <w:sz w:val="24"/>
          <w:szCs w:val="24"/>
        </w:rPr>
        <w:lastRenderedPageBreak/>
        <w:t>spoiling for a fight by going through his mobile handset and shop transactions notebooks poked his face amidst some accusations. He retaliated by slapping the deceased once on the chick resulting in the deceased aim</w:t>
      </w:r>
      <w:r w:rsidR="00837959">
        <w:rPr>
          <w:rFonts w:ascii="new roman" w:hAnsi="new roman"/>
          <w:sz w:val="24"/>
          <w:szCs w:val="24"/>
        </w:rPr>
        <w:t>ing</w:t>
      </w:r>
      <w:r w:rsidR="00395226">
        <w:rPr>
          <w:rFonts w:ascii="new roman" w:hAnsi="new roman"/>
          <w:sz w:val="24"/>
          <w:szCs w:val="24"/>
        </w:rPr>
        <w:t xml:space="preserve"> an electric iron at him. In the process of blocking the iron strike, the deceased is said to have been entangled by the iron cord and was choked when they both fell to the ground. The accused does not admit that the deceased died there and then in his residence but said after being strangled she rose to her feet and left into the darkness of the night. He only learnt of the victim’s death the following morning when summoned by the police after taking his four year old to pre-school</w:t>
      </w:r>
      <w:r w:rsidR="00837959">
        <w:rPr>
          <w:rFonts w:ascii="new roman" w:hAnsi="new roman"/>
          <w:sz w:val="24"/>
          <w:szCs w:val="24"/>
        </w:rPr>
        <w:t>.</w:t>
      </w:r>
    </w:p>
    <w:p w14:paraId="3BB7262C" w14:textId="77777777" w:rsidR="004712CB" w:rsidRDefault="00C030B6" w:rsidP="008A253E">
      <w:pPr>
        <w:spacing w:line="360" w:lineRule="auto"/>
        <w:jc w:val="both"/>
        <w:rPr>
          <w:rFonts w:ascii="new roman" w:hAnsi="new roman"/>
          <w:sz w:val="24"/>
          <w:szCs w:val="24"/>
          <w:u w:val="single"/>
        </w:rPr>
      </w:pPr>
      <w:r w:rsidRPr="00C030B6">
        <w:rPr>
          <w:rFonts w:ascii="new roman" w:hAnsi="new roman"/>
          <w:sz w:val="24"/>
          <w:szCs w:val="24"/>
          <w:u w:val="single"/>
        </w:rPr>
        <w:t>Witness Evidence</w:t>
      </w:r>
      <w:r w:rsidR="00395226" w:rsidRPr="00C030B6">
        <w:rPr>
          <w:rFonts w:ascii="new roman" w:hAnsi="new roman"/>
          <w:sz w:val="24"/>
          <w:szCs w:val="24"/>
          <w:u w:val="single"/>
        </w:rPr>
        <w:t>.</w:t>
      </w:r>
    </w:p>
    <w:p w14:paraId="7C4027FE" w14:textId="77777777" w:rsidR="00C030B6" w:rsidRPr="00C030B6" w:rsidRDefault="00C030B6" w:rsidP="008A253E">
      <w:pPr>
        <w:spacing w:line="360" w:lineRule="auto"/>
        <w:jc w:val="both"/>
        <w:rPr>
          <w:rFonts w:ascii="new roman" w:hAnsi="new roman"/>
          <w:sz w:val="24"/>
          <w:szCs w:val="24"/>
          <w:u w:val="single"/>
        </w:rPr>
      </w:pPr>
      <w:r>
        <w:rPr>
          <w:rFonts w:ascii="new roman" w:hAnsi="new roman"/>
          <w:sz w:val="24"/>
          <w:szCs w:val="24"/>
          <w:u w:val="single"/>
        </w:rPr>
        <w:t>Bernard Kufakunesu Junior</w:t>
      </w:r>
    </w:p>
    <w:p w14:paraId="444B3C73" w14:textId="6D900818" w:rsidR="00CD6911" w:rsidRDefault="00395226" w:rsidP="008A253E">
      <w:pPr>
        <w:spacing w:line="360" w:lineRule="auto"/>
        <w:jc w:val="both"/>
        <w:rPr>
          <w:rFonts w:ascii="new roman" w:hAnsi="new roman"/>
          <w:sz w:val="24"/>
          <w:szCs w:val="24"/>
        </w:rPr>
      </w:pPr>
      <w:r>
        <w:rPr>
          <w:rFonts w:ascii="new roman" w:hAnsi="new roman"/>
          <w:sz w:val="24"/>
          <w:szCs w:val="24"/>
        </w:rPr>
        <w:t>Strange as it may be</w:t>
      </w:r>
      <w:r w:rsidR="00CD6911">
        <w:rPr>
          <w:rFonts w:ascii="new roman" w:hAnsi="new roman"/>
          <w:sz w:val="24"/>
          <w:szCs w:val="24"/>
        </w:rPr>
        <w:t xml:space="preserve">, it is this four </w:t>
      </w:r>
      <w:r>
        <w:rPr>
          <w:rFonts w:ascii="new roman" w:hAnsi="new roman"/>
          <w:sz w:val="24"/>
          <w:szCs w:val="24"/>
        </w:rPr>
        <w:t>year old,</w:t>
      </w:r>
      <w:r w:rsidR="00CD6911">
        <w:rPr>
          <w:rFonts w:ascii="new roman" w:hAnsi="new roman"/>
          <w:sz w:val="24"/>
          <w:szCs w:val="24"/>
        </w:rPr>
        <w:t xml:space="preserve"> </w:t>
      </w:r>
      <w:r>
        <w:rPr>
          <w:rFonts w:ascii="new roman" w:hAnsi="new roman"/>
          <w:sz w:val="24"/>
          <w:szCs w:val="24"/>
        </w:rPr>
        <w:t>the accused person’</w:t>
      </w:r>
      <w:r w:rsidR="000F1BD3">
        <w:rPr>
          <w:rFonts w:ascii="new roman" w:hAnsi="new roman"/>
          <w:sz w:val="24"/>
          <w:szCs w:val="24"/>
        </w:rPr>
        <w:t>s</w:t>
      </w:r>
      <w:r>
        <w:rPr>
          <w:rFonts w:ascii="new roman" w:hAnsi="new roman"/>
          <w:sz w:val="24"/>
          <w:szCs w:val="24"/>
        </w:rPr>
        <w:t xml:space="preserve"> son,</w:t>
      </w:r>
      <w:r w:rsidR="00DD2F1B">
        <w:rPr>
          <w:rFonts w:ascii="new roman" w:hAnsi="new roman"/>
          <w:sz w:val="24"/>
          <w:szCs w:val="24"/>
        </w:rPr>
        <w:t xml:space="preserve"> Bernard Kufakunesu </w:t>
      </w:r>
      <w:r w:rsidR="00CD6911">
        <w:rPr>
          <w:rFonts w:ascii="new roman" w:hAnsi="new roman"/>
          <w:sz w:val="24"/>
          <w:szCs w:val="24"/>
        </w:rPr>
        <w:t>Junior who is the key and sole witness to this case. Unbeknown to the child’s parents the young boy witnessed the whole fracas leading to the murder. The first thing that morning, after his father left him</w:t>
      </w:r>
      <w:r w:rsidR="00837959">
        <w:rPr>
          <w:rFonts w:ascii="new roman" w:hAnsi="new roman"/>
          <w:sz w:val="24"/>
          <w:szCs w:val="24"/>
        </w:rPr>
        <w:t>,</w:t>
      </w:r>
      <w:r w:rsidR="00CD6911">
        <w:rPr>
          <w:rFonts w:ascii="new roman" w:hAnsi="new roman"/>
          <w:sz w:val="24"/>
          <w:szCs w:val="24"/>
        </w:rPr>
        <w:t xml:space="preserve"> the small child related the incident in detail to his class teacher. The evidence of the class teacher was recorded by the police and tendered unopposed in court.</w:t>
      </w:r>
    </w:p>
    <w:p w14:paraId="155AE750" w14:textId="5F789751" w:rsidR="00CD6911" w:rsidRDefault="00CD6911" w:rsidP="008A253E">
      <w:pPr>
        <w:spacing w:line="360" w:lineRule="auto"/>
        <w:jc w:val="both"/>
        <w:rPr>
          <w:rFonts w:ascii="new roman" w:hAnsi="new roman"/>
          <w:sz w:val="24"/>
          <w:szCs w:val="24"/>
        </w:rPr>
      </w:pPr>
      <w:r>
        <w:rPr>
          <w:rFonts w:ascii="new roman" w:hAnsi="new roman"/>
          <w:sz w:val="24"/>
          <w:szCs w:val="24"/>
        </w:rPr>
        <w:t>At the trial, after taking into account all the precautionary measures to eliminate inherent weaknesses in child testimonies the child was housed in the victim friendly court so as to give evidence. The court ensured that as a child of a very tender age, the atmosphere and environment was relaxed to enable him to relax. Though the set up in the victim friendly court</w:t>
      </w:r>
      <w:r w:rsidR="00693654">
        <w:rPr>
          <w:rFonts w:ascii="new roman" w:hAnsi="new roman"/>
          <w:sz w:val="24"/>
          <w:szCs w:val="24"/>
        </w:rPr>
        <w:t>,</w:t>
      </w:r>
      <w:r>
        <w:rPr>
          <w:rFonts w:ascii="new roman" w:hAnsi="new roman"/>
          <w:sz w:val="24"/>
          <w:szCs w:val="24"/>
        </w:rPr>
        <w:t xml:space="preserve"> a specialised court for that purpose</w:t>
      </w:r>
      <w:r w:rsidR="00693654">
        <w:rPr>
          <w:rFonts w:ascii="new roman" w:hAnsi="new roman"/>
          <w:sz w:val="24"/>
          <w:szCs w:val="24"/>
        </w:rPr>
        <w:t xml:space="preserve"> was friendly and inviting, the court also directed, with the consent of both the defence and state counsels to allow the class teacher to sit with the child. This was with a view that a child may withdraw when amongst strangers but can be at ease with a familiar face </w:t>
      </w:r>
      <w:r w:rsidR="00D24FE5">
        <w:rPr>
          <w:rFonts w:ascii="new roman" w:hAnsi="new roman"/>
          <w:sz w:val="24"/>
          <w:szCs w:val="24"/>
        </w:rPr>
        <w:t>close by</w:t>
      </w:r>
      <w:r w:rsidR="00693654">
        <w:rPr>
          <w:rFonts w:ascii="new roman" w:hAnsi="new roman"/>
          <w:sz w:val="24"/>
          <w:szCs w:val="24"/>
        </w:rPr>
        <w:t>. This intervention alongside the assistance from a female interpreter made the environment more conducive for a four year old. The metho</w:t>
      </w:r>
      <w:r w:rsidR="00D24FE5">
        <w:rPr>
          <w:rFonts w:ascii="new roman" w:hAnsi="new roman"/>
          <w:sz w:val="24"/>
          <w:szCs w:val="24"/>
        </w:rPr>
        <w:t>d paid</w:t>
      </w:r>
      <w:r w:rsidR="00693654">
        <w:rPr>
          <w:rFonts w:ascii="new roman" w:hAnsi="new roman"/>
          <w:sz w:val="24"/>
          <w:szCs w:val="24"/>
        </w:rPr>
        <w:t xml:space="preserve"> dividends as the four year </w:t>
      </w:r>
      <w:r w:rsidR="00D24FE5">
        <w:rPr>
          <w:rFonts w:ascii="new roman" w:hAnsi="new roman"/>
          <w:sz w:val="24"/>
          <w:szCs w:val="24"/>
        </w:rPr>
        <w:t>old’s</w:t>
      </w:r>
      <w:r w:rsidR="00693654">
        <w:rPr>
          <w:rFonts w:ascii="new roman" w:hAnsi="new roman"/>
          <w:sz w:val="24"/>
          <w:szCs w:val="24"/>
        </w:rPr>
        <w:t xml:space="preserve"> testimony was fluent, coherent, consistent and s</w:t>
      </w:r>
      <w:r w:rsidR="00837959">
        <w:rPr>
          <w:rFonts w:ascii="new roman" w:hAnsi="new roman"/>
          <w:sz w:val="24"/>
          <w:szCs w:val="24"/>
        </w:rPr>
        <w:t>mooth</w:t>
      </w:r>
      <w:r w:rsidR="00693654">
        <w:rPr>
          <w:rFonts w:ascii="new roman" w:hAnsi="new roman"/>
          <w:sz w:val="24"/>
          <w:szCs w:val="24"/>
        </w:rPr>
        <w:t xml:space="preserve"> flowing.</w:t>
      </w:r>
    </w:p>
    <w:p w14:paraId="0FB29CF4" w14:textId="27E77247" w:rsidR="000F1BD3" w:rsidRDefault="00693654" w:rsidP="008A253E">
      <w:pPr>
        <w:spacing w:line="360" w:lineRule="auto"/>
        <w:jc w:val="both"/>
        <w:rPr>
          <w:rFonts w:ascii="new roman" w:hAnsi="new roman"/>
          <w:sz w:val="24"/>
          <w:szCs w:val="24"/>
        </w:rPr>
      </w:pPr>
      <w:r>
        <w:rPr>
          <w:rFonts w:ascii="new roman" w:hAnsi="new roman"/>
          <w:sz w:val="24"/>
          <w:szCs w:val="24"/>
        </w:rPr>
        <w:t xml:space="preserve">Upon being led by </w:t>
      </w:r>
      <w:r w:rsidRPr="00D24FE5">
        <w:rPr>
          <w:rFonts w:ascii="new roman" w:hAnsi="new roman"/>
          <w:i/>
          <w:sz w:val="24"/>
          <w:szCs w:val="24"/>
        </w:rPr>
        <w:t>Mr Nikisi,</w:t>
      </w:r>
      <w:r>
        <w:rPr>
          <w:rFonts w:ascii="new roman" w:hAnsi="new roman"/>
          <w:sz w:val="24"/>
          <w:szCs w:val="24"/>
        </w:rPr>
        <w:t xml:space="preserve"> the child witness in his </w:t>
      </w:r>
      <w:r w:rsidR="00D24FE5">
        <w:rPr>
          <w:rFonts w:ascii="new roman" w:hAnsi="new roman"/>
          <w:sz w:val="24"/>
          <w:szCs w:val="24"/>
        </w:rPr>
        <w:t>simplicity</w:t>
      </w:r>
      <w:r>
        <w:rPr>
          <w:rFonts w:ascii="new roman" w:hAnsi="new roman"/>
          <w:sz w:val="24"/>
          <w:szCs w:val="24"/>
        </w:rPr>
        <w:t xml:space="preserve"> stated that, on the last day he was with his mother, his father the accused</w:t>
      </w:r>
      <w:r w:rsidR="00D24FE5">
        <w:rPr>
          <w:rFonts w:ascii="new roman" w:hAnsi="new roman"/>
          <w:sz w:val="24"/>
          <w:szCs w:val="24"/>
        </w:rPr>
        <w:t>,</w:t>
      </w:r>
      <w:r>
        <w:rPr>
          <w:rFonts w:ascii="new roman" w:hAnsi="new roman"/>
          <w:sz w:val="24"/>
          <w:szCs w:val="24"/>
        </w:rPr>
        <w:t xml:space="preserve"> assaulted his mother</w:t>
      </w:r>
      <w:r w:rsidR="00D24FE5" w:rsidRPr="00D24FE5">
        <w:rPr>
          <w:rFonts w:ascii="new roman" w:hAnsi="new roman"/>
          <w:sz w:val="24"/>
          <w:szCs w:val="24"/>
        </w:rPr>
        <w:t xml:space="preserve"> </w:t>
      </w:r>
      <w:r w:rsidR="00D24FE5">
        <w:rPr>
          <w:rFonts w:ascii="new roman" w:hAnsi="new roman"/>
          <w:sz w:val="24"/>
          <w:szCs w:val="24"/>
        </w:rPr>
        <w:t xml:space="preserve">the deceased, </w:t>
      </w:r>
      <w:r>
        <w:rPr>
          <w:rFonts w:ascii="new roman" w:hAnsi="new roman"/>
          <w:sz w:val="24"/>
          <w:szCs w:val="24"/>
        </w:rPr>
        <w:t>with an iron. He told the court that after the assault</w:t>
      </w:r>
      <w:r w:rsidR="00837959">
        <w:rPr>
          <w:rFonts w:ascii="new roman" w:hAnsi="new roman"/>
          <w:sz w:val="24"/>
          <w:szCs w:val="24"/>
        </w:rPr>
        <w:t>,</w:t>
      </w:r>
      <w:r>
        <w:rPr>
          <w:rFonts w:ascii="new roman" w:hAnsi="new roman"/>
          <w:sz w:val="24"/>
          <w:szCs w:val="24"/>
        </w:rPr>
        <w:t xml:space="preserve"> all the three of them left the house for a bush.</w:t>
      </w:r>
      <w:r w:rsidR="00D24FE5">
        <w:rPr>
          <w:rFonts w:ascii="new roman" w:hAnsi="new roman"/>
          <w:sz w:val="24"/>
          <w:szCs w:val="24"/>
        </w:rPr>
        <w:t xml:space="preserve"> </w:t>
      </w:r>
      <w:r>
        <w:rPr>
          <w:rFonts w:ascii="new roman" w:hAnsi="new roman"/>
          <w:sz w:val="24"/>
          <w:szCs w:val="24"/>
        </w:rPr>
        <w:t xml:space="preserve">He then came back with his father and his father went to jail. He was asked whether they returned with his mother and he said she was taken in a wheel barrow by the accused. The cross examination </w:t>
      </w:r>
      <w:r>
        <w:rPr>
          <w:rFonts w:ascii="new roman" w:hAnsi="new roman"/>
          <w:sz w:val="24"/>
          <w:szCs w:val="24"/>
        </w:rPr>
        <w:lastRenderedPageBreak/>
        <w:t xml:space="preserve">by the defence did not elicit anything materially different and could not discredit the </w:t>
      </w:r>
      <w:r w:rsidR="00D24FE5">
        <w:rPr>
          <w:rFonts w:ascii="new roman" w:hAnsi="new roman"/>
          <w:sz w:val="24"/>
          <w:szCs w:val="24"/>
        </w:rPr>
        <w:t>child’s testimony.</w:t>
      </w:r>
      <w:r>
        <w:rPr>
          <w:rFonts w:ascii="new roman" w:hAnsi="new roman"/>
          <w:sz w:val="24"/>
          <w:szCs w:val="24"/>
        </w:rPr>
        <w:t xml:space="preserve"> </w:t>
      </w:r>
      <w:r w:rsidR="00D24FE5">
        <w:rPr>
          <w:rFonts w:ascii="new roman" w:hAnsi="new roman"/>
          <w:sz w:val="24"/>
          <w:szCs w:val="24"/>
        </w:rPr>
        <w:t xml:space="preserve"> </w:t>
      </w:r>
    </w:p>
    <w:p w14:paraId="1918E319" w14:textId="31045EB9" w:rsidR="00CD6911" w:rsidRDefault="00D24FE5" w:rsidP="008A253E">
      <w:pPr>
        <w:spacing w:line="360" w:lineRule="auto"/>
        <w:jc w:val="both"/>
        <w:rPr>
          <w:rFonts w:ascii="new roman" w:hAnsi="new roman"/>
          <w:sz w:val="24"/>
          <w:szCs w:val="24"/>
        </w:rPr>
      </w:pPr>
      <w:r>
        <w:rPr>
          <w:rFonts w:ascii="new roman" w:hAnsi="new roman"/>
          <w:sz w:val="24"/>
          <w:szCs w:val="24"/>
        </w:rPr>
        <w:t>What the child witness said in court did not differ from the already produced evidence taken and recorded from the class teacher which also forms part of the State’s summary of the case.</w:t>
      </w:r>
    </w:p>
    <w:p w14:paraId="6ACD02BB" w14:textId="77777777" w:rsidR="00C030B6" w:rsidRDefault="00D24FE5" w:rsidP="008A253E">
      <w:pPr>
        <w:spacing w:line="360" w:lineRule="auto"/>
        <w:jc w:val="both"/>
        <w:rPr>
          <w:rFonts w:ascii="new roman" w:hAnsi="new roman"/>
          <w:sz w:val="24"/>
          <w:szCs w:val="24"/>
        </w:rPr>
      </w:pPr>
      <w:r>
        <w:rPr>
          <w:rFonts w:ascii="new roman" w:hAnsi="new roman"/>
          <w:sz w:val="24"/>
          <w:szCs w:val="24"/>
        </w:rPr>
        <w:t xml:space="preserve">It suffices to note that most of the written witness evidence and documentary exhibits were tendered and admitted as part of the record without opposition. Oral evidence was led from the child witness and the investigating officer. The investigating officer was responsible for the compilation of the confirmed warned and cautioned statements, sketch plan and indications. </w:t>
      </w:r>
    </w:p>
    <w:p w14:paraId="55EEB92B" w14:textId="77777777" w:rsidR="00C030B6" w:rsidRPr="00C030B6" w:rsidRDefault="00C030B6" w:rsidP="008A253E">
      <w:pPr>
        <w:spacing w:line="360" w:lineRule="auto"/>
        <w:jc w:val="both"/>
        <w:rPr>
          <w:rFonts w:ascii="new roman" w:hAnsi="new roman"/>
          <w:sz w:val="24"/>
          <w:szCs w:val="24"/>
          <w:u w:val="single"/>
        </w:rPr>
      </w:pPr>
      <w:r w:rsidRPr="00C030B6">
        <w:rPr>
          <w:rFonts w:ascii="new roman" w:hAnsi="new roman"/>
          <w:sz w:val="24"/>
          <w:szCs w:val="24"/>
          <w:u w:val="single"/>
        </w:rPr>
        <w:t>Investigating Officer</w:t>
      </w:r>
    </w:p>
    <w:p w14:paraId="42427C90" w14:textId="77777777" w:rsidR="00D24FE5" w:rsidRDefault="00D24FE5" w:rsidP="008A253E">
      <w:pPr>
        <w:spacing w:line="360" w:lineRule="auto"/>
        <w:jc w:val="both"/>
        <w:rPr>
          <w:rFonts w:ascii="new roman" w:hAnsi="new roman"/>
          <w:sz w:val="24"/>
          <w:szCs w:val="24"/>
        </w:rPr>
      </w:pPr>
      <w:r>
        <w:rPr>
          <w:rFonts w:ascii="new roman" w:hAnsi="new roman"/>
          <w:sz w:val="24"/>
          <w:szCs w:val="24"/>
        </w:rPr>
        <w:t>Apart from being the officer who had called the accused on behalf of the deceased at the</w:t>
      </w:r>
      <w:r w:rsidR="00C030B6">
        <w:rPr>
          <w:rFonts w:ascii="new roman" w:hAnsi="new roman"/>
          <w:sz w:val="24"/>
          <w:szCs w:val="24"/>
        </w:rPr>
        <w:t xml:space="preserve"> police station, the investigating officer’s </w:t>
      </w:r>
      <w:r>
        <w:rPr>
          <w:rFonts w:ascii="new roman" w:hAnsi="new roman"/>
          <w:sz w:val="24"/>
          <w:szCs w:val="24"/>
        </w:rPr>
        <w:t xml:space="preserve">evidence was crucial to the </w:t>
      </w:r>
      <w:r w:rsidR="00C030B6">
        <w:rPr>
          <w:rFonts w:ascii="new roman" w:hAnsi="new roman"/>
          <w:sz w:val="24"/>
          <w:szCs w:val="24"/>
        </w:rPr>
        <w:t>extent</w:t>
      </w:r>
      <w:r>
        <w:rPr>
          <w:rFonts w:ascii="new roman" w:hAnsi="new roman"/>
          <w:sz w:val="24"/>
          <w:szCs w:val="24"/>
        </w:rPr>
        <w:t xml:space="preserve"> that he was familiar with </w:t>
      </w:r>
      <w:r w:rsidR="00C030B6">
        <w:rPr>
          <w:rFonts w:ascii="new roman" w:hAnsi="new roman"/>
          <w:sz w:val="24"/>
          <w:szCs w:val="24"/>
        </w:rPr>
        <w:t>the</w:t>
      </w:r>
      <w:r>
        <w:rPr>
          <w:rFonts w:ascii="new roman" w:hAnsi="new roman"/>
          <w:sz w:val="24"/>
          <w:szCs w:val="24"/>
        </w:rPr>
        <w:t xml:space="preserve"> accused and the deceased as well as their history of domestic violence. He also confirmed that the deceased was visibly pregnant when she met her death. This officer was the one who arrived first at the scene the body was discovered. It was his evidence that, though initially the accused pretended to be surprised with the news of the death, he eventually broke down and admitted to the commission of the crime.</w:t>
      </w:r>
    </w:p>
    <w:p w14:paraId="0BB18744" w14:textId="77777777" w:rsidR="00C030B6" w:rsidRPr="00C030B6" w:rsidRDefault="00C030B6" w:rsidP="008A253E">
      <w:pPr>
        <w:spacing w:line="360" w:lineRule="auto"/>
        <w:jc w:val="both"/>
        <w:rPr>
          <w:rFonts w:ascii="new roman" w:hAnsi="new roman"/>
          <w:sz w:val="24"/>
          <w:szCs w:val="24"/>
          <w:u w:val="single"/>
        </w:rPr>
      </w:pPr>
      <w:r w:rsidRPr="00C030B6">
        <w:rPr>
          <w:rFonts w:ascii="new roman" w:hAnsi="new roman"/>
          <w:sz w:val="24"/>
          <w:szCs w:val="24"/>
          <w:u w:val="single"/>
        </w:rPr>
        <w:t>Analysis</w:t>
      </w:r>
      <w:r>
        <w:rPr>
          <w:rFonts w:ascii="new roman" w:hAnsi="new roman"/>
          <w:sz w:val="24"/>
          <w:szCs w:val="24"/>
          <w:u w:val="single"/>
        </w:rPr>
        <w:t xml:space="preserve"> and application of the law</w:t>
      </w:r>
    </w:p>
    <w:p w14:paraId="5397A35C" w14:textId="523BE387" w:rsidR="00C030B6" w:rsidRPr="000F1BD3" w:rsidRDefault="00C030B6" w:rsidP="000F1BD3">
      <w:pPr>
        <w:pStyle w:val="NormalWeb"/>
        <w:shd w:val="clear" w:color="auto" w:fill="FFFFFF"/>
        <w:spacing w:before="120" w:beforeAutospacing="0" w:after="120" w:afterAutospacing="0" w:line="480" w:lineRule="auto"/>
        <w:jc w:val="both"/>
        <w:rPr>
          <w:rFonts w:ascii="new roman" w:hAnsi="new roman" w:cs="Arial"/>
          <w:color w:val="202122"/>
        </w:rPr>
      </w:pPr>
      <w:r>
        <w:rPr>
          <w:rFonts w:ascii="new roman" w:hAnsi="new roman"/>
        </w:rPr>
        <w:t xml:space="preserve">On analysis, it is trite that child testimony </w:t>
      </w:r>
      <w:r w:rsidR="004369FB">
        <w:rPr>
          <w:rFonts w:ascii="new roman" w:hAnsi="new roman"/>
        </w:rPr>
        <w:t xml:space="preserve">just like single witness evidence should be treated with caution. In other words, it falls under the cautionary rule of evidence. This is because ordinarily children are prone to suggestions, manipulations, and fantasy and to some extent exaggeration due to their cognitive developmental stages.  This was well explored in the cases of </w:t>
      </w:r>
      <w:r w:rsidR="004369FB" w:rsidRPr="00BC4CD8">
        <w:rPr>
          <w:rFonts w:ascii="new roman" w:hAnsi="new roman"/>
          <w:i/>
        </w:rPr>
        <w:t>S</w:t>
      </w:r>
      <w:r w:rsidR="00BC4CD8" w:rsidRPr="00BC4CD8">
        <w:rPr>
          <w:rFonts w:ascii="new roman" w:hAnsi="new roman"/>
          <w:i/>
        </w:rPr>
        <w:t xml:space="preserve"> </w:t>
      </w:r>
      <w:r w:rsidR="004369FB" w:rsidRPr="00BC4CD8">
        <w:rPr>
          <w:rFonts w:ascii="new roman" w:hAnsi="new roman"/>
          <w:i/>
        </w:rPr>
        <w:t>v Mupfumburi</w:t>
      </w:r>
      <w:r w:rsidR="00BC4CD8" w:rsidRPr="00BC4CD8">
        <w:rPr>
          <w:rFonts w:ascii="new roman" w:hAnsi="new roman"/>
          <w:i/>
        </w:rPr>
        <w:t xml:space="preserve"> </w:t>
      </w:r>
      <w:r w:rsidR="00BC4CD8">
        <w:rPr>
          <w:rFonts w:ascii="new roman" w:hAnsi="new roman"/>
        </w:rPr>
        <w:t>HH464/2015</w:t>
      </w:r>
      <w:r w:rsidR="004369FB">
        <w:rPr>
          <w:rFonts w:ascii="new roman" w:hAnsi="new roman"/>
        </w:rPr>
        <w:t xml:space="preserve"> and </w:t>
      </w:r>
      <w:r w:rsidR="004369FB" w:rsidRPr="00BC4CD8">
        <w:rPr>
          <w:rFonts w:ascii="new roman" w:hAnsi="new roman"/>
          <w:i/>
        </w:rPr>
        <w:t xml:space="preserve">S v Banana </w:t>
      </w:r>
      <w:r w:rsidR="004369FB">
        <w:rPr>
          <w:rFonts w:ascii="new roman" w:hAnsi="new roman"/>
        </w:rPr>
        <w:t>SC51/2000</w:t>
      </w:r>
      <w:r w:rsidR="004369FB" w:rsidRPr="00BC4CD8">
        <w:rPr>
          <w:rFonts w:ascii="new roman" w:hAnsi="new roman"/>
          <w:i/>
        </w:rPr>
        <w:t>.</w:t>
      </w:r>
      <w:r w:rsidR="00BC4CD8" w:rsidRPr="00BC4CD8">
        <w:rPr>
          <w:rFonts w:ascii="Arial" w:hAnsi="Arial" w:cs="Arial"/>
          <w:i/>
          <w:color w:val="202122"/>
          <w:sz w:val="21"/>
          <w:szCs w:val="21"/>
        </w:rPr>
        <w:t xml:space="preserve"> </w:t>
      </w:r>
      <w:r w:rsidR="00BC4CD8" w:rsidRPr="00BC4CD8">
        <w:rPr>
          <w:rFonts w:ascii="new roman" w:hAnsi="new roman" w:cs="Arial"/>
          <w:i/>
          <w:color w:val="202122"/>
        </w:rPr>
        <w:t>Ponder</w:t>
      </w:r>
      <w:r w:rsidR="00BC4CD8" w:rsidRPr="00BC4CD8">
        <w:rPr>
          <w:rFonts w:ascii="new roman" w:hAnsi="new roman" w:cs="Arial"/>
          <w:color w:val="202122"/>
        </w:rPr>
        <w:t xml:space="preserve"> 1989 (1) ZLR 255 (S); J 1958 (3) SA 699 (SR); </w:t>
      </w:r>
      <w:r w:rsidR="00BC4CD8" w:rsidRPr="00BC4CD8">
        <w:rPr>
          <w:rFonts w:ascii="new roman" w:hAnsi="new roman" w:cs="Arial"/>
          <w:i/>
          <w:color w:val="202122"/>
        </w:rPr>
        <w:t>Sikulite</w:t>
      </w:r>
      <w:r w:rsidR="00BC4CD8" w:rsidRPr="00BC4CD8">
        <w:rPr>
          <w:rFonts w:ascii="new roman" w:hAnsi="new roman" w:cs="Arial"/>
          <w:color w:val="202122"/>
        </w:rPr>
        <w:t xml:space="preserve"> 1964(3) SA 151 (SR).</w:t>
      </w:r>
    </w:p>
    <w:p w14:paraId="7B62E9D8" w14:textId="5E94964C" w:rsidR="007C7976" w:rsidRDefault="00BC4CD8" w:rsidP="008A253E">
      <w:pPr>
        <w:spacing w:line="360" w:lineRule="auto"/>
        <w:jc w:val="both"/>
        <w:rPr>
          <w:rFonts w:ascii="new roman" w:hAnsi="new roman" w:cs="Segoe UI"/>
          <w:color w:val="212529"/>
          <w:sz w:val="24"/>
          <w:szCs w:val="24"/>
          <w:shd w:val="clear" w:color="auto" w:fill="FFFFFF"/>
        </w:rPr>
      </w:pPr>
      <w:r w:rsidRPr="007C7976">
        <w:rPr>
          <w:rFonts w:ascii="new roman" w:hAnsi="new roman" w:cs="Segoe UI"/>
          <w:color w:val="212529"/>
          <w:sz w:val="24"/>
          <w:szCs w:val="24"/>
          <w:shd w:val="clear" w:color="auto" w:fill="FFFFFF"/>
        </w:rPr>
        <w:t>The first two cases</w:t>
      </w:r>
      <w:r w:rsidR="007C7976">
        <w:rPr>
          <w:rFonts w:ascii="new roman" w:hAnsi="new roman" w:cs="Segoe UI"/>
          <w:color w:val="212529"/>
          <w:sz w:val="24"/>
          <w:szCs w:val="24"/>
          <w:shd w:val="clear" w:color="auto" w:fill="FFFFFF"/>
        </w:rPr>
        <w:t>,</w:t>
      </w:r>
      <w:r w:rsidRPr="007C7976">
        <w:rPr>
          <w:rFonts w:ascii="new roman" w:hAnsi="new roman" w:cs="Segoe UI"/>
          <w:color w:val="212529"/>
          <w:sz w:val="24"/>
          <w:szCs w:val="24"/>
          <w:shd w:val="clear" w:color="auto" w:fill="FFFFFF"/>
        </w:rPr>
        <w:t xml:space="preserve"> whilst speaking to the</w:t>
      </w:r>
      <w:r w:rsidR="007C7976" w:rsidRPr="007C7976">
        <w:rPr>
          <w:rFonts w:ascii="new roman" w:hAnsi="new roman" w:cs="Segoe UI"/>
          <w:color w:val="212529"/>
          <w:sz w:val="24"/>
          <w:szCs w:val="24"/>
          <w:shd w:val="clear" w:color="auto" w:fill="FFFFFF"/>
        </w:rPr>
        <w:t xml:space="preserve"> cautionary rule in</w:t>
      </w:r>
      <w:r w:rsidRPr="007C7976">
        <w:rPr>
          <w:rFonts w:ascii="new roman" w:hAnsi="new roman" w:cs="Segoe UI"/>
          <w:color w:val="212529"/>
          <w:sz w:val="24"/>
          <w:szCs w:val="24"/>
          <w:shd w:val="clear" w:color="auto" w:fill="FFFFFF"/>
        </w:rPr>
        <w:t xml:space="preserve"> sing</w:t>
      </w:r>
      <w:r w:rsidR="007C7976" w:rsidRPr="007C7976">
        <w:rPr>
          <w:rFonts w:ascii="new roman" w:hAnsi="new roman" w:cs="Segoe UI"/>
          <w:color w:val="212529"/>
          <w:sz w:val="24"/>
          <w:szCs w:val="24"/>
          <w:shd w:val="clear" w:color="auto" w:fill="FFFFFF"/>
        </w:rPr>
        <w:t xml:space="preserve">le witness evidence in general, and with regards to </w:t>
      </w:r>
      <w:r w:rsidR="007C7976" w:rsidRPr="007C7976">
        <w:rPr>
          <w:rFonts w:ascii="new roman" w:hAnsi="new roman" w:cs="Segoe UI"/>
          <w:i/>
          <w:color w:val="212529"/>
          <w:sz w:val="24"/>
          <w:szCs w:val="24"/>
          <w:shd w:val="clear" w:color="auto" w:fill="FFFFFF"/>
        </w:rPr>
        <w:t>S v Banana</w:t>
      </w:r>
      <w:r w:rsidR="007C7976">
        <w:rPr>
          <w:rFonts w:ascii="new roman" w:hAnsi="new roman" w:cs="Segoe UI"/>
          <w:color w:val="212529"/>
          <w:sz w:val="24"/>
          <w:szCs w:val="24"/>
          <w:shd w:val="clear" w:color="auto" w:fill="FFFFFF"/>
        </w:rPr>
        <w:t>,</w:t>
      </w:r>
      <w:r w:rsidR="007C7976" w:rsidRPr="007C7976">
        <w:rPr>
          <w:rFonts w:ascii="new roman" w:hAnsi="new roman" w:cs="Segoe UI"/>
          <w:color w:val="212529"/>
          <w:sz w:val="24"/>
          <w:szCs w:val="24"/>
          <w:shd w:val="clear" w:color="auto" w:fill="FFFFFF"/>
        </w:rPr>
        <w:t xml:space="preserve"> above, single witness evidence in sexual matters</w:t>
      </w:r>
      <w:r w:rsidR="007C7976">
        <w:rPr>
          <w:rFonts w:ascii="new roman" w:hAnsi="new roman" w:cs="Segoe UI"/>
          <w:color w:val="212529"/>
          <w:sz w:val="24"/>
          <w:szCs w:val="24"/>
          <w:shd w:val="clear" w:color="auto" w:fill="FFFFFF"/>
        </w:rPr>
        <w:t xml:space="preserve">, </w:t>
      </w:r>
      <w:r w:rsidR="007C7976" w:rsidRPr="007C7976">
        <w:rPr>
          <w:rFonts w:ascii="new roman" w:hAnsi="new roman" w:cs="Segoe UI"/>
          <w:color w:val="212529"/>
          <w:sz w:val="24"/>
          <w:szCs w:val="24"/>
          <w:shd w:val="clear" w:color="auto" w:fill="FFFFFF"/>
        </w:rPr>
        <w:t>highlight that</w:t>
      </w:r>
      <w:r w:rsidR="007C7976">
        <w:rPr>
          <w:rFonts w:ascii="new roman" w:hAnsi="new roman" w:cs="Segoe UI"/>
          <w:color w:val="212529"/>
          <w:sz w:val="24"/>
          <w:szCs w:val="24"/>
          <w:shd w:val="clear" w:color="auto" w:fill="FFFFFF"/>
        </w:rPr>
        <w:t>,</w:t>
      </w:r>
      <w:r w:rsidR="007C7976" w:rsidRPr="007C7976">
        <w:rPr>
          <w:rFonts w:ascii="new roman" w:hAnsi="new roman" w:cs="Segoe UI"/>
          <w:color w:val="212529"/>
          <w:sz w:val="24"/>
          <w:szCs w:val="24"/>
          <w:shd w:val="clear" w:color="auto" w:fill="FFFFFF"/>
        </w:rPr>
        <w:t xml:space="preserve"> though corroboration is essentially necessary to test the veracity of a testimony in some instances, </w:t>
      </w:r>
      <w:r w:rsidR="007C7976">
        <w:rPr>
          <w:rFonts w:ascii="new roman" w:hAnsi="new roman" w:cs="Segoe UI"/>
          <w:color w:val="212529"/>
          <w:sz w:val="24"/>
          <w:szCs w:val="24"/>
          <w:shd w:val="clear" w:color="auto" w:fill="FFFFFF"/>
        </w:rPr>
        <w:t xml:space="preserve">however, </w:t>
      </w:r>
      <w:r w:rsidR="007C7976" w:rsidRPr="007C7976">
        <w:rPr>
          <w:rFonts w:ascii="new roman" w:hAnsi="new roman" w:cs="Segoe UI"/>
          <w:color w:val="212529"/>
          <w:sz w:val="24"/>
          <w:szCs w:val="24"/>
          <w:shd w:val="clear" w:color="auto" w:fill="FFFFFF"/>
        </w:rPr>
        <w:t xml:space="preserve">a conviction can be sustained even if there is no corroboration on a single </w:t>
      </w:r>
      <w:r w:rsidR="007C7976" w:rsidRPr="007C7976">
        <w:rPr>
          <w:rFonts w:ascii="new roman" w:hAnsi="new roman" w:cs="Segoe UI"/>
          <w:color w:val="212529"/>
          <w:sz w:val="24"/>
          <w:szCs w:val="24"/>
          <w:shd w:val="clear" w:color="auto" w:fill="FFFFFF"/>
        </w:rPr>
        <w:lastRenderedPageBreak/>
        <w:t>witness evidence provided the court is satisfied with the credibility and consistency of the testifier.</w:t>
      </w:r>
    </w:p>
    <w:p w14:paraId="1CB1F31D" w14:textId="48DF002C" w:rsidR="00801175" w:rsidRPr="000C7597" w:rsidRDefault="007C7976" w:rsidP="008A253E">
      <w:pPr>
        <w:spacing w:line="360" w:lineRule="auto"/>
        <w:jc w:val="both"/>
        <w:rPr>
          <w:rFonts w:ascii="new roman" w:hAnsi="new roman" w:cs="Segoe UI"/>
          <w:i/>
          <w:iCs/>
          <w:color w:val="212529"/>
          <w:sz w:val="24"/>
          <w:szCs w:val="24"/>
          <w:shd w:val="clear" w:color="auto" w:fill="FFFFFF"/>
        </w:rPr>
      </w:pPr>
      <w:r>
        <w:rPr>
          <w:rFonts w:ascii="new roman" w:hAnsi="new roman" w:cs="Segoe UI"/>
          <w:color w:val="212529"/>
          <w:sz w:val="24"/>
          <w:szCs w:val="24"/>
          <w:shd w:val="clear" w:color="auto" w:fill="FFFFFF"/>
        </w:rPr>
        <w:t xml:space="preserve">The last two cases </w:t>
      </w:r>
      <w:r w:rsidR="00801175">
        <w:rPr>
          <w:rFonts w:ascii="new roman" w:hAnsi="new roman" w:cs="Segoe UI"/>
          <w:color w:val="212529"/>
          <w:sz w:val="24"/>
          <w:szCs w:val="24"/>
          <w:shd w:val="clear" w:color="auto" w:fill="FFFFFF"/>
        </w:rPr>
        <w:t xml:space="preserve">are authorities </w:t>
      </w:r>
      <w:r w:rsidR="00801175" w:rsidRPr="00801175">
        <w:rPr>
          <w:rFonts w:ascii="new roman" w:hAnsi="new roman" w:cs="Segoe UI"/>
          <w:color w:val="212529"/>
          <w:sz w:val="24"/>
          <w:szCs w:val="24"/>
          <w:shd w:val="clear" w:color="auto" w:fill="FFFFFF"/>
        </w:rPr>
        <w:t>that</w:t>
      </w:r>
      <w:r w:rsidR="00801175">
        <w:rPr>
          <w:rFonts w:ascii="new roman" w:hAnsi="new roman" w:cs="Arial"/>
          <w:color w:val="202122"/>
          <w:sz w:val="24"/>
          <w:szCs w:val="24"/>
        </w:rPr>
        <w:t xml:space="preserve"> a </w:t>
      </w:r>
      <w:r w:rsidR="00801175" w:rsidRPr="00801175">
        <w:rPr>
          <w:rFonts w:ascii="new roman" w:hAnsi="new roman" w:cs="Arial"/>
          <w:color w:val="202122"/>
          <w:sz w:val="24"/>
          <w:szCs w:val="24"/>
        </w:rPr>
        <w:t>court can convict on the basis of the uncorroborated testimony of a child witness, provided it is satisfied that the dangers inherent in founding a conviction on the child's uncorroborated evidence have been eliminated.</w:t>
      </w:r>
      <w:r w:rsidR="00801175" w:rsidRPr="00801175">
        <w:rPr>
          <w:rFonts w:ascii="new roman" w:hAnsi="new roman" w:cs="Segoe UI"/>
          <w:color w:val="212529"/>
          <w:sz w:val="24"/>
          <w:szCs w:val="24"/>
          <w:shd w:val="clear" w:color="auto" w:fill="FFFFFF"/>
        </w:rPr>
        <w:t xml:space="preserve"> </w:t>
      </w:r>
      <w:r w:rsidR="00801175">
        <w:rPr>
          <w:rFonts w:ascii="new roman" w:hAnsi="new roman" w:cs="Segoe UI"/>
          <w:color w:val="212529"/>
          <w:sz w:val="24"/>
          <w:szCs w:val="24"/>
          <w:shd w:val="clear" w:color="auto" w:fill="FFFFFF"/>
        </w:rPr>
        <w:t>Nevertheless, it is prudent as a court to examine whether there is corro</w:t>
      </w:r>
      <w:r w:rsidR="00B57A5C">
        <w:rPr>
          <w:rFonts w:ascii="new roman" w:hAnsi="new roman" w:cs="Segoe UI"/>
          <w:color w:val="212529"/>
          <w:sz w:val="24"/>
          <w:szCs w:val="24"/>
          <w:shd w:val="clear" w:color="auto" w:fill="FFFFFF"/>
        </w:rPr>
        <w:t>borative evidence to that of the</w:t>
      </w:r>
      <w:r w:rsidR="00801175">
        <w:rPr>
          <w:rFonts w:ascii="new roman" w:hAnsi="new roman" w:cs="Segoe UI"/>
          <w:color w:val="212529"/>
          <w:sz w:val="24"/>
          <w:szCs w:val="24"/>
          <w:shd w:val="clear" w:color="auto" w:fill="FFFFFF"/>
        </w:rPr>
        <w:t xml:space="preserve"> child implicating an accused person as such evidence is always viewed as the safest assurance against wrong convictions.</w:t>
      </w:r>
      <w:r w:rsidR="000C7597">
        <w:rPr>
          <w:rFonts w:ascii="new roman" w:hAnsi="new roman" w:cs="Segoe UI"/>
          <w:color w:val="212529"/>
          <w:sz w:val="24"/>
          <w:szCs w:val="24"/>
          <w:shd w:val="clear" w:color="auto" w:fill="FFFFFF"/>
        </w:rPr>
        <w:t xml:space="preserve"> See </w:t>
      </w:r>
      <w:r w:rsidR="000C7597">
        <w:rPr>
          <w:rFonts w:ascii="new roman" w:hAnsi="new roman" w:cs="Segoe UI"/>
          <w:i/>
          <w:iCs/>
          <w:color w:val="212529"/>
          <w:sz w:val="24"/>
          <w:szCs w:val="24"/>
          <w:shd w:val="clear" w:color="auto" w:fill="FFFFFF"/>
        </w:rPr>
        <w:t>S v Musasa 2002 (1) ZLR 280 HH. S v Ncube 2014 (2) ZLR 297 HH.</w:t>
      </w:r>
    </w:p>
    <w:p w14:paraId="71C86BE2" w14:textId="34B14029" w:rsidR="00B57A5C" w:rsidRDefault="00B57A5C" w:rsidP="008A253E">
      <w:pPr>
        <w:spacing w:line="360" w:lineRule="auto"/>
        <w:jc w:val="both"/>
        <w:rPr>
          <w:rFonts w:ascii="new roman" w:hAnsi="new roman" w:cs="Segoe UI"/>
          <w:color w:val="212529"/>
          <w:sz w:val="24"/>
          <w:szCs w:val="24"/>
          <w:shd w:val="clear" w:color="auto" w:fill="FFFFFF"/>
        </w:rPr>
      </w:pPr>
      <w:r>
        <w:rPr>
          <w:rFonts w:ascii="new roman" w:hAnsi="new roman" w:cs="Segoe UI"/>
          <w:color w:val="212529"/>
          <w:sz w:val="24"/>
          <w:szCs w:val="24"/>
          <w:shd w:val="clear" w:color="auto" w:fill="FFFFFF"/>
        </w:rPr>
        <w:t xml:space="preserve">Against that background, it cannot be over emphasised that the key </w:t>
      </w:r>
      <w:r w:rsidR="000F1BD3">
        <w:rPr>
          <w:rFonts w:ascii="new roman" w:hAnsi="new roman" w:cs="Segoe UI"/>
          <w:color w:val="212529"/>
          <w:sz w:val="24"/>
          <w:szCs w:val="24"/>
          <w:shd w:val="clear" w:color="auto" w:fill="FFFFFF"/>
        </w:rPr>
        <w:t>first-hand</w:t>
      </w:r>
      <w:r>
        <w:rPr>
          <w:rFonts w:ascii="new roman" w:hAnsi="new roman" w:cs="Segoe UI"/>
          <w:color w:val="212529"/>
          <w:sz w:val="24"/>
          <w:szCs w:val="24"/>
          <w:shd w:val="clear" w:color="auto" w:fill="FFFFFF"/>
        </w:rPr>
        <w:t xml:space="preserve"> evidence in this matter comes from a single four year child. It is thus </w:t>
      </w:r>
      <w:r w:rsidR="00E460BA">
        <w:rPr>
          <w:rFonts w:ascii="new roman" w:hAnsi="new roman" w:cs="Segoe UI"/>
          <w:color w:val="212529"/>
          <w:sz w:val="24"/>
          <w:szCs w:val="24"/>
          <w:shd w:val="clear" w:color="auto" w:fill="FFFFFF"/>
        </w:rPr>
        <w:t xml:space="preserve">a combination of </w:t>
      </w:r>
      <w:r>
        <w:rPr>
          <w:rFonts w:ascii="new roman" w:hAnsi="new roman" w:cs="Segoe UI"/>
          <w:color w:val="212529"/>
          <w:sz w:val="24"/>
          <w:szCs w:val="24"/>
          <w:shd w:val="clear" w:color="auto" w:fill="FFFFFF"/>
        </w:rPr>
        <w:t xml:space="preserve">both single witness and child witness evidence. The court after taking measures that find support in the case of S </w:t>
      </w:r>
      <w:r>
        <w:rPr>
          <w:rFonts w:ascii="new roman" w:hAnsi="new roman" w:cs="Segoe UI"/>
          <w:i/>
          <w:color w:val="212529"/>
          <w:sz w:val="24"/>
          <w:szCs w:val="24"/>
          <w:shd w:val="clear" w:color="auto" w:fill="FFFFFF"/>
        </w:rPr>
        <w:t>v N</w:t>
      </w:r>
      <w:r w:rsidRPr="00B57A5C">
        <w:rPr>
          <w:rFonts w:ascii="new roman" w:hAnsi="new roman" w:cs="Segoe UI"/>
          <w:i/>
          <w:color w:val="212529"/>
          <w:sz w:val="24"/>
          <w:szCs w:val="24"/>
          <w:shd w:val="clear" w:color="auto" w:fill="FFFFFF"/>
        </w:rPr>
        <w:t>cube</w:t>
      </w:r>
      <w:r w:rsidR="00E460BA">
        <w:rPr>
          <w:rFonts w:ascii="new roman" w:hAnsi="new roman" w:cs="Segoe UI"/>
          <w:color w:val="212529"/>
          <w:sz w:val="24"/>
          <w:szCs w:val="24"/>
          <w:shd w:val="clear" w:color="auto" w:fill="FFFFFF"/>
        </w:rPr>
        <w:t xml:space="preserve"> (2) </w:t>
      </w:r>
      <w:r w:rsidR="00E460BA" w:rsidRPr="00E460BA">
        <w:rPr>
          <w:rFonts w:ascii="new roman" w:hAnsi="new roman" w:cs="Segoe UI"/>
          <w:i/>
          <w:iCs/>
          <w:color w:val="212529"/>
          <w:sz w:val="24"/>
          <w:szCs w:val="24"/>
          <w:shd w:val="clear" w:color="auto" w:fill="FFFFFF"/>
        </w:rPr>
        <w:t xml:space="preserve">ZLR HB 128-2014 </w:t>
      </w:r>
      <w:r w:rsidR="00110E1D">
        <w:rPr>
          <w:rFonts w:ascii="new roman" w:hAnsi="new roman" w:cs="Segoe UI"/>
          <w:color w:val="212529"/>
          <w:sz w:val="24"/>
          <w:szCs w:val="24"/>
          <w:shd w:val="clear" w:color="auto" w:fill="FFFFFF"/>
        </w:rPr>
        <w:t>of ensuring that the victim friendly court is user friendly as described above, and applying the cautionary rule found the testimony highly credible. Not only that, it was corroborated by the person to whom he first made the report even after witnessing such a traumatic, heart rending and harrowing  experience.</w:t>
      </w:r>
    </w:p>
    <w:p w14:paraId="30DFC0D4" w14:textId="00084F08" w:rsidR="00110E1D" w:rsidRDefault="00110E1D" w:rsidP="008A253E">
      <w:pPr>
        <w:spacing w:line="360" w:lineRule="auto"/>
        <w:jc w:val="both"/>
        <w:rPr>
          <w:rFonts w:ascii="new roman" w:hAnsi="new roman" w:cs="Segoe UI"/>
          <w:color w:val="212529"/>
          <w:sz w:val="24"/>
          <w:szCs w:val="24"/>
          <w:shd w:val="clear" w:color="auto" w:fill="FFFFFF"/>
        </w:rPr>
      </w:pPr>
      <w:r>
        <w:rPr>
          <w:rFonts w:ascii="new roman" w:hAnsi="new roman" w:cs="Segoe UI"/>
          <w:color w:val="212529"/>
          <w:sz w:val="24"/>
          <w:szCs w:val="24"/>
          <w:shd w:val="clear" w:color="auto" w:fill="FFFFFF"/>
        </w:rPr>
        <w:t xml:space="preserve">In addition, though the accused said the child was fast asleep, </w:t>
      </w:r>
      <w:r w:rsidR="008A16DF">
        <w:rPr>
          <w:rFonts w:ascii="new roman" w:hAnsi="new roman" w:cs="Segoe UI"/>
          <w:color w:val="212529"/>
          <w:sz w:val="24"/>
          <w:szCs w:val="24"/>
          <w:shd w:val="clear" w:color="auto" w:fill="FFFFFF"/>
        </w:rPr>
        <w:t xml:space="preserve">it is unbelievable as </w:t>
      </w:r>
      <w:r>
        <w:rPr>
          <w:rFonts w:ascii="new roman" w:hAnsi="new roman" w:cs="Segoe UI"/>
          <w:color w:val="212529"/>
          <w:sz w:val="24"/>
          <w:szCs w:val="24"/>
          <w:shd w:val="clear" w:color="auto" w:fill="FFFFFF"/>
        </w:rPr>
        <w:t xml:space="preserve">how would he have known that the child woke up due to the commotion and witnessed everything to the minute detail? The wheel barrow </w:t>
      </w:r>
      <w:r w:rsidR="008A16DF">
        <w:rPr>
          <w:rFonts w:ascii="new roman" w:hAnsi="new roman" w:cs="Segoe UI"/>
          <w:color w:val="212529"/>
          <w:sz w:val="24"/>
          <w:szCs w:val="24"/>
          <w:shd w:val="clear" w:color="auto" w:fill="FFFFFF"/>
        </w:rPr>
        <w:t xml:space="preserve">and </w:t>
      </w:r>
      <w:r>
        <w:rPr>
          <w:rFonts w:ascii="new roman" w:hAnsi="new roman" w:cs="Segoe UI"/>
          <w:color w:val="212529"/>
          <w:sz w:val="24"/>
          <w:szCs w:val="24"/>
          <w:shd w:val="clear" w:color="auto" w:fill="FFFFFF"/>
        </w:rPr>
        <w:t xml:space="preserve">the electric iron which were both mentioned by the child witness were all recovered through the accused’s indications admitted into evidence. The sketch plan now an exhibit before this court was drawn at the instance and assistance from the accused person. The most damning corroborative evidence came from the accused person’s own </w:t>
      </w:r>
      <w:r w:rsidR="00B42D79">
        <w:rPr>
          <w:rFonts w:ascii="new roman" w:hAnsi="new roman" w:cs="Segoe UI"/>
          <w:color w:val="212529"/>
          <w:sz w:val="24"/>
          <w:szCs w:val="24"/>
          <w:shd w:val="clear" w:color="auto" w:fill="FFFFFF"/>
        </w:rPr>
        <w:t>confirmed warned and</w:t>
      </w:r>
      <w:r>
        <w:rPr>
          <w:rFonts w:ascii="new roman" w:hAnsi="new roman" w:cs="Segoe UI"/>
          <w:color w:val="212529"/>
          <w:sz w:val="24"/>
          <w:szCs w:val="24"/>
          <w:shd w:val="clear" w:color="auto" w:fill="FFFFFF"/>
        </w:rPr>
        <w:t xml:space="preserve"> cautioned statement</w:t>
      </w:r>
      <w:r w:rsidR="00B42D79">
        <w:rPr>
          <w:rFonts w:ascii="new roman" w:hAnsi="new roman" w:cs="Segoe UI"/>
          <w:color w:val="212529"/>
          <w:sz w:val="24"/>
          <w:szCs w:val="24"/>
          <w:shd w:val="clear" w:color="auto" w:fill="FFFFFF"/>
        </w:rPr>
        <w:t xml:space="preserve"> and the autopsy report.</w:t>
      </w:r>
    </w:p>
    <w:p w14:paraId="12F54515" w14:textId="76D4AADA" w:rsidR="00B42D79" w:rsidRDefault="00B42D79" w:rsidP="008A253E">
      <w:pPr>
        <w:spacing w:line="360" w:lineRule="auto"/>
        <w:jc w:val="both"/>
        <w:rPr>
          <w:rFonts w:ascii="new roman" w:hAnsi="new roman" w:cs="Segoe UI"/>
          <w:color w:val="212529"/>
          <w:sz w:val="24"/>
          <w:szCs w:val="24"/>
          <w:shd w:val="clear" w:color="auto" w:fill="FFFFFF"/>
        </w:rPr>
      </w:pPr>
      <w:r>
        <w:rPr>
          <w:rFonts w:ascii="new roman" w:hAnsi="new roman" w:cs="Segoe UI"/>
          <w:color w:val="212529"/>
          <w:sz w:val="24"/>
          <w:szCs w:val="24"/>
          <w:shd w:val="clear" w:color="auto" w:fill="FFFFFF"/>
        </w:rPr>
        <w:t xml:space="preserve">In his confirmed warned and cautioned statement, the accused in a single sentence admitted to the murder citing </w:t>
      </w:r>
      <w:r w:rsidR="008A16DF">
        <w:rPr>
          <w:rFonts w:ascii="new roman" w:hAnsi="new roman" w:cs="Segoe UI"/>
          <w:color w:val="212529"/>
          <w:sz w:val="24"/>
          <w:szCs w:val="24"/>
          <w:shd w:val="clear" w:color="auto" w:fill="FFFFFF"/>
        </w:rPr>
        <w:t xml:space="preserve">that </w:t>
      </w:r>
      <w:r>
        <w:rPr>
          <w:rFonts w:ascii="new roman" w:hAnsi="new roman" w:cs="Segoe UI"/>
          <w:color w:val="212529"/>
          <w:sz w:val="24"/>
          <w:szCs w:val="24"/>
          <w:shd w:val="clear" w:color="auto" w:fill="FFFFFF"/>
        </w:rPr>
        <w:t xml:space="preserve">the deceased was a pestering nuisance and </w:t>
      </w:r>
      <w:r w:rsidR="008A16DF">
        <w:rPr>
          <w:rFonts w:ascii="new roman" w:hAnsi="new roman" w:cs="Segoe UI"/>
          <w:color w:val="212529"/>
          <w:sz w:val="24"/>
          <w:szCs w:val="24"/>
          <w:shd w:val="clear" w:color="auto" w:fill="FFFFFF"/>
        </w:rPr>
        <w:t xml:space="preserve">he </w:t>
      </w:r>
      <w:r>
        <w:rPr>
          <w:rFonts w:ascii="new roman" w:hAnsi="new roman" w:cs="Segoe UI"/>
          <w:color w:val="212529"/>
          <w:sz w:val="24"/>
          <w:szCs w:val="24"/>
          <w:shd w:val="clear" w:color="auto" w:fill="FFFFFF"/>
        </w:rPr>
        <w:t>had to put an end to the nuisance. Nowhere in that statement did he allege self-defence, provocation or that the deceased was the aggressor. These defences emerged in court but not sustained.</w:t>
      </w:r>
    </w:p>
    <w:p w14:paraId="6667F5B7" w14:textId="5D0FA802" w:rsidR="00B42D79" w:rsidRPr="002A3ED9" w:rsidRDefault="00B42D79" w:rsidP="008A253E">
      <w:pPr>
        <w:spacing w:line="360" w:lineRule="auto"/>
        <w:jc w:val="both"/>
        <w:rPr>
          <w:rFonts w:ascii="new roman" w:hAnsi="new roman"/>
          <w:sz w:val="24"/>
          <w:szCs w:val="24"/>
        </w:rPr>
      </w:pPr>
      <w:r w:rsidRPr="002A3ED9">
        <w:rPr>
          <w:rFonts w:ascii="new roman" w:hAnsi="new roman"/>
          <w:sz w:val="24"/>
          <w:szCs w:val="24"/>
        </w:rPr>
        <w:t>The defence of provocation is provided for on Section 239 (1) of the Criminal Law (Codification and Reform Act) [</w:t>
      </w:r>
      <w:r w:rsidRPr="002A3ED9">
        <w:rPr>
          <w:rFonts w:ascii="new roman" w:hAnsi="new roman"/>
          <w:i/>
          <w:iCs/>
          <w:sz w:val="24"/>
          <w:szCs w:val="24"/>
        </w:rPr>
        <w:t>Chapter 9:23</w:t>
      </w:r>
      <w:r w:rsidRPr="002A3ED9">
        <w:rPr>
          <w:rFonts w:ascii="new roman" w:hAnsi="new roman"/>
          <w:sz w:val="24"/>
          <w:szCs w:val="24"/>
        </w:rPr>
        <w:t xml:space="preserve">]. Ordinarily, all things being equal provocation if proved is </w:t>
      </w:r>
      <w:r w:rsidR="002A3ED9">
        <w:rPr>
          <w:rFonts w:ascii="new roman" w:hAnsi="new roman"/>
          <w:sz w:val="24"/>
          <w:szCs w:val="24"/>
        </w:rPr>
        <w:t xml:space="preserve">a </w:t>
      </w:r>
      <w:r w:rsidRPr="002A3ED9">
        <w:rPr>
          <w:rFonts w:ascii="new roman" w:hAnsi="new roman"/>
          <w:sz w:val="24"/>
          <w:szCs w:val="24"/>
        </w:rPr>
        <w:t>partial defence to murder reducing the charge to culpable homicide.</w:t>
      </w:r>
      <w:r w:rsidR="002A3ED9">
        <w:rPr>
          <w:rFonts w:ascii="new roman" w:hAnsi="new roman"/>
          <w:sz w:val="24"/>
          <w:szCs w:val="24"/>
        </w:rPr>
        <w:t xml:space="preserve"> </w:t>
      </w:r>
      <w:r w:rsidRPr="002A3ED9">
        <w:rPr>
          <w:rFonts w:ascii="new roman" w:hAnsi="new roman"/>
          <w:sz w:val="24"/>
          <w:szCs w:val="24"/>
        </w:rPr>
        <w:t xml:space="preserve">We are convinced that there was </w:t>
      </w:r>
      <w:r w:rsidR="002A3ED9">
        <w:rPr>
          <w:rFonts w:ascii="new roman" w:hAnsi="new roman"/>
          <w:sz w:val="24"/>
          <w:szCs w:val="24"/>
        </w:rPr>
        <w:t xml:space="preserve">no </w:t>
      </w:r>
      <w:r w:rsidRPr="002A3ED9">
        <w:rPr>
          <w:rFonts w:ascii="new roman" w:hAnsi="new roman"/>
          <w:sz w:val="24"/>
          <w:szCs w:val="24"/>
        </w:rPr>
        <w:t>provocation and if ever there was</w:t>
      </w:r>
      <w:r w:rsidR="002A3ED9">
        <w:rPr>
          <w:rFonts w:ascii="new roman" w:hAnsi="new roman"/>
          <w:sz w:val="24"/>
          <w:szCs w:val="24"/>
        </w:rPr>
        <w:t>,</w:t>
      </w:r>
      <w:r w:rsidRPr="002A3ED9">
        <w:rPr>
          <w:rFonts w:ascii="new roman" w:hAnsi="new roman"/>
          <w:sz w:val="24"/>
          <w:szCs w:val="24"/>
        </w:rPr>
        <w:t xml:space="preserve"> it was minimal and insignificant </w:t>
      </w:r>
      <w:r w:rsidRPr="002A3ED9">
        <w:rPr>
          <w:rFonts w:ascii="new roman" w:hAnsi="new roman"/>
          <w:sz w:val="24"/>
          <w:szCs w:val="24"/>
        </w:rPr>
        <w:lastRenderedPageBreak/>
        <w:t xml:space="preserve">to warrant the murderous attack. There is no proof that he lost self- control or a reasonable man in his shoes would have lost control.  We only heard of a mere finger poking on his person form a seven months pregnant woman which </w:t>
      </w:r>
      <w:r w:rsidR="002A3ED9">
        <w:rPr>
          <w:rFonts w:ascii="new roman" w:hAnsi="new roman"/>
          <w:sz w:val="24"/>
          <w:szCs w:val="24"/>
        </w:rPr>
        <w:t xml:space="preserve">not </w:t>
      </w:r>
      <w:r w:rsidRPr="002A3ED9">
        <w:rPr>
          <w:rFonts w:ascii="new roman" w:hAnsi="new roman"/>
          <w:sz w:val="24"/>
          <w:szCs w:val="24"/>
        </w:rPr>
        <w:t>only attracted</w:t>
      </w:r>
      <w:r w:rsidR="00D94460" w:rsidRPr="002A3ED9">
        <w:rPr>
          <w:rFonts w:ascii="new roman" w:hAnsi="new roman"/>
          <w:sz w:val="24"/>
          <w:szCs w:val="24"/>
        </w:rPr>
        <w:t xml:space="preserve"> a slap on the face but a wrestle and strangulation. Given their domestic violence background a reasonable person in those circumstances would not have lost </w:t>
      </w:r>
      <w:r w:rsidR="000F1BD3" w:rsidRPr="002A3ED9">
        <w:rPr>
          <w:rFonts w:ascii="new roman" w:hAnsi="new roman"/>
          <w:sz w:val="24"/>
          <w:szCs w:val="24"/>
        </w:rPr>
        <w:t>self-control</w:t>
      </w:r>
      <w:r w:rsidR="00D94460" w:rsidRPr="002A3ED9">
        <w:rPr>
          <w:rFonts w:ascii="new roman" w:hAnsi="new roman"/>
          <w:sz w:val="24"/>
          <w:szCs w:val="24"/>
        </w:rPr>
        <w:t>.</w:t>
      </w:r>
      <w:r w:rsidR="000F1BD3" w:rsidRPr="002A3ED9">
        <w:rPr>
          <w:rFonts w:ascii="new roman" w:hAnsi="new roman"/>
          <w:sz w:val="24"/>
          <w:szCs w:val="24"/>
        </w:rPr>
        <w:t xml:space="preserve"> </w:t>
      </w:r>
      <w:r w:rsidRPr="002A3ED9">
        <w:rPr>
          <w:rFonts w:ascii="new roman" w:hAnsi="new roman"/>
          <w:sz w:val="24"/>
          <w:szCs w:val="24"/>
        </w:rPr>
        <w:t>See</w:t>
      </w:r>
      <w:r w:rsidR="00833FE0">
        <w:rPr>
          <w:rFonts w:ascii="new roman" w:hAnsi="new roman"/>
          <w:sz w:val="24"/>
          <w:szCs w:val="24"/>
        </w:rPr>
        <w:t>,</w:t>
      </w:r>
      <w:r w:rsidRPr="002A3ED9">
        <w:rPr>
          <w:rFonts w:ascii="new roman" w:hAnsi="new roman"/>
          <w:sz w:val="24"/>
          <w:szCs w:val="24"/>
        </w:rPr>
        <w:t xml:space="preserve"> </w:t>
      </w:r>
      <w:r w:rsidRPr="002A3ED9">
        <w:rPr>
          <w:rFonts w:ascii="new roman" w:hAnsi="new roman"/>
          <w:i/>
          <w:sz w:val="24"/>
          <w:szCs w:val="24"/>
        </w:rPr>
        <w:t>S vMuchocha</w:t>
      </w:r>
      <w:r w:rsidRPr="002A3ED9">
        <w:rPr>
          <w:rFonts w:ascii="new roman" w:hAnsi="new roman"/>
          <w:sz w:val="24"/>
          <w:szCs w:val="24"/>
        </w:rPr>
        <w:t xml:space="preserve"> HMA25/23,</w:t>
      </w:r>
      <w:r w:rsidRPr="002A3ED9">
        <w:rPr>
          <w:i/>
          <w:iCs/>
          <w:color w:val="767575"/>
          <w:sz w:val="24"/>
          <w:szCs w:val="24"/>
          <w:shd w:val="clear" w:color="auto" w:fill="FFFFFF"/>
        </w:rPr>
        <w:t xml:space="preserve"> </w:t>
      </w:r>
      <w:r w:rsidRPr="002A3ED9">
        <w:rPr>
          <w:rFonts w:ascii="new roman" w:hAnsi="new roman"/>
          <w:i/>
          <w:iCs/>
          <w:sz w:val="24"/>
          <w:szCs w:val="24"/>
          <w:shd w:val="clear" w:color="auto" w:fill="FFFFFF"/>
        </w:rPr>
        <w:t>S v Mafusire</w:t>
      </w:r>
      <w:r w:rsidRPr="002A3ED9">
        <w:rPr>
          <w:rFonts w:ascii="new roman" w:hAnsi="new roman"/>
          <w:sz w:val="24"/>
          <w:szCs w:val="24"/>
          <w:shd w:val="clear" w:color="auto" w:fill="FFFFFF"/>
        </w:rPr>
        <w:t> 2010 (1) ZLR 417; </w:t>
      </w:r>
      <w:r w:rsidRPr="002A3ED9">
        <w:rPr>
          <w:rFonts w:ascii="new roman" w:hAnsi="new roman"/>
          <w:i/>
          <w:iCs/>
          <w:sz w:val="24"/>
          <w:szCs w:val="24"/>
          <w:shd w:val="clear" w:color="auto" w:fill="FFFFFF"/>
        </w:rPr>
        <w:t>S v Moses Saunyama</w:t>
      </w:r>
      <w:r w:rsidRPr="002A3ED9">
        <w:rPr>
          <w:rFonts w:ascii="new roman" w:hAnsi="new roman"/>
          <w:sz w:val="24"/>
          <w:szCs w:val="24"/>
          <w:shd w:val="clear" w:color="auto" w:fill="FFFFFF"/>
        </w:rPr>
        <w:t> HH581/17 at 16; and </w:t>
      </w:r>
      <w:r w:rsidRPr="002A3ED9">
        <w:rPr>
          <w:rFonts w:ascii="new roman" w:hAnsi="new roman"/>
          <w:i/>
          <w:iCs/>
          <w:sz w:val="24"/>
          <w:szCs w:val="24"/>
          <w:shd w:val="clear" w:color="auto" w:fill="FFFFFF"/>
        </w:rPr>
        <w:t>S v Masina</w:t>
      </w:r>
      <w:r w:rsidRPr="002A3ED9">
        <w:rPr>
          <w:rFonts w:ascii="new roman" w:hAnsi="new roman"/>
          <w:sz w:val="24"/>
          <w:szCs w:val="24"/>
          <w:shd w:val="clear" w:color="auto" w:fill="FFFFFF"/>
        </w:rPr>
        <w:t> 2010 (2) ZLR 498.</w:t>
      </w:r>
    </w:p>
    <w:p w14:paraId="3D4A6B6F" w14:textId="723A82B7" w:rsidR="00BA37AA" w:rsidRDefault="00D94460" w:rsidP="008A253E">
      <w:pPr>
        <w:spacing w:line="360" w:lineRule="auto"/>
        <w:jc w:val="both"/>
        <w:rPr>
          <w:rFonts w:ascii="Arial" w:hAnsi="Arial" w:cs="Arial"/>
          <w:color w:val="1F1F1F"/>
          <w:sz w:val="30"/>
          <w:szCs w:val="30"/>
          <w:shd w:val="clear" w:color="auto" w:fill="FFFFFF"/>
        </w:rPr>
      </w:pPr>
      <w:r>
        <w:rPr>
          <w:rFonts w:ascii="new roman" w:hAnsi="new roman" w:cs="Segoe UI"/>
          <w:color w:val="212529"/>
          <w:sz w:val="24"/>
          <w:szCs w:val="24"/>
          <w:shd w:val="clear" w:color="auto" w:fill="FFFFFF"/>
        </w:rPr>
        <w:t xml:space="preserve">Be that as it may, the   post mortem report, exhibit one, </w:t>
      </w:r>
      <w:r w:rsidR="00D5779E">
        <w:rPr>
          <w:rFonts w:ascii="new roman" w:hAnsi="new roman" w:cs="Segoe UI"/>
          <w:color w:val="212529"/>
          <w:sz w:val="24"/>
          <w:szCs w:val="24"/>
          <w:shd w:val="clear" w:color="auto" w:fill="FFFFFF"/>
        </w:rPr>
        <w:t>disclosed</w:t>
      </w:r>
      <w:r>
        <w:rPr>
          <w:rFonts w:ascii="new roman" w:hAnsi="new roman" w:cs="Segoe UI"/>
          <w:color w:val="212529"/>
          <w:sz w:val="24"/>
          <w:szCs w:val="24"/>
          <w:shd w:val="clear" w:color="auto" w:fill="FFFFFF"/>
        </w:rPr>
        <w:t xml:space="preserve"> that the deceased </w:t>
      </w:r>
      <w:r w:rsidR="00D5779E">
        <w:rPr>
          <w:rFonts w:ascii="new roman" w:hAnsi="new roman" w:cs="Segoe UI"/>
          <w:color w:val="212529"/>
          <w:sz w:val="24"/>
          <w:szCs w:val="24"/>
          <w:shd w:val="clear" w:color="auto" w:fill="FFFFFF"/>
        </w:rPr>
        <w:t>died</w:t>
      </w:r>
      <w:r>
        <w:rPr>
          <w:rFonts w:ascii="new roman" w:hAnsi="new roman" w:cs="Segoe UI"/>
          <w:color w:val="212529"/>
          <w:sz w:val="24"/>
          <w:szCs w:val="24"/>
          <w:shd w:val="clear" w:color="auto" w:fill="FFFFFF"/>
        </w:rPr>
        <w:t xml:space="preserve"> from strangulation from an electric wire cord. Str</w:t>
      </w:r>
      <w:r w:rsidR="00BA37AA">
        <w:rPr>
          <w:rFonts w:ascii="new roman" w:hAnsi="new roman" w:cs="Segoe UI"/>
          <w:color w:val="212529"/>
          <w:sz w:val="24"/>
          <w:szCs w:val="24"/>
          <w:shd w:val="clear" w:color="auto" w:fill="FFFFFF"/>
        </w:rPr>
        <w:t xml:space="preserve">angulation means choking or throttling someone. It deprives the smooth normal flow of oxygen and blood and affects breathing, in simple terms. That is, it involves the </w:t>
      </w:r>
      <w:r w:rsidR="00BA37AA" w:rsidRPr="00BA37AA">
        <w:rPr>
          <w:rFonts w:ascii="new roman" w:hAnsi="new roman" w:cs="Arial"/>
          <w:color w:val="040C28"/>
          <w:sz w:val="24"/>
          <w:szCs w:val="24"/>
        </w:rPr>
        <w:t>obstruction or compression of blood vessels and/or airways by external pressure to the neck impeding normal breathing or circulation of the blood</w:t>
      </w:r>
      <w:r w:rsidR="00BA37AA">
        <w:rPr>
          <w:rFonts w:ascii="Arial" w:hAnsi="Arial" w:cs="Arial"/>
          <w:color w:val="1F1F1F"/>
          <w:sz w:val="30"/>
          <w:szCs w:val="30"/>
          <w:shd w:val="clear" w:color="auto" w:fill="FFFFFF"/>
        </w:rPr>
        <w:t xml:space="preserve">. </w:t>
      </w:r>
    </w:p>
    <w:p w14:paraId="6B086820" w14:textId="1508EC39" w:rsidR="00D5779E" w:rsidRDefault="00BA37AA" w:rsidP="008A253E">
      <w:pPr>
        <w:spacing w:line="360" w:lineRule="auto"/>
        <w:jc w:val="both"/>
        <w:rPr>
          <w:rFonts w:ascii="new roman" w:hAnsi="new roman" w:cs="Segoe UI"/>
          <w:color w:val="212529"/>
          <w:sz w:val="24"/>
          <w:szCs w:val="24"/>
          <w:shd w:val="clear" w:color="auto" w:fill="FFFFFF"/>
        </w:rPr>
      </w:pPr>
      <w:r>
        <w:rPr>
          <w:rFonts w:ascii="new roman" w:hAnsi="new roman" w:cs="Segoe UI"/>
          <w:color w:val="212529"/>
          <w:sz w:val="24"/>
          <w:szCs w:val="24"/>
          <w:shd w:val="clear" w:color="auto" w:fill="FFFFFF"/>
        </w:rPr>
        <w:t xml:space="preserve"> For the accused to then say in open court, that the deceased after being choked by the electric cord entangled on her neck then woke up, a heavily pregnant woman for that matter,</w:t>
      </w:r>
      <w:r w:rsidR="00D94460">
        <w:rPr>
          <w:rFonts w:ascii="new roman" w:hAnsi="new roman" w:cs="Segoe UI"/>
          <w:color w:val="212529"/>
          <w:sz w:val="24"/>
          <w:szCs w:val="24"/>
          <w:shd w:val="clear" w:color="auto" w:fill="FFFFFF"/>
        </w:rPr>
        <w:t xml:space="preserve"> </w:t>
      </w:r>
      <w:r>
        <w:rPr>
          <w:rFonts w:ascii="new roman" w:hAnsi="new roman" w:cs="Segoe UI"/>
          <w:color w:val="212529"/>
          <w:sz w:val="24"/>
          <w:szCs w:val="24"/>
          <w:shd w:val="clear" w:color="auto" w:fill="FFFFFF"/>
        </w:rPr>
        <w:t xml:space="preserve"> .to walk more than four kilometres away is illogical and a blatant lie</w:t>
      </w:r>
      <w:r w:rsidR="00D5779E">
        <w:rPr>
          <w:rFonts w:ascii="new roman" w:hAnsi="new roman" w:cs="Segoe UI"/>
          <w:color w:val="212529"/>
          <w:sz w:val="24"/>
          <w:szCs w:val="24"/>
          <w:shd w:val="clear" w:color="auto" w:fill="FFFFFF"/>
        </w:rPr>
        <w:t xml:space="preserve">.  In the face of the autopsy report that version is contemptuously rejected. The </w:t>
      </w:r>
      <w:r w:rsidR="002A3ED9">
        <w:rPr>
          <w:rFonts w:ascii="new roman" w:hAnsi="new roman" w:cs="Segoe UI"/>
          <w:color w:val="212529"/>
          <w:sz w:val="24"/>
          <w:szCs w:val="24"/>
          <w:shd w:val="clear" w:color="auto" w:fill="FFFFFF"/>
        </w:rPr>
        <w:t xml:space="preserve">reasonable inference drawn from the totality of evidence is the </w:t>
      </w:r>
      <w:r w:rsidR="00D5779E">
        <w:rPr>
          <w:rFonts w:ascii="new roman" w:hAnsi="new roman" w:cs="Segoe UI"/>
          <w:color w:val="212529"/>
          <w:sz w:val="24"/>
          <w:szCs w:val="24"/>
          <w:shd w:val="clear" w:color="auto" w:fill="FFFFFF"/>
        </w:rPr>
        <w:t>victim had the air choked out of her and she died at the crime scene, corroborating the child witness’s evidence that the body had to be then transported to a different location to conceal the offence.</w:t>
      </w:r>
    </w:p>
    <w:p w14:paraId="3C8F758F" w14:textId="42323561" w:rsidR="00D5779E" w:rsidRDefault="00D5779E" w:rsidP="008A253E">
      <w:pPr>
        <w:spacing w:line="360" w:lineRule="auto"/>
        <w:jc w:val="both"/>
        <w:rPr>
          <w:rFonts w:ascii="new roman" w:hAnsi="new roman" w:cs="Segoe UI"/>
          <w:color w:val="212529"/>
          <w:sz w:val="24"/>
          <w:szCs w:val="24"/>
          <w:shd w:val="clear" w:color="auto" w:fill="FFFFFF"/>
        </w:rPr>
      </w:pPr>
      <w:r>
        <w:rPr>
          <w:rFonts w:ascii="new roman" w:hAnsi="new roman" w:cs="Segoe UI"/>
          <w:color w:val="212529"/>
          <w:sz w:val="24"/>
          <w:szCs w:val="24"/>
          <w:shd w:val="clear" w:color="auto" w:fill="FFFFFF"/>
        </w:rPr>
        <w:t xml:space="preserve">Inevitably, the child witness’s evidence has been corroborated in several ways by the documentary evidence adduced. More particularly, when the court could not help but take judicial notice of the fact that the young boy continuously referred to his father, the accused innocently, affectionately with a sense of great longing. </w:t>
      </w:r>
      <w:r w:rsidR="00367490">
        <w:rPr>
          <w:rFonts w:ascii="new roman" w:hAnsi="new roman" w:cs="Segoe UI"/>
          <w:color w:val="212529"/>
          <w:sz w:val="24"/>
          <w:szCs w:val="24"/>
          <w:shd w:val="clear" w:color="auto" w:fill="FFFFFF"/>
        </w:rPr>
        <w:t>This i</w:t>
      </w:r>
      <w:r>
        <w:rPr>
          <w:rFonts w:ascii="new roman" w:hAnsi="new roman" w:cs="Segoe UI"/>
          <w:color w:val="212529"/>
          <w:sz w:val="24"/>
          <w:szCs w:val="24"/>
          <w:shd w:val="clear" w:color="auto" w:fill="FFFFFF"/>
        </w:rPr>
        <w:t>llustrat</w:t>
      </w:r>
      <w:r w:rsidR="00B46A47">
        <w:rPr>
          <w:rFonts w:ascii="new roman" w:hAnsi="new roman" w:cs="Segoe UI"/>
          <w:color w:val="212529"/>
          <w:sz w:val="24"/>
          <w:szCs w:val="24"/>
          <w:shd w:val="clear" w:color="auto" w:fill="FFFFFF"/>
        </w:rPr>
        <w:t>ed</w:t>
      </w:r>
      <w:r>
        <w:rPr>
          <w:rFonts w:ascii="new roman" w:hAnsi="new roman" w:cs="Segoe UI"/>
          <w:color w:val="212529"/>
          <w:sz w:val="24"/>
          <w:szCs w:val="24"/>
          <w:shd w:val="clear" w:color="auto" w:fill="FFFFFF"/>
        </w:rPr>
        <w:t xml:space="preserve"> that he was oblivious of the implication of his testimony to his </w:t>
      </w:r>
      <w:r w:rsidR="006B5C89">
        <w:rPr>
          <w:rFonts w:ascii="new roman" w:hAnsi="new roman" w:cs="Segoe UI"/>
          <w:color w:val="212529"/>
          <w:sz w:val="24"/>
          <w:szCs w:val="24"/>
          <w:shd w:val="clear" w:color="auto" w:fill="FFFFFF"/>
        </w:rPr>
        <w:t>father‘s</w:t>
      </w:r>
      <w:r>
        <w:rPr>
          <w:rFonts w:ascii="new roman" w:hAnsi="new roman" w:cs="Segoe UI"/>
          <w:color w:val="212529"/>
          <w:sz w:val="24"/>
          <w:szCs w:val="24"/>
          <w:shd w:val="clear" w:color="auto" w:fill="FFFFFF"/>
        </w:rPr>
        <w:t xml:space="preserve"> freedom. His continuous reference punctuating his every statement was </w:t>
      </w:r>
      <w:r w:rsidR="006B5C89">
        <w:rPr>
          <w:rFonts w:ascii="new roman" w:hAnsi="new roman" w:cs="Segoe UI"/>
          <w:color w:val="212529"/>
          <w:sz w:val="24"/>
          <w:szCs w:val="24"/>
          <w:shd w:val="clear" w:color="auto" w:fill="FFFFFF"/>
        </w:rPr>
        <w:t xml:space="preserve">‘dad went to jail’ repeatedly, led the court to ask the prison officials to allow the boy to see his father one more time after their unceremonious parting. The torn apart boy who lost both parents almost the same time, one to murder and the other incarceration deserved to be given an opportunity for closure no matter how small. More so, when the boy had a stronger bond with the father who had been looking after him singlehandedly when the parties were living apart. </w:t>
      </w:r>
      <w:r w:rsidR="00B46A47">
        <w:rPr>
          <w:rFonts w:ascii="new roman" w:hAnsi="new roman" w:cs="Segoe UI"/>
          <w:color w:val="212529"/>
          <w:sz w:val="24"/>
          <w:szCs w:val="24"/>
          <w:shd w:val="clear" w:color="auto" w:fill="FFFFFF"/>
        </w:rPr>
        <w:t>Indeed,</w:t>
      </w:r>
      <w:r w:rsidR="006B5C89">
        <w:rPr>
          <w:rFonts w:ascii="new roman" w:hAnsi="new roman" w:cs="Segoe UI"/>
          <w:color w:val="212529"/>
          <w:sz w:val="24"/>
          <w:szCs w:val="24"/>
          <w:shd w:val="clear" w:color="auto" w:fill="FFFFFF"/>
        </w:rPr>
        <w:t xml:space="preserve"> after </w:t>
      </w:r>
      <w:r w:rsidR="00B46A47">
        <w:rPr>
          <w:rFonts w:ascii="new roman" w:hAnsi="new roman" w:cs="Segoe UI"/>
          <w:color w:val="212529"/>
          <w:sz w:val="24"/>
          <w:szCs w:val="24"/>
          <w:shd w:val="clear" w:color="auto" w:fill="FFFFFF"/>
        </w:rPr>
        <w:t xml:space="preserve">the </w:t>
      </w:r>
      <w:r w:rsidR="006B5C89">
        <w:rPr>
          <w:rFonts w:ascii="new roman" w:hAnsi="new roman" w:cs="Segoe UI"/>
          <w:color w:val="212529"/>
          <w:sz w:val="24"/>
          <w:szCs w:val="24"/>
          <w:shd w:val="clear" w:color="auto" w:fill="FFFFFF"/>
        </w:rPr>
        <w:t>court session the boy delightedly flew into his father’s arms.</w:t>
      </w:r>
    </w:p>
    <w:p w14:paraId="669DB202" w14:textId="2803B620" w:rsidR="00425E27" w:rsidRDefault="006B5C89" w:rsidP="008A253E">
      <w:pPr>
        <w:spacing w:line="360" w:lineRule="auto"/>
        <w:jc w:val="both"/>
        <w:rPr>
          <w:rFonts w:ascii="new roman" w:hAnsi="new roman" w:cs="Segoe UI"/>
          <w:color w:val="212529"/>
          <w:sz w:val="24"/>
          <w:szCs w:val="24"/>
          <w:shd w:val="clear" w:color="auto" w:fill="FFFFFF"/>
        </w:rPr>
      </w:pPr>
      <w:r>
        <w:rPr>
          <w:rFonts w:ascii="new roman" w:hAnsi="new roman" w:cs="Segoe UI"/>
          <w:color w:val="212529"/>
          <w:sz w:val="24"/>
          <w:szCs w:val="24"/>
          <w:shd w:val="clear" w:color="auto" w:fill="FFFFFF"/>
        </w:rPr>
        <w:lastRenderedPageBreak/>
        <w:t xml:space="preserve">Back to the case at hand, it is clear that though not disputed from the onset, </w:t>
      </w:r>
      <w:r w:rsidRPr="006039F8">
        <w:rPr>
          <w:rFonts w:ascii="new roman" w:hAnsi="new roman" w:cs="Segoe UI"/>
          <w:i/>
          <w:color w:val="212529"/>
          <w:sz w:val="24"/>
          <w:szCs w:val="24"/>
          <w:shd w:val="clear" w:color="auto" w:fill="FFFFFF"/>
        </w:rPr>
        <w:t>the actus reus,</w:t>
      </w:r>
      <w:r>
        <w:rPr>
          <w:rFonts w:ascii="new roman" w:hAnsi="new roman" w:cs="Segoe UI"/>
          <w:color w:val="212529"/>
          <w:sz w:val="24"/>
          <w:szCs w:val="24"/>
          <w:shd w:val="clear" w:color="auto" w:fill="FFFFFF"/>
        </w:rPr>
        <w:t xml:space="preserve"> that the accused killed the deceased has </w:t>
      </w:r>
      <w:r w:rsidR="00B46A47">
        <w:rPr>
          <w:rFonts w:ascii="new roman" w:hAnsi="new roman" w:cs="Segoe UI"/>
          <w:color w:val="212529"/>
          <w:sz w:val="24"/>
          <w:szCs w:val="24"/>
          <w:shd w:val="clear" w:color="auto" w:fill="FFFFFF"/>
        </w:rPr>
        <w:t xml:space="preserve">been </w:t>
      </w:r>
      <w:r>
        <w:rPr>
          <w:rFonts w:ascii="new roman" w:hAnsi="new roman" w:cs="Segoe UI"/>
          <w:color w:val="212529"/>
          <w:sz w:val="24"/>
          <w:szCs w:val="24"/>
          <w:shd w:val="clear" w:color="auto" w:fill="FFFFFF"/>
        </w:rPr>
        <w:t xml:space="preserve">proved. </w:t>
      </w:r>
      <w:r w:rsidR="006039F8">
        <w:rPr>
          <w:rFonts w:ascii="new roman" w:hAnsi="new roman" w:cs="Segoe UI"/>
          <w:color w:val="212529"/>
          <w:sz w:val="24"/>
          <w:szCs w:val="24"/>
          <w:shd w:val="clear" w:color="auto" w:fill="FFFFFF"/>
        </w:rPr>
        <w:t xml:space="preserve">What remains is the </w:t>
      </w:r>
      <w:r w:rsidR="006039F8" w:rsidRPr="006039F8">
        <w:rPr>
          <w:rFonts w:ascii="new roman" w:hAnsi="new roman" w:cs="Segoe UI"/>
          <w:i/>
          <w:color w:val="212529"/>
          <w:sz w:val="24"/>
          <w:szCs w:val="24"/>
          <w:shd w:val="clear" w:color="auto" w:fill="FFFFFF"/>
        </w:rPr>
        <w:t>mens rea.</w:t>
      </w:r>
      <w:r w:rsidR="006039F8">
        <w:rPr>
          <w:rFonts w:ascii="new roman" w:hAnsi="new roman" w:cs="Segoe UI"/>
          <w:i/>
          <w:color w:val="212529"/>
          <w:sz w:val="24"/>
          <w:szCs w:val="24"/>
          <w:shd w:val="clear" w:color="auto" w:fill="FFFFFF"/>
        </w:rPr>
        <w:t xml:space="preserve"> </w:t>
      </w:r>
      <w:r>
        <w:rPr>
          <w:rFonts w:ascii="new roman" w:hAnsi="new roman" w:cs="Segoe UI"/>
          <w:color w:val="212529"/>
          <w:sz w:val="24"/>
          <w:szCs w:val="24"/>
          <w:shd w:val="clear" w:color="auto" w:fill="FFFFFF"/>
        </w:rPr>
        <w:t>The partial defence of provocation has been dismissed. It follows that, the limited plea of negligent killing cannot be accepted either. There is no negligence in suffocating a</w:t>
      </w:r>
      <w:r w:rsidR="00425E27">
        <w:rPr>
          <w:rFonts w:ascii="new roman" w:hAnsi="new roman" w:cs="Segoe UI"/>
          <w:color w:val="212529"/>
          <w:sz w:val="24"/>
          <w:szCs w:val="24"/>
          <w:shd w:val="clear" w:color="auto" w:fill="FFFFFF"/>
        </w:rPr>
        <w:t xml:space="preserve"> vulnerable seven months pregnan</w:t>
      </w:r>
      <w:r>
        <w:rPr>
          <w:rFonts w:ascii="new roman" w:hAnsi="new roman" w:cs="Segoe UI"/>
          <w:color w:val="212529"/>
          <w:sz w:val="24"/>
          <w:szCs w:val="24"/>
          <w:shd w:val="clear" w:color="auto" w:fill="FFFFFF"/>
        </w:rPr>
        <w:t xml:space="preserve">t woman to death. </w:t>
      </w:r>
      <w:r w:rsidR="00B46A47">
        <w:rPr>
          <w:rFonts w:ascii="new roman" w:hAnsi="new roman" w:cs="Segoe UI"/>
          <w:color w:val="212529"/>
          <w:sz w:val="24"/>
          <w:szCs w:val="24"/>
          <w:shd w:val="clear" w:color="auto" w:fill="FFFFFF"/>
        </w:rPr>
        <w:t>Nonetheless f</w:t>
      </w:r>
      <w:r w:rsidR="00425E27">
        <w:rPr>
          <w:rFonts w:ascii="new roman" w:hAnsi="new roman" w:cs="Segoe UI"/>
          <w:color w:val="212529"/>
          <w:sz w:val="24"/>
          <w:szCs w:val="24"/>
          <w:shd w:val="clear" w:color="auto" w:fill="FFFFFF"/>
        </w:rPr>
        <w:t>rom the facts and evidence before this court murder with actual intent has not been proved beyond</w:t>
      </w:r>
      <w:r w:rsidR="00D94460">
        <w:rPr>
          <w:rFonts w:ascii="new roman" w:hAnsi="new roman" w:cs="Segoe UI"/>
          <w:color w:val="212529"/>
          <w:sz w:val="24"/>
          <w:szCs w:val="24"/>
          <w:shd w:val="clear" w:color="auto" w:fill="FFFFFF"/>
        </w:rPr>
        <w:t xml:space="preserve"> a reasonable doub</w:t>
      </w:r>
      <w:r w:rsidR="00425E27">
        <w:rPr>
          <w:rFonts w:ascii="new roman" w:hAnsi="new roman" w:cs="Segoe UI"/>
          <w:color w:val="212529"/>
          <w:sz w:val="24"/>
          <w:szCs w:val="24"/>
          <w:shd w:val="clear" w:color="auto" w:fill="FFFFFF"/>
        </w:rPr>
        <w:t>t. The accused had not planned to meet the deceased on this particular day. Even when they then met , from the only version on record, the accused’s, the two spent some considerable time together whi</w:t>
      </w:r>
      <w:r w:rsidR="006039F8">
        <w:rPr>
          <w:rFonts w:ascii="new roman" w:hAnsi="new roman" w:cs="Segoe UI"/>
          <w:color w:val="212529"/>
          <w:sz w:val="24"/>
          <w:szCs w:val="24"/>
          <w:shd w:val="clear" w:color="auto" w:fill="FFFFFF"/>
        </w:rPr>
        <w:t>lst accused prepared supper up t</w:t>
      </w:r>
      <w:r w:rsidR="00425E27">
        <w:rPr>
          <w:rFonts w:ascii="new roman" w:hAnsi="new roman" w:cs="Segoe UI"/>
          <w:color w:val="212529"/>
          <w:sz w:val="24"/>
          <w:szCs w:val="24"/>
          <w:shd w:val="clear" w:color="auto" w:fill="FFFFFF"/>
        </w:rPr>
        <w:t>o the time of the scuffle. Murder with actual intent is not sustainable.</w:t>
      </w:r>
    </w:p>
    <w:p w14:paraId="4AC2E65F" w14:textId="063CBA21" w:rsidR="00820E7D" w:rsidRDefault="00425E27" w:rsidP="008A253E">
      <w:pPr>
        <w:spacing w:line="360" w:lineRule="auto"/>
        <w:jc w:val="both"/>
        <w:rPr>
          <w:rFonts w:ascii="new roman" w:hAnsi="new roman"/>
          <w:sz w:val="24"/>
          <w:szCs w:val="24"/>
        </w:rPr>
      </w:pPr>
      <w:r>
        <w:rPr>
          <w:rFonts w:ascii="new roman" w:hAnsi="new roman" w:cs="Segoe UI"/>
          <w:color w:val="212529"/>
          <w:sz w:val="24"/>
          <w:szCs w:val="24"/>
          <w:shd w:val="clear" w:color="auto" w:fill="FFFFFF"/>
        </w:rPr>
        <w:t>It all boils down to murder with constructive intent.</w:t>
      </w:r>
      <w:r w:rsidR="006039F8" w:rsidRPr="006039F8">
        <w:rPr>
          <w:color w:val="767575"/>
          <w:shd w:val="clear" w:color="auto" w:fill="FFFFFF"/>
        </w:rPr>
        <w:t xml:space="preserve"> </w:t>
      </w:r>
      <w:r w:rsidR="00820E7D">
        <w:rPr>
          <w:rFonts w:ascii="new roman" w:hAnsi="new roman"/>
          <w:sz w:val="24"/>
          <w:szCs w:val="24"/>
        </w:rPr>
        <w:t xml:space="preserve">It is therefore our finding that the accused person, </w:t>
      </w:r>
      <w:r w:rsidR="00820E7D" w:rsidRPr="006F1DA2">
        <w:rPr>
          <w:rFonts w:ascii="new roman" w:hAnsi="new roman"/>
        </w:rPr>
        <w:t>realizing that there was a real risk or</w:t>
      </w:r>
      <w:r w:rsidR="00820E7D">
        <w:t xml:space="preserve"> </w:t>
      </w:r>
      <w:r w:rsidR="00820E7D" w:rsidRPr="006F1DA2">
        <w:rPr>
          <w:rFonts w:ascii="new roman" w:hAnsi="new roman"/>
          <w:sz w:val="24"/>
          <w:szCs w:val="24"/>
        </w:rPr>
        <w:t>possibility that his actions of strangling the deceased with an electric iron would result in her death, he</w:t>
      </w:r>
      <w:r w:rsidR="00820E7D">
        <w:rPr>
          <w:rFonts w:ascii="new roman" w:hAnsi="new roman"/>
          <w:sz w:val="24"/>
          <w:szCs w:val="24"/>
        </w:rPr>
        <w:t xml:space="preserve"> continued</w:t>
      </w:r>
      <w:r w:rsidR="00820E7D" w:rsidRPr="006F1DA2">
        <w:rPr>
          <w:rFonts w:ascii="new roman" w:hAnsi="new roman"/>
          <w:sz w:val="24"/>
          <w:szCs w:val="24"/>
        </w:rPr>
        <w:t xml:space="preserve"> with the strangling grip</w:t>
      </w:r>
      <w:r w:rsidR="00B46A47">
        <w:rPr>
          <w:rFonts w:ascii="new roman" w:hAnsi="new roman"/>
          <w:sz w:val="24"/>
          <w:szCs w:val="24"/>
        </w:rPr>
        <w:t>, stifling life out of her</w:t>
      </w:r>
      <w:r w:rsidR="00820E7D" w:rsidRPr="006F1DA2">
        <w:rPr>
          <w:rFonts w:ascii="new roman" w:hAnsi="new roman"/>
          <w:sz w:val="24"/>
          <w:szCs w:val="24"/>
        </w:rPr>
        <w:t xml:space="preserve"> despite </w:t>
      </w:r>
      <w:r w:rsidR="00820E7D">
        <w:rPr>
          <w:rFonts w:ascii="new roman" w:hAnsi="new roman"/>
          <w:sz w:val="24"/>
          <w:szCs w:val="24"/>
        </w:rPr>
        <w:t>the</w:t>
      </w:r>
      <w:r w:rsidR="00820E7D" w:rsidRPr="006F1DA2">
        <w:rPr>
          <w:rFonts w:ascii="new roman" w:hAnsi="new roman"/>
          <w:sz w:val="24"/>
          <w:szCs w:val="24"/>
        </w:rPr>
        <w:t xml:space="preserve"> possibility </w:t>
      </w:r>
      <w:r w:rsidR="00820E7D">
        <w:rPr>
          <w:rFonts w:ascii="new roman" w:hAnsi="new roman"/>
          <w:sz w:val="24"/>
          <w:szCs w:val="24"/>
        </w:rPr>
        <w:t>that death would occur. There was a reasonable foreseeability that death would occasion. He then resolved to remove the body and dump it elsewhere.</w:t>
      </w:r>
    </w:p>
    <w:p w14:paraId="320C96B7" w14:textId="77777777" w:rsidR="00820E7D" w:rsidRPr="00820E7D" w:rsidRDefault="00820E7D" w:rsidP="008A253E">
      <w:pPr>
        <w:spacing w:line="360" w:lineRule="auto"/>
        <w:jc w:val="both"/>
        <w:rPr>
          <w:rFonts w:ascii="new roman" w:hAnsi="new roman" w:cs="Segoe UI"/>
          <w:i/>
          <w:sz w:val="24"/>
          <w:szCs w:val="24"/>
          <w:shd w:val="clear" w:color="auto" w:fill="FFFFFF"/>
        </w:rPr>
      </w:pPr>
      <w:r>
        <w:rPr>
          <w:rFonts w:ascii="new roman" w:hAnsi="new roman"/>
          <w:sz w:val="24"/>
          <w:szCs w:val="24"/>
        </w:rPr>
        <w:t>We found the accused guilty of murder with constructive intent</w:t>
      </w:r>
      <w:r w:rsidRPr="00820E7D">
        <w:rPr>
          <w:rFonts w:ascii="new roman" w:hAnsi="new roman"/>
          <w:sz w:val="24"/>
          <w:szCs w:val="24"/>
        </w:rPr>
        <w:t xml:space="preserve">. </w:t>
      </w:r>
      <w:r w:rsidRPr="00820E7D">
        <w:rPr>
          <w:rFonts w:ascii="new roman" w:hAnsi="new roman"/>
          <w:sz w:val="24"/>
          <w:szCs w:val="24"/>
          <w:shd w:val="clear" w:color="auto" w:fill="FFFFFF"/>
        </w:rPr>
        <w:t xml:space="preserve">See, S v </w:t>
      </w:r>
      <w:r w:rsidRPr="00820E7D">
        <w:rPr>
          <w:rFonts w:ascii="new roman" w:hAnsi="new roman"/>
          <w:i/>
          <w:sz w:val="24"/>
          <w:szCs w:val="24"/>
          <w:shd w:val="clear" w:color="auto" w:fill="FFFFFF"/>
        </w:rPr>
        <w:t xml:space="preserve">Idea Rukwaripo </w:t>
      </w:r>
      <w:r>
        <w:rPr>
          <w:rFonts w:ascii="new roman" w:hAnsi="new roman"/>
          <w:sz w:val="24"/>
          <w:szCs w:val="24"/>
          <w:shd w:val="clear" w:color="auto" w:fill="FFFFFF"/>
        </w:rPr>
        <w:t>HH92/12.</w:t>
      </w:r>
      <w:r w:rsidR="00464A28">
        <w:rPr>
          <w:rFonts w:ascii="new roman" w:hAnsi="new roman"/>
          <w:sz w:val="24"/>
          <w:szCs w:val="24"/>
          <w:shd w:val="clear" w:color="auto" w:fill="FFFFFF"/>
        </w:rPr>
        <w:t xml:space="preserve"> </w:t>
      </w:r>
      <w:r w:rsidR="00464A28" w:rsidRPr="00464A28">
        <w:rPr>
          <w:rFonts w:ascii="new roman" w:hAnsi="new roman"/>
          <w:i/>
          <w:sz w:val="24"/>
          <w:szCs w:val="24"/>
          <w:shd w:val="clear" w:color="auto" w:fill="FFFFFF"/>
        </w:rPr>
        <w:t>S v Chimangaidzo Ndou</w:t>
      </w:r>
      <w:r w:rsidR="00464A28">
        <w:rPr>
          <w:rFonts w:ascii="new roman" w:hAnsi="new roman"/>
          <w:sz w:val="24"/>
          <w:szCs w:val="24"/>
          <w:shd w:val="clear" w:color="auto" w:fill="FFFFFF"/>
        </w:rPr>
        <w:t xml:space="preserve"> HMA15/18.</w:t>
      </w:r>
    </w:p>
    <w:p w14:paraId="27FEB9E8" w14:textId="77777777" w:rsidR="00820E7D" w:rsidRDefault="00464A28" w:rsidP="008A253E">
      <w:pPr>
        <w:tabs>
          <w:tab w:val="left" w:pos="2512"/>
        </w:tabs>
        <w:spacing w:line="360" w:lineRule="auto"/>
        <w:jc w:val="both"/>
        <w:rPr>
          <w:rFonts w:ascii="new roman" w:hAnsi="new roman" w:cs="Segoe UI"/>
          <w:color w:val="212529"/>
          <w:sz w:val="24"/>
          <w:szCs w:val="24"/>
          <w:u w:val="single"/>
          <w:shd w:val="clear" w:color="auto" w:fill="FFFFFF"/>
        </w:rPr>
      </w:pPr>
      <w:r>
        <w:rPr>
          <w:rFonts w:ascii="new roman" w:hAnsi="new roman" w:cs="Segoe UI"/>
          <w:color w:val="212529"/>
          <w:sz w:val="24"/>
          <w:szCs w:val="24"/>
          <w:u w:val="single"/>
          <w:shd w:val="clear" w:color="auto" w:fill="FFFFFF"/>
        </w:rPr>
        <w:t>Sentencing Judgment</w:t>
      </w:r>
    </w:p>
    <w:p w14:paraId="722EC16F" w14:textId="77777777" w:rsidR="00464A28" w:rsidRDefault="00464A28" w:rsidP="008A253E">
      <w:pPr>
        <w:tabs>
          <w:tab w:val="left" w:pos="2512"/>
        </w:tabs>
        <w:spacing w:line="360" w:lineRule="auto"/>
        <w:jc w:val="both"/>
        <w:rPr>
          <w:rFonts w:ascii="new roman" w:hAnsi="new roman" w:cs="Segoe UI"/>
          <w:color w:val="212529"/>
          <w:sz w:val="24"/>
          <w:szCs w:val="24"/>
          <w:shd w:val="clear" w:color="auto" w:fill="FFFFFF"/>
        </w:rPr>
      </w:pPr>
      <w:r w:rsidRPr="00464A28">
        <w:rPr>
          <w:rFonts w:ascii="new roman" w:hAnsi="new roman" w:cs="Segoe UI"/>
          <w:color w:val="212529"/>
          <w:sz w:val="24"/>
          <w:szCs w:val="24"/>
          <w:shd w:val="clear" w:color="auto" w:fill="FFFFFF"/>
        </w:rPr>
        <w:t xml:space="preserve">The </w:t>
      </w:r>
      <w:r>
        <w:rPr>
          <w:rFonts w:ascii="new roman" w:hAnsi="new roman" w:cs="Segoe UI"/>
          <w:color w:val="212529"/>
          <w:sz w:val="24"/>
          <w:szCs w:val="24"/>
          <w:shd w:val="clear" w:color="auto" w:fill="FFFFFF"/>
        </w:rPr>
        <w:t>accused has been convicted of murder with constructive intent.  The facts surrounding the commission of the offence have been exhausted in the main judgment. The accused strangled the deceased</w:t>
      </w:r>
      <w:r w:rsidR="00FB155B">
        <w:rPr>
          <w:rFonts w:ascii="new roman" w:hAnsi="new roman" w:cs="Segoe UI"/>
          <w:color w:val="212529"/>
          <w:sz w:val="24"/>
          <w:szCs w:val="24"/>
          <w:shd w:val="clear" w:color="auto" w:fill="FFFFFF"/>
        </w:rPr>
        <w:t xml:space="preserve"> who was seven months pregnant. They were in a long term relationship marred with episodes of domestic violence. At the time of the commission of the offence they had been estranged, living separately.</w:t>
      </w:r>
    </w:p>
    <w:p w14:paraId="06BFBC75" w14:textId="0541A6A3" w:rsidR="00FB155B" w:rsidRDefault="00FB155B" w:rsidP="008A253E">
      <w:pPr>
        <w:tabs>
          <w:tab w:val="left" w:pos="2512"/>
        </w:tabs>
        <w:spacing w:line="360" w:lineRule="auto"/>
        <w:jc w:val="both"/>
        <w:rPr>
          <w:rFonts w:ascii="new roman" w:hAnsi="new roman" w:cs="Segoe UI"/>
          <w:color w:val="212529"/>
          <w:sz w:val="24"/>
          <w:szCs w:val="24"/>
          <w:shd w:val="clear" w:color="auto" w:fill="FFFFFF"/>
        </w:rPr>
      </w:pPr>
      <w:r>
        <w:rPr>
          <w:rFonts w:ascii="new roman" w:hAnsi="new roman" w:cs="Segoe UI"/>
          <w:color w:val="212529"/>
          <w:sz w:val="24"/>
          <w:szCs w:val="24"/>
          <w:shd w:val="clear" w:color="auto" w:fill="FFFFFF"/>
        </w:rPr>
        <w:t xml:space="preserve">Weighing the mitigatory and aggravatory factors against the victim impact statement and the sentencing report the court is of the view that a sentence of 15 years </w:t>
      </w:r>
      <w:r w:rsidR="000F1BD3">
        <w:rPr>
          <w:rFonts w:ascii="new roman" w:hAnsi="new roman" w:cs="Segoe UI"/>
          <w:color w:val="212529"/>
          <w:sz w:val="24"/>
          <w:szCs w:val="24"/>
          <w:shd w:val="clear" w:color="auto" w:fill="FFFFFF"/>
        </w:rPr>
        <w:t>meets</w:t>
      </w:r>
      <w:r>
        <w:rPr>
          <w:rFonts w:ascii="new roman" w:hAnsi="new roman" w:cs="Segoe UI"/>
          <w:color w:val="212529"/>
          <w:sz w:val="24"/>
          <w:szCs w:val="24"/>
          <w:shd w:val="clear" w:color="auto" w:fill="FFFFFF"/>
        </w:rPr>
        <w:t xml:space="preserve"> the justice of this case. Cognisance has been taken of the fact that accused is an elderly person aged 54 years. He has a formal wife and several children. They paid two beasts towards lobola rites that had not been paid to the family of the deceased. </w:t>
      </w:r>
      <w:r w:rsidR="00415D91">
        <w:rPr>
          <w:rFonts w:ascii="new roman" w:hAnsi="new roman" w:cs="Segoe UI"/>
          <w:color w:val="212529"/>
          <w:sz w:val="24"/>
          <w:szCs w:val="24"/>
          <w:shd w:val="clear" w:color="auto" w:fill="FFFFFF"/>
        </w:rPr>
        <w:t>V</w:t>
      </w:r>
      <w:r>
        <w:rPr>
          <w:rFonts w:ascii="new roman" w:hAnsi="new roman" w:cs="Segoe UI"/>
          <w:color w:val="212529"/>
          <w:sz w:val="24"/>
          <w:szCs w:val="24"/>
          <w:shd w:val="clear" w:color="auto" w:fill="FFFFFF"/>
        </w:rPr>
        <w:t xml:space="preserve">ery little contribution was paid </w:t>
      </w:r>
      <w:r w:rsidR="000F1BD3">
        <w:rPr>
          <w:rFonts w:ascii="new roman" w:hAnsi="new roman" w:cs="Segoe UI"/>
          <w:color w:val="212529"/>
          <w:sz w:val="24"/>
          <w:szCs w:val="24"/>
          <w:shd w:val="clear" w:color="auto" w:fill="FFFFFF"/>
        </w:rPr>
        <w:t>towards</w:t>
      </w:r>
      <w:r>
        <w:rPr>
          <w:rFonts w:ascii="new roman" w:hAnsi="new roman" w:cs="Segoe UI"/>
          <w:color w:val="212529"/>
          <w:sz w:val="24"/>
          <w:szCs w:val="24"/>
          <w:shd w:val="clear" w:color="auto" w:fill="FFFFFF"/>
        </w:rPr>
        <w:t xml:space="preserve"> the funeral expenses.</w:t>
      </w:r>
    </w:p>
    <w:p w14:paraId="04AD952C" w14:textId="5F4CA2F5" w:rsidR="00FB155B" w:rsidRDefault="00FB155B" w:rsidP="008A253E">
      <w:pPr>
        <w:tabs>
          <w:tab w:val="left" w:pos="2512"/>
        </w:tabs>
        <w:spacing w:line="360" w:lineRule="auto"/>
        <w:jc w:val="both"/>
        <w:rPr>
          <w:rFonts w:ascii="new roman" w:hAnsi="new roman" w:cs="Segoe UI"/>
          <w:color w:val="212529"/>
          <w:sz w:val="24"/>
          <w:szCs w:val="24"/>
          <w:shd w:val="clear" w:color="auto" w:fill="FFFFFF"/>
        </w:rPr>
      </w:pPr>
      <w:r>
        <w:rPr>
          <w:rFonts w:ascii="new roman" w:hAnsi="new roman" w:cs="Segoe UI"/>
          <w:color w:val="212529"/>
          <w:sz w:val="24"/>
          <w:szCs w:val="24"/>
          <w:shd w:val="clear" w:color="auto" w:fill="FFFFFF"/>
        </w:rPr>
        <w:lastRenderedPageBreak/>
        <w:t>However, the age discrepancy</w:t>
      </w:r>
      <w:r w:rsidR="008B3EF3">
        <w:rPr>
          <w:rFonts w:ascii="new roman" w:hAnsi="new roman" w:cs="Segoe UI"/>
          <w:color w:val="212529"/>
          <w:sz w:val="24"/>
          <w:szCs w:val="24"/>
          <w:shd w:val="clear" w:color="auto" w:fill="FFFFFF"/>
        </w:rPr>
        <w:t xml:space="preserve"> between the victim and the accused is great. The deceased was half the accused’s age. He ought to have behave</w:t>
      </w:r>
      <w:r w:rsidR="00415D91">
        <w:rPr>
          <w:rFonts w:ascii="new roman" w:hAnsi="new roman" w:cs="Segoe UI"/>
          <w:color w:val="212529"/>
          <w:sz w:val="24"/>
          <w:szCs w:val="24"/>
          <w:shd w:val="clear" w:color="auto" w:fill="FFFFFF"/>
        </w:rPr>
        <w:t>d</w:t>
      </w:r>
      <w:r w:rsidR="008B3EF3">
        <w:rPr>
          <w:rFonts w:ascii="new roman" w:hAnsi="new roman" w:cs="Segoe UI"/>
          <w:color w:val="212529"/>
          <w:sz w:val="24"/>
          <w:szCs w:val="24"/>
          <w:shd w:val="clear" w:color="auto" w:fill="FFFFFF"/>
        </w:rPr>
        <w:t xml:space="preserve"> like the more mature adult he is.  He lied to the court that he was not aware that the deceased was pregnant with his child. The mother of the deceased</w:t>
      </w:r>
      <w:r w:rsidR="00415D91">
        <w:rPr>
          <w:rFonts w:ascii="new roman" w:hAnsi="new roman" w:cs="Segoe UI"/>
          <w:color w:val="212529"/>
          <w:sz w:val="24"/>
          <w:szCs w:val="24"/>
          <w:shd w:val="clear" w:color="auto" w:fill="FFFFFF"/>
        </w:rPr>
        <w:t>.</w:t>
      </w:r>
      <w:r w:rsidR="008B3EF3">
        <w:rPr>
          <w:rFonts w:ascii="new roman" w:hAnsi="new roman" w:cs="Segoe UI"/>
          <w:color w:val="212529"/>
          <w:sz w:val="24"/>
          <w:szCs w:val="24"/>
          <w:shd w:val="clear" w:color="auto" w:fill="FFFFFF"/>
        </w:rPr>
        <w:t xml:space="preserve"> </w:t>
      </w:r>
      <w:r w:rsidR="00415D91">
        <w:rPr>
          <w:rFonts w:ascii="new roman" w:hAnsi="new roman" w:cs="Segoe UI"/>
          <w:color w:val="212529"/>
          <w:sz w:val="24"/>
          <w:szCs w:val="24"/>
          <w:shd w:val="clear" w:color="auto" w:fill="FFFFFF"/>
        </w:rPr>
        <w:t>I</w:t>
      </w:r>
      <w:r w:rsidR="008B3EF3">
        <w:rPr>
          <w:rFonts w:ascii="new roman" w:hAnsi="new roman" w:cs="Segoe UI"/>
          <w:color w:val="212529"/>
          <w:sz w:val="24"/>
          <w:szCs w:val="24"/>
          <w:shd w:val="clear" w:color="auto" w:fill="FFFFFF"/>
        </w:rPr>
        <w:t xml:space="preserve">n the victim impact </w:t>
      </w:r>
      <w:r w:rsidR="007D1E9A">
        <w:rPr>
          <w:rFonts w:ascii="new roman" w:hAnsi="new roman" w:cs="Segoe UI"/>
          <w:color w:val="212529"/>
          <w:sz w:val="24"/>
          <w:szCs w:val="24"/>
          <w:shd w:val="clear" w:color="auto" w:fill="FFFFFF"/>
        </w:rPr>
        <w:t>statement,</w:t>
      </w:r>
      <w:r w:rsidR="008B3EF3">
        <w:rPr>
          <w:rFonts w:ascii="new roman" w:hAnsi="new roman" w:cs="Segoe UI"/>
          <w:color w:val="212529"/>
          <w:sz w:val="24"/>
          <w:szCs w:val="24"/>
          <w:shd w:val="clear" w:color="auto" w:fill="FFFFFF"/>
        </w:rPr>
        <w:t xml:space="preserve"> </w:t>
      </w:r>
      <w:r w:rsidR="00415D91">
        <w:rPr>
          <w:rFonts w:ascii="new roman" w:hAnsi="new roman" w:cs="Segoe UI"/>
          <w:color w:val="212529"/>
          <w:sz w:val="24"/>
          <w:szCs w:val="24"/>
          <w:shd w:val="clear" w:color="auto" w:fill="FFFFFF"/>
        </w:rPr>
        <w:t xml:space="preserve">the mother of the victim </w:t>
      </w:r>
      <w:r w:rsidR="008B3EF3">
        <w:rPr>
          <w:rFonts w:ascii="new roman" w:hAnsi="new roman" w:cs="Segoe UI"/>
          <w:color w:val="212529"/>
          <w:sz w:val="24"/>
          <w:szCs w:val="24"/>
          <w:shd w:val="clear" w:color="auto" w:fill="FFFFFF"/>
        </w:rPr>
        <w:t>stated that the deceased was seven months pregnant. The second witness said that the deceased was visibly pregnant, so does the post mortem report. Two lives were terminated at the hands of the deceased.</w:t>
      </w:r>
    </w:p>
    <w:p w14:paraId="12406319" w14:textId="77777777" w:rsidR="008B3EF3" w:rsidRDefault="008B3EF3" w:rsidP="008A253E">
      <w:pPr>
        <w:tabs>
          <w:tab w:val="left" w:pos="2512"/>
        </w:tabs>
        <w:spacing w:line="360" w:lineRule="auto"/>
        <w:jc w:val="both"/>
        <w:rPr>
          <w:rFonts w:ascii="new roman" w:hAnsi="new roman" w:cs="Segoe UI"/>
          <w:color w:val="212529"/>
          <w:sz w:val="24"/>
          <w:szCs w:val="24"/>
          <w:shd w:val="clear" w:color="auto" w:fill="FFFFFF"/>
        </w:rPr>
      </w:pPr>
      <w:r>
        <w:rPr>
          <w:rFonts w:ascii="new roman" w:hAnsi="new roman" w:cs="Segoe UI"/>
          <w:color w:val="212529"/>
          <w:sz w:val="24"/>
          <w:szCs w:val="24"/>
          <w:shd w:val="clear" w:color="auto" w:fill="FFFFFF"/>
        </w:rPr>
        <w:t>Gender based violence is ever increasing at an even more alarming rate. Society is failing to take heed of traditional dispute resolution mechanisms. “Vatete vachabvepi” a vernacular colloquial adage spelling the need of involving other social strata institutions, family elders, the church amongst other counselling groups to assist in dispute settlements.</w:t>
      </w:r>
    </w:p>
    <w:p w14:paraId="4B266CB4" w14:textId="77777777" w:rsidR="005726E3" w:rsidRDefault="005726E3" w:rsidP="008A253E">
      <w:pPr>
        <w:tabs>
          <w:tab w:val="left" w:pos="2512"/>
        </w:tabs>
        <w:spacing w:line="360" w:lineRule="auto"/>
        <w:jc w:val="both"/>
        <w:rPr>
          <w:rFonts w:ascii="new roman" w:hAnsi="new roman" w:cs="Segoe UI"/>
          <w:color w:val="212529"/>
          <w:sz w:val="24"/>
          <w:szCs w:val="24"/>
          <w:shd w:val="clear" w:color="auto" w:fill="FFFFFF"/>
        </w:rPr>
      </w:pPr>
      <w:r>
        <w:rPr>
          <w:rFonts w:ascii="new roman" w:hAnsi="new roman" w:cs="Segoe UI"/>
          <w:color w:val="212529"/>
          <w:sz w:val="24"/>
          <w:szCs w:val="24"/>
          <w:shd w:val="clear" w:color="auto" w:fill="FFFFFF"/>
        </w:rPr>
        <w:t>The young boy has also been an indirect victim of the domestic violence. Having to witness such a tragic event and the subsequent loss of the natural camouflage of his nucleus family, the child will be forever, scarred and traumatised.</w:t>
      </w:r>
    </w:p>
    <w:p w14:paraId="1C251F31" w14:textId="50EC7F3F" w:rsidR="008B3EF3" w:rsidRDefault="008B3EF3" w:rsidP="008A253E">
      <w:pPr>
        <w:tabs>
          <w:tab w:val="left" w:pos="2512"/>
        </w:tabs>
        <w:spacing w:line="360" w:lineRule="auto"/>
        <w:jc w:val="both"/>
        <w:rPr>
          <w:rFonts w:ascii="new roman" w:hAnsi="new roman" w:cs="Segoe UI"/>
          <w:color w:val="212529"/>
          <w:sz w:val="24"/>
          <w:szCs w:val="24"/>
          <w:shd w:val="clear" w:color="auto" w:fill="FFFFFF"/>
        </w:rPr>
      </w:pPr>
      <w:r>
        <w:rPr>
          <w:rFonts w:ascii="new roman" w:hAnsi="new roman" w:cs="Segoe UI"/>
          <w:color w:val="212529"/>
          <w:sz w:val="24"/>
          <w:szCs w:val="24"/>
          <w:shd w:val="clear" w:color="auto" w:fill="FFFFFF"/>
        </w:rPr>
        <w:t xml:space="preserve">Though no amount of punishment compensates the </w:t>
      </w:r>
      <w:r w:rsidR="000F1BD3">
        <w:rPr>
          <w:rFonts w:ascii="new roman" w:hAnsi="new roman" w:cs="Segoe UI"/>
          <w:color w:val="212529"/>
          <w:sz w:val="24"/>
          <w:szCs w:val="24"/>
          <w:shd w:val="clear" w:color="auto" w:fill="FFFFFF"/>
        </w:rPr>
        <w:t>loss</w:t>
      </w:r>
      <w:r>
        <w:rPr>
          <w:rFonts w:ascii="new roman" w:hAnsi="new roman" w:cs="Segoe UI"/>
          <w:color w:val="212529"/>
          <w:sz w:val="24"/>
          <w:szCs w:val="24"/>
          <w:shd w:val="clear" w:color="auto" w:fill="FFFFFF"/>
        </w:rPr>
        <w:t xml:space="preserve"> of human life the circumstances of this case and the degree of blameworthiness coupled with the many aggravatory factors stated above calls for a deterrent penalt</w:t>
      </w:r>
      <w:r w:rsidR="002D1D1F">
        <w:rPr>
          <w:rFonts w:ascii="new roman" w:hAnsi="new roman" w:cs="Segoe UI"/>
          <w:color w:val="212529"/>
          <w:sz w:val="24"/>
          <w:szCs w:val="24"/>
          <w:shd w:val="clear" w:color="auto" w:fill="FFFFFF"/>
        </w:rPr>
        <w:t xml:space="preserve">y. The cases </w:t>
      </w:r>
      <w:r w:rsidR="00460A46">
        <w:rPr>
          <w:rFonts w:ascii="new roman" w:hAnsi="new roman" w:cs="Segoe UI"/>
          <w:color w:val="212529"/>
          <w:sz w:val="24"/>
          <w:szCs w:val="24"/>
          <w:shd w:val="clear" w:color="auto" w:fill="FFFFFF"/>
        </w:rPr>
        <w:t>of S</w:t>
      </w:r>
      <w:r w:rsidR="002D1D1F" w:rsidRPr="002D1D1F">
        <w:rPr>
          <w:rFonts w:ascii="new roman" w:hAnsi="new roman" w:cs="Segoe UI"/>
          <w:i/>
          <w:color w:val="212529"/>
          <w:sz w:val="24"/>
          <w:szCs w:val="24"/>
          <w:shd w:val="clear" w:color="auto" w:fill="FFFFFF"/>
        </w:rPr>
        <w:t xml:space="preserve"> v Moyo</w:t>
      </w:r>
      <w:r w:rsidR="002D1D1F">
        <w:rPr>
          <w:rFonts w:ascii="new roman" w:hAnsi="new roman" w:cs="Segoe UI"/>
          <w:color w:val="212529"/>
          <w:sz w:val="24"/>
          <w:szCs w:val="24"/>
          <w:shd w:val="clear" w:color="auto" w:fill="FFFFFF"/>
        </w:rPr>
        <w:t xml:space="preserve"> H</w:t>
      </w:r>
      <w:r w:rsidR="00415D91">
        <w:rPr>
          <w:rFonts w:ascii="new roman" w:hAnsi="new roman" w:cs="Segoe UI"/>
          <w:color w:val="212529"/>
          <w:sz w:val="24"/>
          <w:szCs w:val="24"/>
          <w:shd w:val="clear" w:color="auto" w:fill="FFFFFF"/>
        </w:rPr>
        <w:t>B</w:t>
      </w:r>
      <w:r w:rsidR="002D1D1F">
        <w:rPr>
          <w:rFonts w:ascii="new roman" w:hAnsi="new roman" w:cs="Segoe UI"/>
          <w:color w:val="212529"/>
          <w:sz w:val="24"/>
          <w:szCs w:val="24"/>
          <w:shd w:val="clear" w:color="auto" w:fill="FFFFFF"/>
        </w:rPr>
        <w:t xml:space="preserve">240/2020, </w:t>
      </w:r>
      <w:r w:rsidR="002D1D1F" w:rsidRPr="002D1D1F">
        <w:rPr>
          <w:rFonts w:ascii="new roman" w:hAnsi="new roman" w:cs="Segoe UI"/>
          <w:i/>
          <w:color w:val="212529"/>
          <w:sz w:val="24"/>
          <w:szCs w:val="24"/>
          <w:shd w:val="clear" w:color="auto" w:fill="FFFFFF"/>
        </w:rPr>
        <w:t>S</w:t>
      </w:r>
      <w:r w:rsidR="003349E5">
        <w:rPr>
          <w:rFonts w:ascii="new roman" w:hAnsi="new roman" w:cs="Segoe UI"/>
          <w:i/>
          <w:color w:val="212529"/>
          <w:sz w:val="24"/>
          <w:szCs w:val="24"/>
          <w:shd w:val="clear" w:color="auto" w:fill="FFFFFF"/>
        </w:rPr>
        <w:t xml:space="preserve"> </w:t>
      </w:r>
      <w:r w:rsidR="002D1D1F" w:rsidRPr="002D1D1F">
        <w:rPr>
          <w:rFonts w:ascii="new roman" w:hAnsi="new roman" w:cs="Segoe UI"/>
          <w:i/>
          <w:color w:val="212529"/>
          <w:sz w:val="24"/>
          <w:szCs w:val="24"/>
          <w:shd w:val="clear" w:color="auto" w:fill="FFFFFF"/>
        </w:rPr>
        <w:t>v Bambanani</w:t>
      </w:r>
      <w:r w:rsidR="002D1D1F">
        <w:rPr>
          <w:rFonts w:ascii="new roman" w:hAnsi="new roman" w:cs="Segoe UI"/>
          <w:i/>
          <w:color w:val="212529"/>
          <w:sz w:val="24"/>
          <w:szCs w:val="24"/>
          <w:shd w:val="clear" w:color="auto" w:fill="FFFFFF"/>
        </w:rPr>
        <w:t xml:space="preserve"> </w:t>
      </w:r>
      <w:r w:rsidR="00460A46">
        <w:rPr>
          <w:rFonts w:ascii="new roman" w:hAnsi="new roman" w:cs="Segoe UI"/>
          <w:i/>
          <w:color w:val="212529"/>
          <w:sz w:val="24"/>
          <w:szCs w:val="24"/>
          <w:shd w:val="clear" w:color="auto" w:fill="FFFFFF"/>
        </w:rPr>
        <w:t xml:space="preserve">Ndlovu </w:t>
      </w:r>
      <w:r w:rsidR="00460A46">
        <w:rPr>
          <w:rFonts w:ascii="new roman" w:hAnsi="new roman" w:cs="Segoe UI"/>
          <w:color w:val="212529"/>
          <w:sz w:val="24"/>
          <w:szCs w:val="24"/>
          <w:shd w:val="clear" w:color="auto" w:fill="FFFFFF"/>
        </w:rPr>
        <w:t>HB</w:t>
      </w:r>
      <w:r w:rsidR="002D1D1F">
        <w:rPr>
          <w:rFonts w:ascii="new roman" w:hAnsi="new roman" w:cs="Segoe UI"/>
          <w:color w:val="212529"/>
          <w:sz w:val="24"/>
          <w:szCs w:val="24"/>
          <w:shd w:val="clear" w:color="auto" w:fill="FFFFFF"/>
        </w:rPr>
        <w:t xml:space="preserve">83/24 and </w:t>
      </w:r>
      <w:r w:rsidR="005726E3" w:rsidRPr="002D1D1F">
        <w:rPr>
          <w:rFonts w:ascii="new roman" w:hAnsi="new roman" w:cs="Segoe UI"/>
          <w:i/>
          <w:color w:val="212529"/>
          <w:sz w:val="24"/>
          <w:szCs w:val="24"/>
          <w:shd w:val="clear" w:color="auto" w:fill="FFFFFF"/>
        </w:rPr>
        <w:t>S v Chitsa</w:t>
      </w:r>
      <w:r w:rsidR="002D1D1F">
        <w:rPr>
          <w:rFonts w:ascii="new roman" w:hAnsi="new roman" w:cs="Segoe UI"/>
          <w:color w:val="212529"/>
          <w:sz w:val="24"/>
          <w:szCs w:val="24"/>
          <w:shd w:val="clear" w:color="auto" w:fill="FFFFFF"/>
        </w:rPr>
        <w:t xml:space="preserve"> HHC33/24</w:t>
      </w:r>
      <w:r w:rsidR="005726E3">
        <w:rPr>
          <w:rFonts w:ascii="new roman" w:hAnsi="new roman" w:cs="Segoe UI"/>
          <w:color w:val="212529"/>
          <w:sz w:val="24"/>
          <w:szCs w:val="24"/>
          <w:shd w:val="clear" w:color="auto" w:fill="FFFFFF"/>
        </w:rPr>
        <w:t xml:space="preserve"> all involving strangulation of vulnerable persons have been of assistance in arriving at the custodial sentence of 15 years.</w:t>
      </w:r>
    </w:p>
    <w:p w14:paraId="5050413A" w14:textId="373E786B" w:rsidR="000F1BD3" w:rsidRDefault="000F1BD3" w:rsidP="008A253E">
      <w:pPr>
        <w:tabs>
          <w:tab w:val="left" w:pos="2512"/>
        </w:tabs>
        <w:spacing w:line="360" w:lineRule="auto"/>
        <w:jc w:val="both"/>
        <w:rPr>
          <w:rFonts w:ascii="new roman" w:hAnsi="new roman" w:cs="Segoe UI"/>
          <w:i/>
          <w:color w:val="212529"/>
          <w:sz w:val="24"/>
          <w:szCs w:val="24"/>
          <w:shd w:val="clear" w:color="auto" w:fill="FFFFFF"/>
        </w:rPr>
      </w:pPr>
    </w:p>
    <w:p w14:paraId="729E6D38" w14:textId="77777777" w:rsidR="000F1BD3" w:rsidRDefault="000F1BD3" w:rsidP="008A253E">
      <w:pPr>
        <w:tabs>
          <w:tab w:val="left" w:pos="2512"/>
        </w:tabs>
        <w:spacing w:line="360" w:lineRule="auto"/>
        <w:jc w:val="both"/>
        <w:rPr>
          <w:rFonts w:ascii="new roman" w:hAnsi="new roman" w:cs="Segoe UI"/>
          <w:i/>
          <w:color w:val="212529"/>
          <w:sz w:val="24"/>
          <w:szCs w:val="24"/>
          <w:shd w:val="clear" w:color="auto" w:fill="FFFFFF"/>
        </w:rPr>
      </w:pPr>
    </w:p>
    <w:p w14:paraId="572A608F" w14:textId="052F5549" w:rsidR="005726E3" w:rsidRPr="005726E3" w:rsidRDefault="002D1D1F" w:rsidP="000F1BD3">
      <w:pPr>
        <w:tabs>
          <w:tab w:val="left" w:pos="2512"/>
        </w:tabs>
        <w:spacing w:line="480" w:lineRule="auto"/>
        <w:jc w:val="both"/>
        <w:rPr>
          <w:rFonts w:ascii="new roman" w:hAnsi="new roman" w:cs="Segoe UI"/>
          <w:i/>
          <w:color w:val="212529"/>
          <w:sz w:val="24"/>
          <w:szCs w:val="24"/>
          <w:shd w:val="clear" w:color="auto" w:fill="FFFFFF"/>
        </w:rPr>
      </w:pPr>
      <w:r>
        <w:rPr>
          <w:rFonts w:ascii="new roman" w:hAnsi="new roman" w:cs="Segoe UI"/>
          <w:i/>
          <w:color w:val="212529"/>
          <w:sz w:val="24"/>
          <w:szCs w:val="24"/>
          <w:shd w:val="clear" w:color="auto" w:fill="FFFFFF"/>
        </w:rPr>
        <w:t xml:space="preserve">Murisi </w:t>
      </w:r>
      <w:r w:rsidR="0048017A">
        <w:rPr>
          <w:rFonts w:ascii="new roman" w:hAnsi="new roman" w:cs="Segoe UI"/>
          <w:i/>
          <w:color w:val="212529"/>
          <w:sz w:val="24"/>
          <w:szCs w:val="24"/>
          <w:shd w:val="clear" w:color="auto" w:fill="FFFFFF"/>
        </w:rPr>
        <w:t>&amp;</w:t>
      </w:r>
      <w:r>
        <w:rPr>
          <w:rFonts w:ascii="new roman" w:hAnsi="new roman" w:cs="Segoe UI"/>
          <w:i/>
          <w:color w:val="212529"/>
          <w:sz w:val="24"/>
          <w:szCs w:val="24"/>
          <w:shd w:val="clear" w:color="auto" w:fill="FFFFFF"/>
        </w:rPr>
        <w:t xml:space="preserve"> Associates</w:t>
      </w:r>
      <w:r w:rsidR="00137497">
        <w:rPr>
          <w:rFonts w:ascii="new roman" w:hAnsi="new roman" w:cs="Segoe UI"/>
          <w:i/>
          <w:color w:val="212529"/>
          <w:sz w:val="24"/>
          <w:szCs w:val="24"/>
          <w:shd w:val="clear" w:color="auto" w:fill="FFFFFF"/>
        </w:rPr>
        <w:t>, the a</w:t>
      </w:r>
      <w:r>
        <w:rPr>
          <w:rFonts w:ascii="new roman" w:hAnsi="new roman" w:cs="Segoe UI"/>
          <w:i/>
          <w:color w:val="212529"/>
          <w:sz w:val="24"/>
          <w:szCs w:val="24"/>
          <w:shd w:val="clear" w:color="auto" w:fill="FFFFFF"/>
        </w:rPr>
        <w:t>ccused’s legal practitioners.</w:t>
      </w:r>
    </w:p>
    <w:p w14:paraId="0FC72BEA" w14:textId="42F22D62" w:rsidR="005726E3" w:rsidRPr="005726E3" w:rsidRDefault="002D1D1F" w:rsidP="000F1BD3">
      <w:pPr>
        <w:tabs>
          <w:tab w:val="left" w:pos="2512"/>
        </w:tabs>
        <w:spacing w:line="480" w:lineRule="auto"/>
        <w:jc w:val="both"/>
        <w:rPr>
          <w:rFonts w:ascii="new roman" w:hAnsi="new roman" w:cs="Segoe UI"/>
          <w:i/>
          <w:color w:val="212529"/>
          <w:sz w:val="24"/>
          <w:szCs w:val="24"/>
          <w:shd w:val="clear" w:color="auto" w:fill="FFFFFF"/>
        </w:rPr>
      </w:pPr>
      <w:r>
        <w:rPr>
          <w:rFonts w:ascii="new roman" w:hAnsi="new roman" w:cs="Segoe UI"/>
          <w:i/>
          <w:color w:val="212529"/>
          <w:sz w:val="24"/>
          <w:szCs w:val="24"/>
          <w:shd w:val="clear" w:color="auto" w:fill="FFFFFF"/>
        </w:rPr>
        <w:t>National P</w:t>
      </w:r>
      <w:r w:rsidR="005726E3" w:rsidRPr="005726E3">
        <w:rPr>
          <w:rFonts w:ascii="new roman" w:hAnsi="new roman" w:cs="Segoe UI"/>
          <w:i/>
          <w:color w:val="212529"/>
          <w:sz w:val="24"/>
          <w:szCs w:val="24"/>
          <w:shd w:val="clear" w:color="auto" w:fill="FFFFFF"/>
        </w:rPr>
        <w:t>rosecuting Authority</w:t>
      </w:r>
      <w:r w:rsidR="00137497">
        <w:rPr>
          <w:rFonts w:ascii="new roman" w:hAnsi="new roman" w:cs="Segoe UI"/>
          <w:i/>
          <w:color w:val="212529"/>
          <w:sz w:val="24"/>
          <w:szCs w:val="24"/>
          <w:shd w:val="clear" w:color="auto" w:fill="FFFFFF"/>
        </w:rPr>
        <w:t>, the</w:t>
      </w:r>
      <w:r>
        <w:rPr>
          <w:rFonts w:ascii="new roman" w:hAnsi="new roman" w:cs="Segoe UI"/>
          <w:i/>
          <w:color w:val="212529"/>
          <w:sz w:val="24"/>
          <w:szCs w:val="24"/>
          <w:shd w:val="clear" w:color="auto" w:fill="FFFFFF"/>
        </w:rPr>
        <w:t xml:space="preserve"> State</w:t>
      </w:r>
      <w:r w:rsidR="00137497">
        <w:rPr>
          <w:rFonts w:ascii="new roman" w:hAnsi="new roman" w:cs="Segoe UI"/>
          <w:i/>
          <w:color w:val="212529"/>
          <w:sz w:val="24"/>
          <w:szCs w:val="24"/>
          <w:shd w:val="clear" w:color="auto" w:fill="FFFFFF"/>
        </w:rPr>
        <w:t>’s legal practitioners.</w:t>
      </w:r>
    </w:p>
    <w:p w14:paraId="66EC5AF1" w14:textId="77777777" w:rsidR="008B3EF3" w:rsidRPr="00464A28" w:rsidRDefault="008B3EF3" w:rsidP="008A253E">
      <w:pPr>
        <w:tabs>
          <w:tab w:val="left" w:pos="2512"/>
        </w:tabs>
        <w:spacing w:line="360" w:lineRule="auto"/>
        <w:jc w:val="both"/>
        <w:rPr>
          <w:rFonts w:ascii="new roman" w:hAnsi="new roman" w:cs="Segoe UI"/>
          <w:color w:val="212529"/>
          <w:sz w:val="24"/>
          <w:szCs w:val="24"/>
          <w:shd w:val="clear" w:color="auto" w:fill="FFFFFF"/>
        </w:rPr>
      </w:pPr>
    </w:p>
    <w:p w14:paraId="1469AC77" w14:textId="77777777" w:rsidR="00820E7D" w:rsidRDefault="00464A28" w:rsidP="00820E7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p>
    <w:p w14:paraId="350A0DB3" w14:textId="77777777" w:rsidR="00820E7D" w:rsidRDefault="00820E7D" w:rsidP="00820E7D">
      <w:pPr>
        <w:spacing w:line="360" w:lineRule="auto"/>
        <w:rPr>
          <w:rFonts w:ascii="new roman" w:hAnsi="new roman"/>
          <w:b/>
          <w:sz w:val="24"/>
          <w:szCs w:val="24"/>
        </w:rPr>
      </w:pPr>
    </w:p>
    <w:p w14:paraId="4ED20F5C" w14:textId="5CAF921C" w:rsidR="007F1297" w:rsidRPr="003349E5" w:rsidRDefault="00464A28" w:rsidP="003349E5">
      <w:pPr>
        <w:spacing w:line="360" w:lineRule="auto"/>
        <w:rPr>
          <w:rFonts w:ascii="new roman" w:hAnsi="new roman" w:cs="Segoe UI"/>
          <w:color w:val="212529"/>
          <w:sz w:val="24"/>
          <w:szCs w:val="24"/>
          <w:shd w:val="clear" w:color="auto" w:fill="FFFFFF"/>
        </w:rPr>
      </w:pPr>
      <w:r>
        <w:rPr>
          <w:color w:val="767575"/>
          <w:shd w:val="clear" w:color="auto" w:fill="FFFFFF"/>
        </w:rPr>
        <w:t xml:space="preserve"> </w:t>
      </w:r>
    </w:p>
    <w:sectPr w:rsidR="007F1297" w:rsidRPr="003349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53F3" w14:textId="77777777" w:rsidR="0063177B" w:rsidRDefault="0063177B" w:rsidP="00253FE9">
      <w:pPr>
        <w:spacing w:after="0" w:line="240" w:lineRule="auto"/>
      </w:pPr>
      <w:r>
        <w:separator/>
      </w:r>
    </w:p>
  </w:endnote>
  <w:endnote w:type="continuationSeparator" w:id="0">
    <w:p w14:paraId="0DD1633F" w14:textId="77777777" w:rsidR="0063177B" w:rsidRDefault="0063177B" w:rsidP="0025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42FE" w14:textId="77777777" w:rsidR="0063177B" w:rsidRDefault="0063177B" w:rsidP="00253FE9">
      <w:pPr>
        <w:spacing w:after="0" w:line="240" w:lineRule="auto"/>
      </w:pPr>
      <w:r>
        <w:separator/>
      </w:r>
    </w:p>
  </w:footnote>
  <w:footnote w:type="continuationSeparator" w:id="0">
    <w:p w14:paraId="1BEEBCBF" w14:textId="77777777" w:rsidR="0063177B" w:rsidRDefault="0063177B" w:rsidP="00253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7390"/>
      <w:docPartObj>
        <w:docPartGallery w:val="Page Numbers (Top of Page)"/>
        <w:docPartUnique/>
      </w:docPartObj>
    </w:sdtPr>
    <w:sdtEndPr>
      <w:rPr>
        <w:noProof/>
      </w:rPr>
    </w:sdtEndPr>
    <w:sdtContent>
      <w:p w14:paraId="04769D67" w14:textId="77777777" w:rsidR="00226B90" w:rsidRDefault="00226B90">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061BD49" w14:textId="0DAD3DAE" w:rsidR="00226B90" w:rsidRDefault="00226B90">
        <w:pPr>
          <w:pStyle w:val="Header"/>
          <w:jc w:val="right"/>
          <w:rPr>
            <w:noProof/>
          </w:rPr>
        </w:pPr>
        <w:r>
          <w:rPr>
            <w:noProof/>
          </w:rPr>
          <w:t>HCC</w:t>
        </w:r>
        <w:r w:rsidR="00833FE0">
          <w:rPr>
            <w:noProof/>
          </w:rPr>
          <w:t xml:space="preserve"> 09/25</w:t>
        </w:r>
      </w:p>
      <w:p w14:paraId="3E3702E1" w14:textId="1556CA58" w:rsidR="00226B90" w:rsidRDefault="00226B90">
        <w:pPr>
          <w:pStyle w:val="Header"/>
          <w:jc w:val="right"/>
        </w:pPr>
        <w:r>
          <w:rPr>
            <w:noProof/>
          </w:rPr>
          <w:t>HCCR</w:t>
        </w:r>
        <w:r w:rsidR="00052CB0">
          <w:rPr>
            <w:noProof/>
          </w:rPr>
          <w:t xml:space="preserve"> 94/25</w:t>
        </w:r>
      </w:p>
    </w:sdtContent>
  </w:sdt>
  <w:p w14:paraId="7F04AAC5" w14:textId="77777777" w:rsidR="00226B90" w:rsidRDefault="00226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97"/>
    <w:rsid w:val="0002528A"/>
    <w:rsid w:val="00052CB0"/>
    <w:rsid w:val="00055FC8"/>
    <w:rsid w:val="000C7597"/>
    <w:rsid w:val="000F1BD3"/>
    <w:rsid w:val="00110E1D"/>
    <w:rsid w:val="00116EF6"/>
    <w:rsid w:val="00137497"/>
    <w:rsid w:val="00196262"/>
    <w:rsid w:val="001E7485"/>
    <w:rsid w:val="00226B90"/>
    <w:rsid w:val="00253FE9"/>
    <w:rsid w:val="002830EF"/>
    <w:rsid w:val="002A2C48"/>
    <w:rsid w:val="002A3ED9"/>
    <w:rsid w:val="002D1D1F"/>
    <w:rsid w:val="00306C46"/>
    <w:rsid w:val="0032202C"/>
    <w:rsid w:val="00326203"/>
    <w:rsid w:val="003349E5"/>
    <w:rsid w:val="00367490"/>
    <w:rsid w:val="00395226"/>
    <w:rsid w:val="00413518"/>
    <w:rsid w:val="00415D91"/>
    <w:rsid w:val="00425E27"/>
    <w:rsid w:val="004369FB"/>
    <w:rsid w:val="00441E7D"/>
    <w:rsid w:val="00460A46"/>
    <w:rsid w:val="00464A28"/>
    <w:rsid w:val="004712CB"/>
    <w:rsid w:val="00471E95"/>
    <w:rsid w:val="00473143"/>
    <w:rsid w:val="0048017A"/>
    <w:rsid w:val="004E1A92"/>
    <w:rsid w:val="00553864"/>
    <w:rsid w:val="005726E3"/>
    <w:rsid w:val="006039F8"/>
    <w:rsid w:val="0063177B"/>
    <w:rsid w:val="0063656C"/>
    <w:rsid w:val="00641664"/>
    <w:rsid w:val="00643C1C"/>
    <w:rsid w:val="006505E2"/>
    <w:rsid w:val="0065358B"/>
    <w:rsid w:val="006771E3"/>
    <w:rsid w:val="00693654"/>
    <w:rsid w:val="006B5C89"/>
    <w:rsid w:val="006F1DA2"/>
    <w:rsid w:val="007C7976"/>
    <w:rsid w:val="007D1E9A"/>
    <w:rsid w:val="007F1297"/>
    <w:rsid w:val="00801175"/>
    <w:rsid w:val="0080284A"/>
    <w:rsid w:val="00820E7D"/>
    <w:rsid w:val="00833FE0"/>
    <w:rsid w:val="00837959"/>
    <w:rsid w:val="008A16DF"/>
    <w:rsid w:val="008A253E"/>
    <w:rsid w:val="008B3EF3"/>
    <w:rsid w:val="009636DD"/>
    <w:rsid w:val="009E304A"/>
    <w:rsid w:val="00A1708F"/>
    <w:rsid w:val="00AC1421"/>
    <w:rsid w:val="00B27C77"/>
    <w:rsid w:val="00B42D79"/>
    <w:rsid w:val="00B46A47"/>
    <w:rsid w:val="00B57A5C"/>
    <w:rsid w:val="00B968DB"/>
    <w:rsid w:val="00BA37AA"/>
    <w:rsid w:val="00BC4CD8"/>
    <w:rsid w:val="00C030B6"/>
    <w:rsid w:val="00C40D8A"/>
    <w:rsid w:val="00CD6911"/>
    <w:rsid w:val="00CF75F3"/>
    <w:rsid w:val="00D24FE5"/>
    <w:rsid w:val="00D5779E"/>
    <w:rsid w:val="00D94460"/>
    <w:rsid w:val="00DD2F1B"/>
    <w:rsid w:val="00E2283F"/>
    <w:rsid w:val="00E460BA"/>
    <w:rsid w:val="00E54F75"/>
    <w:rsid w:val="00EA280F"/>
    <w:rsid w:val="00EE1B30"/>
    <w:rsid w:val="00F142CC"/>
    <w:rsid w:val="00FA3B01"/>
    <w:rsid w:val="00FB155B"/>
    <w:rsid w:val="00FC7657"/>
    <w:rsid w:val="00FD04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AF6C"/>
  <w15:docId w15:val="{A8834F69-0343-42D8-9B7C-2A79BF50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E7D"/>
  </w:style>
  <w:style w:type="paragraph" w:styleId="Heading1">
    <w:name w:val="heading 1"/>
    <w:basedOn w:val="Normal"/>
    <w:link w:val="Heading1Char"/>
    <w:uiPriority w:val="9"/>
    <w:qFormat/>
    <w:rsid w:val="006039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3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3FE9"/>
    <w:rPr>
      <w:sz w:val="20"/>
      <w:szCs w:val="20"/>
    </w:rPr>
  </w:style>
  <w:style w:type="character" w:styleId="FootnoteReference">
    <w:name w:val="footnote reference"/>
    <w:basedOn w:val="DefaultParagraphFont"/>
    <w:uiPriority w:val="99"/>
    <w:semiHidden/>
    <w:unhideWhenUsed/>
    <w:rsid w:val="00253FE9"/>
    <w:rPr>
      <w:vertAlign w:val="superscript"/>
    </w:rPr>
  </w:style>
  <w:style w:type="paragraph" w:styleId="NormalWeb">
    <w:name w:val="Normal (Web)"/>
    <w:basedOn w:val="Normal"/>
    <w:uiPriority w:val="99"/>
    <w:unhideWhenUsed/>
    <w:rsid w:val="00B968D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553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864"/>
  </w:style>
  <w:style w:type="paragraph" w:styleId="Footer">
    <w:name w:val="footer"/>
    <w:basedOn w:val="Normal"/>
    <w:link w:val="FooterChar"/>
    <w:uiPriority w:val="99"/>
    <w:unhideWhenUsed/>
    <w:rsid w:val="00553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864"/>
  </w:style>
  <w:style w:type="paragraph" w:styleId="NoSpacing">
    <w:name w:val="No Spacing"/>
    <w:uiPriority w:val="1"/>
    <w:qFormat/>
    <w:rsid w:val="00553864"/>
    <w:pPr>
      <w:spacing w:after="0" w:line="240" w:lineRule="auto"/>
    </w:pPr>
  </w:style>
  <w:style w:type="character" w:customStyle="1" w:styleId="Heading1Char">
    <w:name w:val="Heading 1 Char"/>
    <w:basedOn w:val="DefaultParagraphFont"/>
    <w:link w:val="Heading1"/>
    <w:uiPriority w:val="9"/>
    <w:rsid w:val="006039F8"/>
    <w:rPr>
      <w:rFonts w:ascii="Times New Roman" w:eastAsia="Times New Roman" w:hAnsi="Times New Roman" w:cs="Times New Roman"/>
      <w:b/>
      <w:bCs/>
      <w:kern w:val="36"/>
      <w:sz w:val="48"/>
      <w:szCs w:val="48"/>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59215">
      <w:bodyDiv w:val="1"/>
      <w:marLeft w:val="0"/>
      <w:marRight w:val="0"/>
      <w:marTop w:val="0"/>
      <w:marBottom w:val="0"/>
      <w:divBdr>
        <w:top w:val="none" w:sz="0" w:space="0" w:color="auto"/>
        <w:left w:val="none" w:sz="0" w:space="0" w:color="auto"/>
        <w:bottom w:val="none" w:sz="0" w:space="0" w:color="auto"/>
        <w:right w:val="none" w:sz="0" w:space="0" w:color="auto"/>
      </w:divBdr>
    </w:div>
    <w:div w:id="1144932562">
      <w:bodyDiv w:val="1"/>
      <w:marLeft w:val="0"/>
      <w:marRight w:val="0"/>
      <w:marTop w:val="0"/>
      <w:marBottom w:val="0"/>
      <w:divBdr>
        <w:top w:val="none" w:sz="0" w:space="0" w:color="auto"/>
        <w:left w:val="none" w:sz="0" w:space="0" w:color="auto"/>
        <w:bottom w:val="none" w:sz="0" w:space="0" w:color="auto"/>
        <w:right w:val="none" w:sz="0" w:space="0" w:color="auto"/>
      </w:divBdr>
    </w:div>
    <w:div w:id="12271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6C99A-C4AE-479F-AA13-ACDCB14B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Chinhoyi High Court</cp:lastModifiedBy>
  <cp:revision>18</cp:revision>
  <cp:lastPrinted>2025-02-17T11:42:00Z</cp:lastPrinted>
  <dcterms:created xsi:type="dcterms:W3CDTF">2025-02-17T15:09:00Z</dcterms:created>
  <dcterms:modified xsi:type="dcterms:W3CDTF">2025-02-18T09:08:00Z</dcterms:modified>
</cp:coreProperties>
</file>