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B5E" w:rsidRPr="00D10188" w:rsidRDefault="00675B5E" w:rsidP="00675B5E">
      <w:pPr>
        <w:pStyle w:val="NoSpacing"/>
        <w:jc w:val="both"/>
        <w:rPr>
          <w:b/>
          <w:szCs w:val="24"/>
        </w:rPr>
      </w:pPr>
      <w:r>
        <w:rPr>
          <w:b/>
          <w:szCs w:val="24"/>
        </w:rPr>
        <w:t xml:space="preserve">THE STATE </w:t>
      </w:r>
    </w:p>
    <w:p w:rsidR="00675B5E" w:rsidRPr="00D10188" w:rsidRDefault="00675B5E" w:rsidP="00675B5E">
      <w:pPr>
        <w:pStyle w:val="NoSpacing"/>
        <w:jc w:val="both"/>
        <w:rPr>
          <w:b/>
          <w:szCs w:val="24"/>
        </w:rPr>
      </w:pPr>
    </w:p>
    <w:p w:rsidR="00675B5E" w:rsidRPr="00D10188" w:rsidRDefault="00675B5E" w:rsidP="00675B5E">
      <w:pPr>
        <w:pStyle w:val="NoSpacing"/>
        <w:jc w:val="both"/>
        <w:rPr>
          <w:b/>
          <w:szCs w:val="24"/>
        </w:rPr>
      </w:pPr>
      <w:r w:rsidRPr="00D10188">
        <w:rPr>
          <w:b/>
          <w:szCs w:val="24"/>
        </w:rPr>
        <w:t>Versus</w:t>
      </w:r>
    </w:p>
    <w:p w:rsidR="00675B5E" w:rsidRPr="00D10188" w:rsidRDefault="00675B5E" w:rsidP="00675B5E">
      <w:pPr>
        <w:pStyle w:val="NoSpacing"/>
        <w:jc w:val="both"/>
        <w:rPr>
          <w:b/>
          <w:szCs w:val="24"/>
        </w:rPr>
      </w:pPr>
    </w:p>
    <w:p w:rsidR="00675B5E" w:rsidRPr="00D10188" w:rsidRDefault="00675B5E" w:rsidP="00675B5E">
      <w:pPr>
        <w:pStyle w:val="NoSpacing"/>
        <w:jc w:val="both"/>
        <w:rPr>
          <w:b/>
          <w:szCs w:val="24"/>
        </w:rPr>
      </w:pPr>
      <w:r>
        <w:rPr>
          <w:b/>
          <w:szCs w:val="24"/>
        </w:rPr>
        <w:t>ASHTON SVUNDU</w:t>
      </w:r>
    </w:p>
    <w:p w:rsidR="00675B5E" w:rsidRPr="00D10188" w:rsidRDefault="00675B5E" w:rsidP="00675B5E">
      <w:pPr>
        <w:pStyle w:val="NoSpacing"/>
        <w:jc w:val="both"/>
        <w:rPr>
          <w:b/>
          <w:szCs w:val="24"/>
        </w:rPr>
      </w:pPr>
    </w:p>
    <w:p w:rsidR="00675B5E" w:rsidRPr="00D10188" w:rsidRDefault="00675B5E" w:rsidP="00675B5E">
      <w:pPr>
        <w:pStyle w:val="NoSpacing"/>
        <w:jc w:val="both"/>
        <w:rPr>
          <w:szCs w:val="24"/>
        </w:rPr>
      </w:pPr>
      <w:r w:rsidRPr="00D10188">
        <w:rPr>
          <w:szCs w:val="24"/>
        </w:rPr>
        <w:t>IN THE HIGH COURT OF ZIMBABWE</w:t>
      </w:r>
    </w:p>
    <w:p w:rsidR="00675B5E" w:rsidRPr="00D10188" w:rsidRDefault="00675B5E" w:rsidP="00675B5E">
      <w:pPr>
        <w:pStyle w:val="NoSpacing"/>
        <w:jc w:val="both"/>
        <w:rPr>
          <w:szCs w:val="24"/>
        </w:rPr>
      </w:pPr>
      <w:r>
        <w:rPr>
          <w:szCs w:val="24"/>
        </w:rPr>
        <w:t xml:space="preserve">DUBE-BANDA </w:t>
      </w:r>
      <w:r w:rsidRPr="00D10188">
        <w:rPr>
          <w:szCs w:val="24"/>
        </w:rPr>
        <w:t>J</w:t>
      </w:r>
    </w:p>
    <w:p w:rsidR="00675B5E" w:rsidRPr="00D10188" w:rsidRDefault="00675B5E" w:rsidP="00675B5E">
      <w:pPr>
        <w:pStyle w:val="NoSpacing"/>
        <w:jc w:val="both"/>
        <w:rPr>
          <w:szCs w:val="24"/>
        </w:rPr>
      </w:pPr>
      <w:r>
        <w:rPr>
          <w:szCs w:val="24"/>
        </w:rPr>
        <w:t>BULAWAYO 7 JUNE 2021 &amp; 10 JUNE 2021</w:t>
      </w:r>
    </w:p>
    <w:p w:rsidR="00675B5E" w:rsidRPr="00D10188" w:rsidRDefault="00675B5E" w:rsidP="00675B5E">
      <w:pPr>
        <w:pStyle w:val="NoSpacing"/>
        <w:jc w:val="both"/>
        <w:rPr>
          <w:szCs w:val="24"/>
        </w:rPr>
      </w:pPr>
    </w:p>
    <w:p w:rsidR="00675B5E" w:rsidRPr="00D10188" w:rsidRDefault="00675B5E" w:rsidP="00675B5E">
      <w:pPr>
        <w:pStyle w:val="NoSpacing"/>
        <w:jc w:val="both"/>
        <w:rPr>
          <w:b/>
          <w:szCs w:val="24"/>
        </w:rPr>
      </w:pPr>
      <w:r>
        <w:rPr>
          <w:b/>
          <w:szCs w:val="24"/>
        </w:rPr>
        <w:t>Criminal review</w:t>
      </w:r>
    </w:p>
    <w:p w:rsidR="00675B5E" w:rsidRPr="00675B5E" w:rsidRDefault="00675B5E" w:rsidP="00675B5E">
      <w:pPr>
        <w:pStyle w:val="NoSpacing"/>
        <w:jc w:val="both"/>
        <w:rPr>
          <w:szCs w:val="24"/>
        </w:rPr>
      </w:pPr>
    </w:p>
    <w:p w:rsidR="00675B5E" w:rsidRPr="00675B5E" w:rsidRDefault="00675B5E" w:rsidP="00675B5E">
      <w:pPr>
        <w:pStyle w:val="NoSpacing"/>
        <w:jc w:val="both"/>
        <w:rPr>
          <w:szCs w:val="24"/>
        </w:rPr>
      </w:pPr>
      <w:r w:rsidRPr="00675B5E">
        <w:rPr>
          <w:szCs w:val="24"/>
        </w:rPr>
        <w:t xml:space="preserve">Accused in person </w:t>
      </w:r>
    </w:p>
    <w:p w:rsidR="00A768BD" w:rsidRPr="009A463D" w:rsidRDefault="00061DE9" w:rsidP="009A463D">
      <w:pPr>
        <w:pStyle w:val="NoSpacing"/>
        <w:jc w:val="both"/>
        <w:rPr>
          <w:szCs w:val="24"/>
        </w:rPr>
      </w:pPr>
      <w:r>
        <w:rPr>
          <w:i/>
          <w:szCs w:val="24"/>
        </w:rPr>
        <w:t xml:space="preserve">K. </w:t>
      </w:r>
      <w:proofErr w:type="spellStart"/>
      <w:r w:rsidR="00675B5E">
        <w:rPr>
          <w:i/>
          <w:szCs w:val="24"/>
        </w:rPr>
        <w:t>Jaravaza</w:t>
      </w:r>
      <w:proofErr w:type="spellEnd"/>
      <w:r w:rsidR="00675B5E">
        <w:rPr>
          <w:i/>
          <w:szCs w:val="24"/>
        </w:rPr>
        <w:t xml:space="preserve">, </w:t>
      </w:r>
      <w:r w:rsidR="009A463D">
        <w:rPr>
          <w:szCs w:val="24"/>
        </w:rPr>
        <w:t>for the respondent</w:t>
      </w:r>
    </w:p>
    <w:p w:rsidR="003D45AD" w:rsidRDefault="003D45AD" w:rsidP="003D45AD">
      <w:pPr>
        <w:pStyle w:val="Default"/>
      </w:pPr>
    </w:p>
    <w:p w:rsidR="00A768BD" w:rsidRDefault="003D45AD" w:rsidP="00FC0FC1">
      <w:pPr>
        <w:autoSpaceDE w:val="0"/>
        <w:autoSpaceDN w:val="0"/>
        <w:adjustRightInd w:val="0"/>
        <w:spacing w:after="0" w:line="360" w:lineRule="auto"/>
        <w:ind w:firstLine="720"/>
        <w:jc w:val="both"/>
        <w:rPr>
          <w:rFonts w:ascii="Times New Roman" w:hAnsi="Times New Roman" w:cs="Times New Roman"/>
          <w:sz w:val="24"/>
          <w:szCs w:val="24"/>
        </w:rPr>
      </w:pPr>
      <w:r w:rsidRPr="00730FDC">
        <w:rPr>
          <w:rFonts w:ascii="Times New Roman" w:hAnsi="Times New Roman" w:cs="Times New Roman"/>
          <w:sz w:val="24"/>
          <w:szCs w:val="24"/>
        </w:rPr>
        <w:t xml:space="preserve"> </w:t>
      </w:r>
      <w:r w:rsidRPr="008A4510">
        <w:rPr>
          <w:rFonts w:ascii="Times New Roman" w:hAnsi="Times New Roman" w:cs="Times New Roman"/>
          <w:b/>
          <w:sz w:val="24"/>
          <w:szCs w:val="24"/>
        </w:rPr>
        <w:t>DUBE-BANDA J</w:t>
      </w:r>
      <w:r w:rsidRPr="00730FDC">
        <w:rPr>
          <w:rFonts w:ascii="Times New Roman" w:hAnsi="Times New Roman" w:cs="Times New Roman"/>
          <w:sz w:val="24"/>
          <w:szCs w:val="24"/>
        </w:rPr>
        <w:t xml:space="preserve">: </w:t>
      </w:r>
      <w:r w:rsidR="008A4510">
        <w:rPr>
          <w:rFonts w:ascii="Times New Roman" w:hAnsi="Times New Roman" w:cs="Times New Roman"/>
          <w:sz w:val="24"/>
          <w:szCs w:val="24"/>
        </w:rPr>
        <w:tab/>
      </w:r>
      <w:r w:rsidRPr="00730FDC">
        <w:rPr>
          <w:rFonts w:ascii="Times New Roman" w:hAnsi="Times New Roman" w:cs="Times New Roman"/>
          <w:sz w:val="24"/>
          <w:szCs w:val="24"/>
        </w:rPr>
        <w:t xml:space="preserve">The trial magistrate referred this matter to this court for sentence as she felt that she lacked jurisdiction to sentence the accused. The accused was arraigned before the Magistrate’s court sitting in </w:t>
      </w:r>
      <w:proofErr w:type="spellStart"/>
      <w:r w:rsidR="00730FDC" w:rsidRPr="00730FDC">
        <w:rPr>
          <w:rFonts w:ascii="Times New Roman" w:hAnsi="Times New Roman" w:cs="Times New Roman"/>
          <w:sz w:val="24"/>
          <w:szCs w:val="24"/>
        </w:rPr>
        <w:t>Shurugwi</w:t>
      </w:r>
      <w:proofErr w:type="spellEnd"/>
      <w:r w:rsidRPr="00730FDC">
        <w:rPr>
          <w:rFonts w:ascii="Times New Roman" w:hAnsi="Times New Roman" w:cs="Times New Roman"/>
          <w:sz w:val="24"/>
          <w:szCs w:val="24"/>
        </w:rPr>
        <w:t>. He was charged with the crime</w:t>
      </w:r>
      <w:r w:rsidR="00730FDC" w:rsidRPr="00730FDC">
        <w:rPr>
          <w:rFonts w:ascii="Times New Roman" w:hAnsi="Times New Roman" w:cs="Times New Roman"/>
          <w:sz w:val="24"/>
          <w:szCs w:val="24"/>
        </w:rPr>
        <w:t xml:space="preserve"> of contravening section 70 of the Criminal Law (Codification and Reform) Act [Chapter 9:23]. </w:t>
      </w:r>
      <w:r w:rsidR="00730FDC">
        <w:rPr>
          <w:rFonts w:ascii="Times New Roman" w:hAnsi="Times New Roman" w:cs="Times New Roman"/>
          <w:sz w:val="24"/>
          <w:szCs w:val="24"/>
        </w:rPr>
        <w:t xml:space="preserve"> I</w:t>
      </w:r>
      <w:r w:rsidR="00730FDC" w:rsidRPr="00730FDC">
        <w:rPr>
          <w:rFonts w:ascii="Times New Roman" w:hAnsi="Times New Roman" w:cs="Times New Roman"/>
          <w:sz w:val="24"/>
          <w:szCs w:val="24"/>
        </w:rPr>
        <w:t>t being alleged that on the 23</w:t>
      </w:r>
      <w:r w:rsidR="00730FDC" w:rsidRPr="00730FDC">
        <w:rPr>
          <w:rFonts w:ascii="Times New Roman" w:hAnsi="Times New Roman" w:cs="Times New Roman"/>
          <w:sz w:val="24"/>
          <w:szCs w:val="24"/>
          <w:vertAlign w:val="superscript"/>
        </w:rPr>
        <w:t>rd</w:t>
      </w:r>
      <w:r w:rsidR="00730FDC" w:rsidRPr="00730FDC">
        <w:rPr>
          <w:rFonts w:ascii="Times New Roman" w:hAnsi="Times New Roman" w:cs="Times New Roman"/>
          <w:sz w:val="24"/>
          <w:szCs w:val="24"/>
        </w:rPr>
        <w:t xml:space="preserve"> November 2019, and at </w:t>
      </w:r>
      <w:proofErr w:type="spellStart"/>
      <w:r w:rsidR="00730FDC" w:rsidRPr="00730FDC">
        <w:rPr>
          <w:rFonts w:ascii="Times New Roman" w:hAnsi="Times New Roman" w:cs="Times New Roman"/>
          <w:sz w:val="24"/>
          <w:szCs w:val="24"/>
        </w:rPr>
        <w:t>Gakata</w:t>
      </w:r>
      <w:proofErr w:type="spellEnd"/>
      <w:r w:rsidR="00730FDC" w:rsidRPr="00730FDC">
        <w:rPr>
          <w:rFonts w:ascii="Times New Roman" w:hAnsi="Times New Roman" w:cs="Times New Roman"/>
          <w:sz w:val="24"/>
          <w:szCs w:val="24"/>
        </w:rPr>
        <w:t xml:space="preserve"> Village, Chief </w:t>
      </w:r>
      <w:proofErr w:type="spellStart"/>
      <w:r w:rsidR="00730FDC" w:rsidRPr="00730FDC">
        <w:rPr>
          <w:rFonts w:ascii="Times New Roman" w:hAnsi="Times New Roman" w:cs="Times New Roman"/>
          <w:sz w:val="24"/>
          <w:szCs w:val="24"/>
        </w:rPr>
        <w:t>Nhema</w:t>
      </w:r>
      <w:proofErr w:type="spellEnd"/>
      <w:r w:rsidR="00730FDC" w:rsidRPr="00730FDC">
        <w:rPr>
          <w:rFonts w:ascii="Times New Roman" w:hAnsi="Times New Roman" w:cs="Times New Roman"/>
          <w:sz w:val="24"/>
          <w:szCs w:val="24"/>
        </w:rPr>
        <w:t xml:space="preserve">, </w:t>
      </w:r>
      <w:proofErr w:type="spellStart"/>
      <w:r w:rsidR="00730FDC" w:rsidRPr="00730FDC">
        <w:rPr>
          <w:rFonts w:ascii="Times New Roman" w:hAnsi="Times New Roman" w:cs="Times New Roman"/>
          <w:sz w:val="24"/>
          <w:szCs w:val="24"/>
        </w:rPr>
        <w:t>Shurugwi</w:t>
      </w:r>
      <w:proofErr w:type="spellEnd"/>
      <w:r w:rsidR="00730FDC" w:rsidRPr="00730FDC">
        <w:rPr>
          <w:rFonts w:ascii="Times New Roman" w:hAnsi="Times New Roman" w:cs="Times New Roman"/>
          <w:sz w:val="24"/>
          <w:szCs w:val="24"/>
        </w:rPr>
        <w:t xml:space="preserve">, the accused had extra marital intercourse with complainant a female person below the age of 16 years. </w:t>
      </w:r>
      <w:r w:rsidR="009F1770">
        <w:rPr>
          <w:rFonts w:ascii="Times New Roman" w:hAnsi="Times New Roman" w:cs="Times New Roman"/>
          <w:sz w:val="24"/>
          <w:szCs w:val="24"/>
        </w:rPr>
        <w:t xml:space="preserve">It turned out that </w:t>
      </w:r>
      <w:r w:rsidR="00FC0FC1">
        <w:rPr>
          <w:rFonts w:ascii="Times New Roman" w:hAnsi="Times New Roman" w:cs="Times New Roman"/>
          <w:sz w:val="24"/>
          <w:szCs w:val="24"/>
        </w:rPr>
        <w:t xml:space="preserve">at the material time </w:t>
      </w:r>
      <w:r w:rsidR="009F1770">
        <w:rPr>
          <w:rFonts w:ascii="Times New Roman" w:hAnsi="Times New Roman" w:cs="Times New Roman"/>
          <w:sz w:val="24"/>
          <w:szCs w:val="24"/>
        </w:rPr>
        <w:t xml:space="preserve">accused was </w:t>
      </w:r>
      <w:r w:rsidR="00FC0FC1">
        <w:rPr>
          <w:rFonts w:ascii="Times New Roman" w:hAnsi="Times New Roman" w:cs="Times New Roman"/>
          <w:sz w:val="24"/>
          <w:szCs w:val="24"/>
        </w:rPr>
        <w:t xml:space="preserve">infected H.I.V. positive.  This fact escalated the sentence beyond the jurisdiction of the trial court. </w:t>
      </w:r>
    </w:p>
    <w:p w:rsidR="003D45AD" w:rsidRPr="00730FDC" w:rsidRDefault="003D45AD" w:rsidP="00730FDC">
      <w:pPr>
        <w:autoSpaceDE w:val="0"/>
        <w:autoSpaceDN w:val="0"/>
        <w:adjustRightInd w:val="0"/>
        <w:spacing w:after="0" w:line="360" w:lineRule="auto"/>
        <w:jc w:val="both"/>
        <w:rPr>
          <w:rFonts w:ascii="Times New Roman" w:hAnsi="Times New Roman" w:cs="Times New Roman"/>
          <w:sz w:val="24"/>
          <w:szCs w:val="24"/>
        </w:rPr>
      </w:pPr>
    </w:p>
    <w:p w:rsidR="00A64B91" w:rsidRDefault="003D45AD" w:rsidP="00AE06F6">
      <w:pPr>
        <w:pStyle w:val="Default"/>
        <w:spacing w:line="360" w:lineRule="auto"/>
        <w:ind w:firstLine="720"/>
        <w:jc w:val="both"/>
      </w:pPr>
      <w:r w:rsidRPr="00730FDC">
        <w:t>After going through the record of proceedings, I noted that the accused person</w:t>
      </w:r>
      <w:r w:rsidR="00C74779">
        <w:t xml:space="preserve"> was</w:t>
      </w:r>
      <w:r w:rsidRPr="00730FDC">
        <w:t xml:space="preserve"> without legal representation during the trial, </w:t>
      </w:r>
      <w:r w:rsidR="00C74779">
        <w:t xml:space="preserve">and </w:t>
      </w:r>
      <w:r w:rsidRPr="00730FDC">
        <w:t>the court did not comply with the provisions of section 163A of the Criminal Procedure and Evidence Act, [</w:t>
      </w:r>
      <w:r w:rsidRPr="00730FDC">
        <w:rPr>
          <w:i/>
          <w:iCs/>
        </w:rPr>
        <w:t>Chapter 9:07</w:t>
      </w:r>
      <w:r w:rsidRPr="00730FDC">
        <w:t xml:space="preserve">].  In terms of the provisions of section 163A aforesaid, the magistrate in any trial, before calling an unrepresented accused to plead to a charge, shall inform such accused of </w:t>
      </w:r>
      <w:r w:rsidR="00C74779">
        <w:t xml:space="preserve">his </w:t>
      </w:r>
      <w:r w:rsidRPr="00730FDC">
        <w:t>right to legal representati</w:t>
      </w:r>
      <w:r w:rsidR="00C74779">
        <w:t>on.</w:t>
      </w:r>
      <w:r w:rsidRPr="00730FDC">
        <w:t xml:space="preserve"> The </w:t>
      </w:r>
      <w:r w:rsidR="00C74779">
        <w:t xml:space="preserve">court shall record the fact that the accused has been informed </w:t>
      </w:r>
      <w:r w:rsidRPr="00730FDC">
        <w:t>of such a right and the accused’s response must be recorded.</w:t>
      </w:r>
      <w:r w:rsidR="00C74779" w:rsidRPr="009A3D30">
        <w:t xml:space="preserve">This is a peremptory requirement. </w:t>
      </w:r>
      <w:r w:rsidR="00C74779">
        <w:t xml:space="preserve">See: </w:t>
      </w:r>
      <w:r w:rsidR="00C74779" w:rsidRPr="009B7615">
        <w:rPr>
          <w:i/>
          <w:iCs/>
          <w:color w:val="313131"/>
        </w:rPr>
        <w:t xml:space="preserve">The State v </w:t>
      </w:r>
      <w:proofErr w:type="spellStart"/>
      <w:r w:rsidR="00C74779" w:rsidRPr="009B7615">
        <w:rPr>
          <w:i/>
          <w:iCs/>
          <w:color w:val="313131"/>
        </w:rPr>
        <w:t>Zvidzai</w:t>
      </w:r>
      <w:proofErr w:type="spellEnd"/>
      <w:r w:rsidR="004E0F09">
        <w:rPr>
          <w:i/>
          <w:iCs/>
          <w:color w:val="313131"/>
        </w:rPr>
        <w:t xml:space="preserve"> </w:t>
      </w:r>
      <w:proofErr w:type="spellStart"/>
      <w:r w:rsidR="00C74779" w:rsidRPr="009B7615">
        <w:rPr>
          <w:i/>
          <w:iCs/>
          <w:color w:val="313131"/>
        </w:rPr>
        <w:t>Manetaneta</w:t>
      </w:r>
      <w:proofErr w:type="spellEnd"/>
      <w:r w:rsidR="004E0F09">
        <w:rPr>
          <w:i/>
          <w:iCs/>
          <w:color w:val="313131"/>
        </w:rPr>
        <w:t xml:space="preserve"> </w:t>
      </w:r>
      <w:r w:rsidR="00C74779" w:rsidRPr="009B7615">
        <w:t xml:space="preserve">HH 185-20; </w:t>
      </w:r>
      <w:proofErr w:type="spellStart"/>
      <w:r w:rsidR="00C74779" w:rsidRPr="009B7615">
        <w:rPr>
          <w:i/>
          <w:iCs/>
        </w:rPr>
        <w:t>Potifa</w:t>
      </w:r>
      <w:proofErr w:type="spellEnd"/>
      <w:r w:rsidR="004E0F09">
        <w:rPr>
          <w:i/>
          <w:iCs/>
        </w:rPr>
        <w:t xml:space="preserve"> </w:t>
      </w:r>
      <w:proofErr w:type="spellStart"/>
      <w:r w:rsidR="00C74779" w:rsidRPr="009B7615">
        <w:rPr>
          <w:i/>
          <w:iCs/>
        </w:rPr>
        <w:t>Sawaka</w:t>
      </w:r>
      <w:proofErr w:type="spellEnd"/>
      <w:r w:rsidR="00C74779" w:rsidRPr="009B7615">
        <w:rPr>
          <w:i/>
          <w:iCs/>
        </w:rPr>
        <w:t xml:space="preserve"> v The State </w:t>
      </w:r>
      <w:r w:rsidR="00C74779" w:rsidRPr="009B7615">
        <w:t>HH 262-20.</w:t>
      </w:r>
      <w:r w:rsidR="00A64B91">
        <w:t xml:space="preserve">The trial before the Magistrate’s Court commenced as follows: </w:t>
      </w:r>
    </w:p>
    <w:p w:rsidR="00A64B91" w:rsidRDefault="00A64B91" w:rsidP="00A64B91">
      <w:pPr>
        <w:autoSpaceDE w:val="0"/>
        <w:autoSpaceDN w:val="0"/>
        <w:adjustRightInd w:val="0"/>
        <w:spacing w:after="0" w:line="360" w:lineRule="auto"/>
        <w:ind w:firstLine="720"/>
        <w:jc w:val="both"/>
        <w:rPr>
          <w:rFonts w:ascii="Times New Roman" w:hAnsi="Times New Roman" w:cs="Times New Roman"/>
          <w:sz w:val="24"/>
          <w:szCs w:val="24"/>
        </w:rPr>
      </w:pPr>
    </w:p>
    <w:p w:rsidR="00A64B91" w:rsidRDefault="00A64B91" w:rsidP="00A64B9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Public Prosecutor: Matter is coming up for trial your worship.</w:t>
      </w:r>
    </w:p>
    <w:p w:rsidR="00A64B91" w:rsidRDefault="00A64B91" w:rsidP="00A64B9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Court: Charge C/S 70 of Code.</w:t>
      </w:r>
    </w:p>
    <w:p w:rsidR="00A64B91" w:rsidRDefault="00A64B91" w:rsidP="00A64B9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Charge put to the accused and understood. </w:t>
      </w:r>
    </w:p>
    <w:p w:rsidR="00A64B91" w:rsidRDefault="00A64B91" w:rsidP="00A64B9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By Court to accused: </w:t>
      </w:r>
    </w:p>
    <w:p w:rsidR="00A64B91" w:rsidRDefault="00A64B91" w:rsidP="00A64B9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 How do you plead? </w:t>
      </w:r>
    </w:p>
    <w:p w:rsidR="00A64B91" w:rsidRDefault="00A64B91" w:rsidP="00A64B9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Guilty section 271(2)(b)</w:t>
      </w:r>
    </w:p>
    <w:p w:rsidR="00A64B91" w:rsidRDefault="00A64B91" w:rsidP="00A64B91">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By Court: Facts read to the accused and understood.</w:t>
      </w:r>
    </w:p>
    <w:p w:rsidR="00A64B91" w:rsidRDefault="00A64B91" w:rsidP="00A64B91">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By Court: Plea amended to not guilty. </w:t>
      </w:r>
    </w:p>
    <w:p w:rsidR="00A64B91" w:rsidRPr="009C1518" w:rsidRDefault="00A64B91" w:rsidP="00A64B91">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Accused provided his defence outline, and the State opened its case. </w:t>
      </w:r>
    </w:p>
    <w:p w:rsidR="00730FDC" w:rsidRDefault="00730FDC" w:rsidP="00A64B91">
      <w:pPr>
        <w:autoSpaceDE w:val="0"/>
        <w:autoSpaceDN w:val="0"/>
        <w:adjustRightInd w:val="0"/>
        <w:spacing w:after="0" w:line="360" w:lineRule="auto"/>
        <w:jc w:val="both"/>
        <w:rPr>
          <w:rFonts w:ascii="Times New Roman" w:hAnsi="Times New Roman" w:cs="Times New Roman"/>
          <w:sz w:val="24"/>
          <w:szCs w:val="24"/>
        </w:rPr>
      </w:pPr>
    </w:p>
    <w:p w:rsidR="00D04CB9" w:rsidRDefault="00730FDC" w:rsidP="00D04CB9">
      <w:pPr>
        <w:autoSpaceDE w:val="0"/>
        <w:autoSpaceDN w:val="0"/>
        <w:adjustRightInd w:val="0"/>
        <w:spacing w:after="0" w:line="360" w:lineRule="auto"/>
        <w:ind w:firstLine="720"/>
        <w:jc w:val="both"/>
        <w:rPr>
          <w:rFonts w:ascii="Times New Roman" w:hAnsi="Times New Roman" w:cs="Times New Roman"/>
          <w:sz w:val="24"/>
          <w:szCs w:val="24"/>
        </w:rPr>
      </w:pPr>
      <w:r w:rsidRPr="00D04CB9">
        <w:rPr>
          <w:rFonts w:ascii="Times New Roman" w:hAnsi="Times New Roman" w:cs="Times New Roman"/>
          <w:sz w:val="24"/>
          <w:szCs w:val="24"/>
        </w:rPr>
        <w:t xml:space="preserve">At the commencement of what was to be sentencing proceedings, I raised this issue with Mr </w:t>
      </w:r>
      <w:r w:rsidRPr="00D04CB9">
        <w:rPr>
          <w:rFonts w:ascii="Times New Roman" w:hAnsi="Times New Roman" w:cs="Times New Roman"/>
          <w:i/>
          <w:sz w:val="24"/>
          <w:szCs w:val="24"/>
        </w:rPr>
        <w:t>Jaravaza,</w:t>
      </w:r>
      <w:r w:rsidR="00D04CB9" w:rsidRPr="00D04CB9">
        <w:rPr>
          <w:rFonts w:ascii="Times New Roman" w:hAnsi="Times New Roman" w:cs="Times New Roman"/>
          <w:sz w:val="24"/>
          <w:szCs w:val="24"/>
        </w:rPr>
        <w:t xml:space="preserve"> counsel for the State. Counsel conceded that in the trial</w:t>
      </w:r>
      <w:r w:rsidRPr="00D04CB9">
        <w:rPr>
          <w:rFonts w:ascii="Times New Roman" w:hAnsi="Times New Roman" w:cs="Times New Roman"/>
          <w:sz w:val="24"/>
          <w:szCs w:val="24"/>
        </w:rPr>
        <w:t xml:space="preserve"> before </w:t>
      </w:r>
      <w:r w:rsidR="00D04CB9" w:rsidRPr="00D04CB9">
        <w:rPr>
          <w:rFonts w:ascii="Times New Roman" w:hAnsi="Times New Roman" w:cs="Times New Roman"/>
          <w:sz w:val="24"/>
          <w:szCs w:val="24"/>
        </w:rPr>
        <w:t>the Magistrates Court</w:t>
      </w:r>
      <w:r w:rsidRPr="00D04CB9">
        <w:rPr>
          <w:rFonts w:ascii="Times New Roman" w:hAnsi="Times New Roman" w:cs="Times New Roman"/>
          <w:sz w:val="24"/>
          <w:szCs w:val="24"/>
        </w:rPr>
        <w:t xml:space="preserve"> there was no compliance with s 163A of the CP</w:t>
      </w:r>
      <w:r w:rsidR="00C03729">
        <w:rPr>
          <w:rFonts w:ascii="Times New Roman" w:hAnsi="Times New Roman" w:cs="Times New Roman"/>
          <w:sz w:val="24"/>
          <w:szCs w:val="24"/>
        </w:rPr>
        <w:t xml:space="preserve"> </w:t>
      </w:r>
      <w:r w:rsidRPr="00D04CB9">
        <w:rPr>
          <w:rFonts w:ascii="Times New Roman" w:hAnsi="Times New Roman" w:cs="Times New Roman"/>
          <w:sz w:val="24"/>
          <w:szCs w:val="24"/>
        </w:rPr>
        <w:t>&amp;</w:t>
      </w:r>
      <w:r w:rsidR="00C03729">
        <w:rPr>
          <w:rFonts w:ascii="Times New Roman" w:hAnsi="Times New Roman" w:cs="Times New Roman"/>
          <w:sz w:val="24"/>
          <w:szCs w:val="24"/>
        </w:rPr>
        <w:t xml:space="preserve"> </w:t>
      </w:r>
      <w:r w:rsidRPr="00D04CB9">
        <w:rPr>
          <w:rFonts w:ascii="Times New Roman" w:hAnsi="Times New Roman" w:cs="Times New Roman"/>
          <w:sz w:val="24"/>
          <w:szCs w:val="24"/>
        </w:rPr>
        <w:t xml:space="preserve">E Act. </w:t>
      </w:r>
      <w:r w:rsidR="00D04CB9" w:rsidRPr="00D04CB9">
        <w:rPr>
          <w:rFonts w:ascii="Times New Roman" w:hAnsi="Times New Roman" w:cs="Times New Roman"/>
          <w:sz w:val="24"/>
          <w:szCs w:val="24"/>
        </w:rPr>
        <w:t xml:space="preserve">The State acceded to the disposal of this matter by way of a review. I therefore invoked section 29 (4) High Court Act, which provides that: </w:t>
      </w:r>
    </w:p>
    <w:p w:rsidR="00D04CB9" w:rsidRPr="00D04CB9" w:rsidRDefault="00D04CB9" w:rsidP="00D04CB9">
      <w:pPr>
        <w:autoSpaceDE w:val="0"/>
        <w:autoSpaceDN w:val="0"/>
        <w:adjustRightInd w:val="0"/>
        <w:spacing w:after="0" w:line="360" w:lineRule="auto"/>
        <w:ind w:firstLine="720"/>
        <w:jc w:val="both"/>
        <w:rPr>
          <w:rFonts w:ascii="Times New Roman" w:hAnsi="Times New Roman" w:cs="Times New Roman"/>
          <w:sz w:val="24"/>
          <w:szCs w:val="24"/>
        </w:rPr>
      </w:pPr>
    </w:p>
    <w:p w:rsidR="00D04CB9" w:rsidRDefault="00D04CB9" w:rsidP="00D04CB9">
      <w:pPr>
        <w:pStyle w:val="Default"/>
        <w:spacing w:line="276" w:lineRule="auto"/>
        <w:ind w:left="720"/>
        <w:jc w:val="both"/>
        <w:rPr>
          <w:sz w:val="22"/>
          <w:szCs w:val="22"/>
        </w:rPr>
      </w:pPr>
      <w:r>
        <w:rPr>
          <w:sz w:val="22"/>
          <w:szCs w:val="22"/>
        </w:rPr>
        <w:t xml:space="preserve">Subject to rules of court, the powers conferred by subsections (1) and (2) may be exercised whenever it comes to the notice of the High Court or a judge of the High Court that any criminal proceedings of any inferior court or tribunal are not in accordance with real and substantial justice, notwithstanding that such proceedings are not the subject of an application to the High Court and have not been submitted to the High Court or the judge for review. </w:t>
      </w:r>
    </w:p>
    <w:p w:rsidR="00D04CB9" w:rsidRDefault="00D04CB9" w:rsidP="00D04CB9">
      <w:pPr>
        <w:autoSpaceDE w:val="0"/>
        <w:autoSpaceDN w:val="0"/>
        <w:adjustRightInd w:val="0"/>
        <w:spacing w:after="0" w:line="360" w:lineRule="auto"/>
        <w:ind w:firstLine="720"/>
        <w:jc w:val="both"/>
        <w:rPr>
          <w:sz w:val="23"/>
          <w:szCs w:val="23"/>
        </w:rPr>
      </w:pPr>
    </w:p>
    <w:p w:rsidR="009C1518" w:rsidRPr="00C23474" w:rsidRDefault="00D04CB9" w:rsidP="00C74779">
      <w:pPr>
        <w:autoSpaceDE w:val="0"/>
        <w:autoSpaceDN w:val="0"/>
        <w:adjustRightInd w:val="0"/>
        <w:spacing w:after="0" w:line="360" w:lineRule="auto"/>
        <w:ind w:firstLine="720"/>
        <w:jc w:val="both"/>
        <w:rPr>
          <w:rFonts w:ascii="Times New Roman" w:hAnsi="Times New Roman" w:cs="Times New Roman"/>
          <w:sz w:val="24"/>
          <w:szCs w:val="24"/>
        </w:rPr>
      </w:pPr>
      <w:r w:rsidRPr="00C23474">
        <w:rPr>
          <w:rFonts w:ascii="Times New Roman" w:hAnsi="Times New Roman" w:cs="Times New Roman"/>
          <w:sz w:val="24"/>
          <w:szCs w:val="24"/>
        </w:rPr>
        <w:t xml:space="preserve">The import of the provisions of s 29 (4) of the High Court Act is simply to promote and extend the supervisory role and review powers of the High Court over the Magistrates Court proceedings. This empowering provision caters for situations where it comes to the notice of this court or a judge of this court that criminal proceedings of an inferior court are not in accordance with real and substantial justice. This court or a judge of this court is empowered to review such proceedings notwithstanding that such proceedings are not the subject of an application to the High Court and have not been submitted to the High Court or the judge for review. See: </w:t>
      </w:r>
      <w:proofErr w:type="spellStart"/>
      <w:r w:rsidRPr="00C23474">
        <w:rPr>
          <w:rFonts w:ascii="Times New Roman" w:hAnsi="Times New Roman" w:cs="Times New Roman"/>
          <w:i/>
          <w:iCs/>
          <w:sz w:val="24"/>
          <w:szCs w:val="24"/>
        </w:rPr>
        <w:t>Potifa</w:t>
      </w:r>
      <w:proofErr w:type="spellEnd"/>
      <w:r w:rsidR="004E0F09">
        <w:rPr>
          <w:rFonts w:ascii="Times New Roman" w:hAnsi="Times New Roman" w:cs="Times New Roman"/>
          <w:i/>
          <w:iCs/>
          <w:sz w:val="24"/>
          <w:szCs w:val="24"/>
        </w:rPr>
        <w:t xml:space="preserve"> </w:t>
      </w:r>
      <w:proofErr w:type="spellStart"/>
      <w:r w:rsidRPr="00C23474">
        <w:rPr>
          <w:rFonts w:ascii="Times New Roman" w:hAnsi="Times New Roman" w:cs="Times New Roman"/>
          <w:i/>
          <w:iCs/>
          <w:sz w:val="24"/>
          <w:szCs w:val="24"/>
        </w:rPr>
        <w:t>Sawaka</w:t>
      </w:r>
      <w:proofErr w:type="spellEnd"/>
      <w:r w:rsidRPr="00C23474">
        <w:rPr>
          <w:rFonts w:ascii="Times New Roman" w:hAnsi="Times New Roman" w:cs="Times New Roman"/>
          <w:i/>
          <w:iCs/>
          <w:sz w:val="24"/>
          <w:szCs w:val="24"/>
        </w:rPr>
        <w:t xml:space="preserve"> versus The State </w:t>
      </w:r>
      <w:r w:rsidRPr="00C23474">
        <w:rPr>
          <w:rFonts w:ascii="Times New Roman" w:hAnsi="Times New Roman" w:cs="Times New Roman"/>
          <w:sz w:val="24"/>
          <w:szCs w:val="24"/>
        </w:rPr>
        <w:t xml:space="preserve">HH 262-20. In </w:t>
      </w:r>
      <w:proofErr w:type="spellStart"/>
      <w:r w:rsidRPr="00C23474">
        <w:rPr>
          <w:rFonts w:ascii="Times New Roman" w:hAnsi="Times New Roman" w:cs="Times New Roman"/>
          <w:bCs/>
          <w:i/>
          <w:sz w:val="24"/>
          <w:szCs w:val="24"/>
        </w:rPr>
        <w:t>Praymore</w:t>
      </w:r>
      <w:proofErr w:type="spellEnd"/>
      <w:r w:rsidR="004E0F09">
        <w:rPr>
          <w:rFonts w:ascii="Times New Roman" w:hAnsi="Times New Roman" w:cs="Times New Roman"/>
          <w:bCs/>
          <w:i/>
          <w:sz w:val="24"/>
          <w:szCs w:val="24"/>
        </w:rPr>
        <w:t xml:space="preserve"> </w:t>
      </w:r>
      <w:proofErr w:type="spellStart"/>
      <w:r w:rsidRPr="00C23474">
        <w:rPr>
          <w:rFonts w:ascii="Times New Roman" w:hAnsi="Times New Roman" w:cs="Times New Roman"/>
          <w:bCs/>
          <w:i/>
          <w:sz w:val="24"/>
          <w:szCs w:val="24"/>
        </w:rPr>
        <w:t>Makanda</w:t>
      </w:r>
      <w:proofErr w:type="spellEnd"/>
      <w:r w:rsidRPr="00C23474">
        <w:rPr>
          <w:rFonts w:ascii="Times New Roman" w:hAnsi="Times New Roman" w:cs="Times New Roman"/>
          <w:bCs/>
          <w:i/>
          <w:sz w:val="24"/>
          <w:szCs w:val="24"/>
        </w:rPr>
        <w:t xml:space="preserve"> v (1) Magistrate Sande N.O (2) Magistrate </w:t>
      </w:r>
      <w:proofErr w:type="spellStart"/>
      <w:r w:rsidRPr="00C23474">
        <w:rPr>
          <w:rFonts w:ascii="Times New Roman" w:hAnsi="Times New Roman" w:cs="Times New Roman"/>
          <w:bCs/>
          <w:i/>
          <w:sz w:val="24"/>
          <w:szCs w:val="24"/>
        </w:rPr>
        <w:t>Kadye</w:t>
      </w:r>
      <w:proofErr w:type="spellEnd"/>
      <w:r w:rsidRPr="00C23474">
        <w:rPr>
          <w:rFonts w:ascii="Times New Roman" w:hAnsi="Times New Roman" w:cs="Times New Roman"/>
          <w:bCs/>
          <w:i/>
          <w:sz w:val="24"/>
          <w:szCs w:val="24"/>
        </w:rPr>
        <w:t xml:space="preserve"> N.O (3) Magistrate </w:t>
      </w:r>
      <w:proofErr w:type="spellStart"/>
      <w:r w:rsidRPr="00C23474">
        <w:rPr>
          <w:rFonts w:ascii="Times New Roman" w:hAnsi="Times New Roman" w:cs="Times New Roman"/>
          <w:bCs/>
          <w:i/>
          <w:sz w:val="24"/>
          <w:szCs w:val="24"/>
        </w:rPr>
        <w:t>Ndiraya</w:t>
      </w:r>
      <w:proofErr w:type="spellEnd"/>
      <w:r w:rsidRPr="00C23474">
        <w:rPr>
          <w:rFonts w:ascii="Times New Roman" w:hAnsi="Times New Roman" w:cs="Times New Roman"/>
          <w:bCs/>
          <w:i/>
          <w:sz w:val="24"/>
          <w:szCs w:val="24"/>
        </w:rPr>
        <w:t xml:space="preserve"> N.O (4) The State </w:t>
      </w:r>
      <w:r w:rsidR="00474835" w:rsidRPr="00C23474">
        <w:rPr>
          <w:rFonts w:ascii="Times New Roman" w:hAnsi="Times New Roman" w:cs="Times New Roman"/>
          <w:bCs/>
          <w:sz w:val="24"/>
          <w:szCs w:val="24"/>
        </w:rPr>
        <w:t xml:space="preserve">SC 03/2021, the Constitutional Court noted that </w:t>
      </w:r>
      <w:r w:rsidR="00474835" w:rsidRPr="00C23474">
        <w:rPr>
          <w:rFonts w:ascii="Times New Roman" w:hAnsi="Times New Roman" w:cs="Times New Roman"/>
          <w:sz w:val="24"/>
          <w:szCs w:val="24"/>
        </w:rPr>
        <w:t>t</w:t>
      </w:r>
      <w:r w:rsidRPr="00C23474">
        <w:rPr>
          <w:rFonts w:ascii="Times New Roman" w:hAnsi="Times New Roman" w:cs="Times New Roman"/>
          <w:sz w:val="24"/>
          <w:szCs w:val="24"/>
        </w:rPr>
        <w:t xml:space="preserve">his court is </w:t>
      </w:r>
      <w:r w:rsidR="00474835" w:rsidRPr="00C23474">
        <w:rPr>
          <w:rFonts w:ascii="Times New Roman" w:hAnsi="Times New Roman" w:cs="Times New Roman"/>
          <w:sz w:val="24"/>
          <w:szCs w:val="24"/>
        </w:rPr>
        <w:t>endowed with</w:t>
      </w:r>
      <w:r w:rsidRPr="00C23474">
        <w:rPr>
          <w:rFonts w:ascii="Times New Roman" w:hAnsi="Times New Roman" w:cs="Times New Roman"/>
          <w:sz w:val="24"/>
          <w:szCs w:val="24"/>
        </w:rPr>
        <w:t xml:space="preserve"> statutory powers of review that might be invoked and exercised </w:t>
      </w:r>
      <w:r w:rsidRPr="00C23474">
        <w:rPr>
          <w:rFonts w:ascii="Times New Roman" w:hAnsi="Times New Roman" w:cs="Times New Roman"/>
          <w:i/>
          <w:iCs/>
          <w:sz w:val="24"/>
          <w:szCs w:val="24"/>
        </w:rPr>
        <w:t xml:space="preserve">mero motu </w:t>
      </w:r>
      <w:r w:rsidR="00474835" w:rsidRPr="00C23474">
        <w:rPr>
          <w:rFonts w:ascii="Times New Roman" w:hAnsi="Times New Roman" w:cs="Times New Roman"/>
          <w:sz w:val="24"/>
          <w:szCs w:val="24"/>
        </w:rPr>
        <w:t>to address or redress</w:t>
      </w:r>
      <w:r w:rsidRPr="00C23474">
        <w:rPr>
          <w:rFonts w:ascii="Times New Roman" w:hAnsi="Times New Roman" w:cs="Times New Roman"/>
          <w:sz w:val="24"/>
          <w:szCs w:val="24"/>
        </w:rPr>
        <w:t xml:space="preserve"> patent irregularities.</w:t>
      </w:r>
    </w:p>
    <w:p w:rsidR="00C74779" w:rsidRPr="00C23474" w:rsidRDefault="00C74779" w:rsidP="00C74779">
      <w:pPr>
        <w:autoSpaceDE w:val="0"/>
        <w:autoSpaceDN w:val="0"/>
        <w:adjustRightInd w:val="0"/>
        <w:spacing w:after="0" w:line="360" w:lineRule="auto"/>
        <w:ind w:firstLine="720"/>
        <w:jc w:val="both"/>
        <w:rPr>
          <w:rFonts w:ascii="Times New Roman" w:hAnsi="Times New Roman" w:cs="Times New Roman"/>
          <w:sz w:val="24"/>
          <w:szCs w:val="24"/>
        </w:rPr>
      </w:pPr>
    </w:p>
    <w:p w:rsidR="009C1518" w:rsidRDefault="009C1518" w:rsidP="00A64B91">
      <w:pPr>
        <w:pStyle w:val="Default"/>
        <w:spacing w:line="360" w:lineRule="auto"/>
        <w:ind w:firstLine="720"/>
        <w:jc w:val="both"/>
      </w:pPr>
      <w:r w:rsidRPr="009A3D30">
        <w:t xml:space="preserve">The Constitution of Zimbabwe Amendment (No. 20) Act 2013 (Constitution) guarantees every accused person the right to a fair trial, this includes the right to legal </w:t>
      </w:r>
      <w:r w:rsidRPr="009A3D30">
        <w:lastRenderedPageBreak/>
        <w:t>representation. The right enacted in the s 163A of the CPE Act is procedural. The substantive right is located in s 69 of the Constitution, which provides that every person has a right, at their own expense, to choose and be represented by a legal practitioner before any court, tribunal or forum. Therefore, the right to legal representation is a right of substance, not form, and it is the cornerstone of a fair trial.</w:t>
      </w:r>
      <w:r>
        <w:t xml:space="preserve"> See: </w:t>
      </w:r>
      <w:r w:rsidRPr="009B7615">
        <w:rPr>
          <w:i/>
          <w:iCs/>
          <w:color w:val="313131"/>
        </w:rPr>
        <w:t xml:space="preserve">The State v </w:t>
      </w:r>
      <w:proofErr w:type="spellStart"/>
      <w:r w:rsidRPr="009B7615">
        <w:rPr>
          <w:i/>
          <w:iCs/>
          <w:color w:val="313131"/>
        </w:rPr>
        <w:t>Zvidzai</w:t>
      </w:r>
      <w:proofErr w:type="spellEnd"/>
      <w:r w:rsidR="004E0F09">
        <w:rPr>
          <w:i/>
          <w:iCs/>
          <w:color w:val="313131"/>
        </w:rPr>
        <w:t xml:space="preserve"> </w:t>
      </w:r>
      <w:proofErr w:type="spellStart"/>
      <w:r w:rsidRPr="009B7615">
        <w:rPr>
          <w:i/>
          <w:iCs/>
          <w:color w:val="313131"/>
        </w:rPr>
        <w:t>Manetaneta</w:t>
      </w:r>
      <w:proofErr w:type="spellEnd"/>
      <w:r>
        <w:rPr>
          <w:i/>
          <w:iCs/>
          <w:color w:val="313131"/>
        </w:rPr>
        <w:t xml:space="preserve"> (supra). </w:t>
      </w:r>
      <w:r w:rsidRPr="004D7D65">
        <w:t xml:space="preserve">The record shows that the trial court </w:t>
      </w:r>
      <w:r>
        <w:t>violated this peremptory</w:t>
      </w:r>
      <w:r w:rsidRPr="004D7D65">
        <w:t xml:space="preserve"> re</w:t>
      </w:r>
      <w:r>
        <w:t>quirement and thereby denied applicant</w:t>
      </w:r>
      <w:r w:rsidRPr="004D7D65">
        <w:t xml:space="preserve"> the </w:t>
      </w:r>
      <w:r>
        <w:t xml:space="preserve">right to legal representation. </w:t>
      </w:r>
      <w:proofErr w:type="gramStart"/>
      <w:r>
        <w:t xml:space="preserve">The Constitutional Court in </w:t>
      </w:r>
      <w:proofErr w:type="spellStart"/>
      <w:r w:rsidRPr="00C92567">
        <w:rPr>
          <w:bCs/>
          <w:i/>
        </w:rPr>
        <w:t>Praymore</w:t>
      </w:r>
      <w:proofErr w:type="spellEnd"/>
      <w:r w:rsidR="004E0F09">
        <w:rPr>
          <w:bCs/>
          <w:i/>
        </w:rPr>
        <w:t xml:space="preserve"> </w:t>
      </w:r>
      <w:proofErr w:type="spellStart"/>
      <w:r w:rsidRPr="00C92567">
        <w:rPr>
          <w:bCs/>
          <w:i/>
        </w:rPr>
        <w:t>Makanda</w:t>
      </w:r>
      <w:proofErr w:type="spellEnd"/>
      <w:r w:rsidRPr="00C92567">
        <w:rPr>
          <w:bCs/>
          <w:i/>
        </w:rPr>
        <w:t xml:space="preserve"> v (1) Magistrate Sande N.O.</w:t>
      </w:r>
      <w:proofErr w:type="gramEnd"/>
      <w:r w:rsidRPr="00C92567">
        <w:rPr>
          <w:bCs/>
          <w:i/>
        </w:rPr>
        <w:t xml:space="preserve">  (2) Magistrate </w:t>
      </w:r>
      <w:proofErr w:type="spellStart"/>
      <w:r w:rsidRPr="00C92567">
        <w:rPr>
          <w:bCs/>
          <w:i/>
        </w:rPr>
        <w:t>Kadye</w:t>
      </w:r>
      <w:proofErr w:type="spellEnd"/>
      <w:r w:rsidRPr="00C92567">
        <w:rPr>
          <w:bCs/>
          <w:i/>
        </w:rPr>
        <w:t xml:space="preserve"> N.O.  (3) Magistrate </w:t>
      </w:r>
      <w:proofErr w:type="spellStart"/>
      <w:r w:rsidRPr="00C92567">
        <w:rPr>
          <w:bCs/>
          <w:i/>
        </w:rPr>
        <w:t>Ndiraya</w:t>
      </w:r>
      <w:proofErr w:type="spellEnd"/>
      <w:r w:rsidRPr="00C92567">
        <w:rPr>
          <w:bCs/>
          <w:i/>
        </w:rPr>
        <w:t xml:space="preserve"> N.O.  (4) The State </w:t>
      </w:r>
      <w:r w:rsidRPr="00C92567">
        <w:t>CCZ 03/21</w:t>
      </w:r>
      <w:r>
        <w:t xml:space="preserve"> has observed that such an omission constitutes</w:t>
      </w:r>
      <w:r w:rsidRPr="004D7D65">
        <w:t xml:space="preserve"> a gross irregularity. </w:t>
      </w:r>
    </w:p>
    <w:p w:rsidR="00A64B91" w:rsidRPr="00A64B91" w:rsidRDefault="00A64B91" w:rsidP="00A64B91">
      <w:pPr>
        <w:pStyle w:val="Default"/>
        <w:spacing w:line="360" w:lineRule="auto"/>
        <w:ind w:firstLine="720"/>
        <w:jc w:val="both"/>
        <w:rPr>
          <w:i/>
          <w:iCs/>
          <w:color w:val="313131"/>
        </w:rPr>
      </w:pPr>
    </w:p>
    <w:p w:rsidR="00A64B91" w:rsidRPr="00675B5E" w:rsidRDefault="00A64B91" w:rsidP="00A64B91">
      <w:pPr>
        <w:pStyle w:val="Default"/>
        <w:spacing w:line="360" w:lineRule="auto"/>
        <w:ind w:firstLine="720"/>
        <w:jc w:val="both"/>
        <w:rPr>
          <w:b/>
        </w:rPr>
      </w:pPr>
      <w:r w:rsidRPr="00A64B91">
        <w:t>In conclusion, the failure by a trial cour</w:t>
      </w:r>
      <w:r w:rsidR="00BB7BAF">
        <w:t xml:space="preserve">t, to inform the </w:t>
      </w:r>
      <w:r w:rsidR="00AE06F6">
        <w:t>accused person of his</w:t>
      </w:r>
      <w:r w:rsidRPr="00A64B91">
        <w:t xml:space="preserve"> right to legal representation, is an irregularity that is fatal to the proceedings. In terms of s 29 (2) (b) (i) of the High Court Act, [</w:t>
      </w:r>
      <w:r w:rsidRPr="00A64B91">
        <w:rPr>
          <w:i/>
          <w:iCs/>
        </w:rPr>
        <w:t>Chapter 7:06</w:t>
      </w:r>
      <w:r w:rsidRPr="00A64B91">
        <w:t xml:space="preserve">], I find that the proceedings in the court </w:t>
      </w:r>
      <w:r w:rsidRPr="00A64B91">
        <w:rPr>
          <w:i/>
          <w:iCs/>
        </w:rPr>
        <w:t xml:space="preserve">a quo </w:t>
      </w:r>
      <w:r w:rsidRPr="00A64B91">
        <w:t>were not in accordance with real and substantial justice, as a result, a substantial miscarriage of justice has actually occurr</w:t>
      </w:r>
      <w:r w:rsidR="00BB7BAF">
        <w:t xml:space="preserve">ed. The conviction cannot be confirmed. </w:t>
      </w:r>
      <w:r w:rsidR="00ED578C">
        <w:t xml:space="preserve">It must be quashed and set-aside. </w:t>
      </w:r>
    </w:p>
    <w:p w:rsidR="00A64B91" w:rsidRPr="00675B5E" w:rsidRDefault="00A64B91" w:rsidP="00A64B91">
      <w:pPr>
        <w:pStyle w:val="Default"/>
        <w:rPr>
          <w:b/>
          <w:sz w:val="23"/>
          <w:szCs w:val="23"/>
        </w:rPr>
      </w:pPr>
    </w:p>
    <w:p w:rsidR="00675B5E" w:rsidRDefault="00675B5E" w:rsidP="00A64B91">
      <w:pPr>
        <w:pStyle w:val="Default"/>
        <w:rPr>
          <w:b/>
          <w:sz w:val="23"/>
          <w:szCs w:val="23"/>
        </w:rPr>
      </w:pPr>
      <w:r w:rsidRPr="00675B5E">
        <w:rPr>
          <w:b/>
          <w:sz w:val="23"/>
          <w:szCs w:val="23"/>
        </w:rPr>
        <w:t xml:space="preserve">Disposition </w:t>
      </w:r>
    </w:p>
    <w:p w:rsidR="00675B5E" w:rsidRDefault="00675B5E" w:rsidP="00A64B91">
      <w:pPr>
        <w:pStyle w:val="Default"/>
        <w:rPr>
          <w:b/>
          <w:sz w:val="23"/>
          <w:szCs w:val="23"/>
        </w:rPr>
      </w:pPr>
    </w:p>
    <w:p w:rsidR="00C92206" w:rsidRDefault="00675B5E" w:rsidP="00C92206">
      <w:pPr>
        <w:pStyle w:val="Default"/>
        <w:spacing w:line="360" w:lineRule="auto"/>
        <w:jc w:val="both"/>
      </w:pPr>
      <w:r w:rsidRPr="00675B5E">
        <w:t>In the result, I make the following order</w:t>
      </w:r>
      <w:r w:rsidR="006F61AA" w:rsidRPr="00675B5E">
        <w:t>: -</w:t>
      </w:r>
    </w:p>
    <w:p w:rsidR="00E13DB2" w:rsidRDefault="00C92206" w:rsidP="00C92206">
      <w:pPr>
        <w:pStyle w:val="Default"/>
        <w:numPr>
          <w:ilvl w:val="0"/>
          <w:numId w:val="5"/>
        </w:numPr>
        <w:spacing w:line="360" w:lineRule="auto"/>
        <w:jc w:val="both"/>
      </w:pPr>
      <w:r>
        <w:t>T</w:t>
      </w:r>
      <w:r w:rsidR="00675B5E" w:rsidRPr="00675B5E">
        <w:t xml:space="preserve">he conviction is </w:t>
      </w:r>
      <w:r w:rsidR="00945FAE">
        <w:t xml:space="preserve">and </w:t>
      </w:r>
      <w:r>
        <w:t>hereby</w:t>
      </w:r>
      <w:r w:rsidR="006F61AA">
        <w:t xml:space="preserve"> and set aside</w:t>
      </w:r>
      <w:r>
        <w:t>.</w:t>
      </w:r>
    </w:p>
    <w:p w:rsidR="00C92206" w:rsidRDefault="00F679A6" w:rsidP="00C92206">
      <w:pPr>
        <w:pStyle w:val="Default"/>
        <w:numPr>
          <w:ilvl w:val="0"/>
          <w:numId w:val="5"/>
        </w:numPr>
        <w:spacing w:line="360" w:lineRule="auto"/>
        <w:jc w:val="both"/>
      </w:pPr>
      <w:r>
        <w:t>The m</w:t>
      </w:r>
      <w:r w:rsidR="00C92206">
        <w:t xml:space="preserve">atter be referred for a trial </w:t>
      </w:r>
      <w:r w:rsidR="00C92206" w:rsidRPr="00C92206">
        <w:rPr>
          <w:i/>
        </w:rPr>
        <w:t>de novo</w:t>
      </w:r>
      <w:r w:rsidR="00C92206">
        <w:t xml:space="preserve"> before a different magistrate. </w:t>
      </w:r>
    </w:p>
    <w:p w:rsidR="00C92206" w:rsidRPr="00945FAE" w:rsidRDefault="00C92206" w:rsidP="00C92206">
      <w:pPr>
        <w:pStyle w:val="Default"/>
        <w:spacing w:line="360" w:lineRule="auto"/>
        <w:ind w:left="1080"/>
        <w:jc w:val="both"/>
      </w:pPr>
    </w:p>
    <w:p w:rsidR="00945FAE" w:rsidRDefault="00945FAE" w:rsidP="00945FAE">
      <w:pPr>
        <w:pStyle w:val="Default"/>
        <w:spacing w:line="360" w:lineRule="auto"/>
        <w:jc w:val="both"/>
        <w:rPr>
          <w:sz w:val="23"/>
          <w:szCs w:val="23"/>
        </w:rPr>
      </w:pPr>
    </w:p>
    <w:p w:rsidR="00945FAE" w:rsidRDefault="00945FAE" w:rsidP="00945FAE">
      <w:pPr>
        <w:pStyle w:val="Default"/>
        <w:spacing w:line="360" w:lineRule="auto"/>
        <w:jc w:val="both"/>
        <w:rPr>
          <w:sz w:val="23"/>
          <w:szCs w:val="23"/>
        </w:rPr>
      </w:pPr>
      <w:bookmarkStart w:id="0" w:name="_GoBack"/>
      <w:bookmarkEnd w:id="0"/>
    </w:p>
    <w:p w:rsidR="00945FAE" w:rsidRDefault="00945FAE" w:rsidP="00DC28B8">
      <w:pPr>
        <w:pStyle w:val="Default"/>
        <w:spacing w:line="360" w:lineRule="auto"/>
        <w:jc w:val="center"/>
      </w:pPr>
      <w:proofErr w:type="spellStart"/>
      <w:r w:rsidRPr="00F679A6">
        <w:t>M</w:t>
      </w:r>
      <w:r w:rsidR="00DC28B8">
        <w:t>akonese</w:t>
      </w:r>
      <w:proofErr w:type="spellEnd"/>
      <w:r w:rsidR="00DC28B8">
        <w:t xml:space="preserve"> J ……………………………………….. I agree</w:t>
      </w:r>
    </w:p>
    <w:p w:rsidR="00061DE9" w:rsidRDefault="00061DE9" w:rsidP="00061DE9">
      <w:pPr>
        <w:pStyle w:val="Default"/>
        <w:spacing w:line="360" w:lineRule="auto"/>
      </w:pPr>
    </w:p>
    <w:p w:rsidR="00061DE9" w:rsidRDefault="00061DE9" w:rsidP="00061DE9">
      <w:pPr>
        <w:pStyle w:val="Default"/>
        <w:spacing w:line="360" w:lineRule="auto"/>
        <w:rPr>
          <w:i/>
        </w:rPr>
      </w:pPr>
    </w:p>
    <w:p w:rsidR="00061DE9" w:rsidRDefault="00061DE9" w:rsidP="00061DE9">
      <w:pPr>
        <w:pStyle w:val="Default"/>
        <w:spacing w:line="360" w:lineRule="auto"/>
        <w:rPr>
          <w:i/>
        </w:rPr>
      </w:pPr>
    </w:p>
    <w:p w:rsidR="00061DE9" w:rsidRPr="00F679A6" w:rsidRDefault="00061DE9" w:rsidP="00061DE9">
      <w:pPr>
        <w:pStyle w:val="Default"/>
        <w:spacing w:line="360" w:lineRule="auto"/>
      </w:pPr>
      <w:r w:rsidRPr="00061DE9">
        <w:rPr>
          <w:i/>
        </w:rPr>
        <w:t>National Prosecuting Authority</w:t>
      </w:r>
      <w:r>
        <w:t>, respondent’s legal practitioners</w:t>
      </w:r>
    </w:p>
    <w:sectPr w:rsidR="00061DE9" w:rsidRPr="00F679A6" w:rsidSect="003778E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6F7" w:rsidRDefault="006946F7" w:rsidP="006946F7">
      <w:pPr>
        <w:spacing w:after="0" w:line="240" w:lineRule="auto"/>
      </w:pPr>
      <w:r>
        <w:separator/>
      </w:r>
    </w:p>
  </w:endnote>
  <w:endnote w:type="continuationSeparator" w:id="1">
    <w:p w:rsidR="006946F7" w:rsidRDefault="006946F7" w:rsidP="006946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AE2" w:rsidRDefault="00501A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AE2" w:rsidRDefault="00501A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AE2" w:rsidRDefault="00501A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6F7" w:rsidRDefault="006946F7" w:rsidP="006946F7">
      <w:pPr>
        <w:spacing w:after="0" w:line="240" w:lineRule="auto"/>
      </w:pPr>
      <w:r>
        <w:separator/>
      </w:r>
    </w:p>
  </w:footnote>
  <w:footnote w:type="continuationSeparator" w:id="1">
    <w:p w:rsidR="006946F7" w:rsidRDefault="006946F7" w:rsidP="006946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AE2" w:rsidRDefault="00501A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69093"/>
      <w:docPartObj>
        <w:docPartGallery w:val="Page Numbers (Top of Page)"/>
        <w:docPartUnique/>
      </w:docPartObj>
    </w:sdtPr>
    <w:sdtEndPr>
      <w:rPr>
        <w:rFonts w:ascii="Times New Roman" w:hAnsi="Times New Roman" w:cs="Times New Roman"/>
      </w:rPr>
    </w:sdtEndPr>
    <w:sdtContent>
      <w:p w:rsidR="006946F7" w:rsidRPr="006946F7" w:rsidRDefault="00A64DE2">
        <w:pPr>
          <w:pStyle w:val="Header"/>
          <w:jc w:val="right"/>
          <w:rPr>
            <w:rFonts w:ascii="Times New Roman" w:hAnsi="Times New Roman" w:cs="Times New Roman"/>
          </w:rPr>
        </w:pPr>
        <w:r w:rsidRPr="006946F7">
          <w:rPr>
            <w:rFonts w:ascii="Times New Roman" w:hAnsi="Times New Roman" w:cs="Times New Roman"/>
          </w:rPr>
          <w:fldChar w:fldCharType="begin"/>
        </w:r>
        <w:r w:rsidR="006946F7" w:rsidRPr="006946F7">
          <w:rPr>
            <w:rFonts w:ascii="Times New Roman" w:hAnsi="Times New Roman" w:cs="Times New Roman"/>
          </w:rPr>
          <w:instrText xml:space="preserve"> PAGE   \* MERGEFORMAT </w:instrText>
        </w:r>
        <w:r w:rsidRPr="006946F7">
          <w:rPr>
            <w:rFonts w:ascii="Times New Roman" w:hAnsi="Times New Roman" w:cs="Times New Roman"/>
          </w:rPr>
          <w:fldChar w:fldCharType="separate"/>
        </w:r>
        <w:r w:rsidR="00C03729">
          <w:rPr>
            <w:rFonts w:ascii="Times New Roman" w:hAnsi="Times New Roman" w:cs="Times New Roman"/>
            <w:noProof/>
          </w:rPr>
          <w:t>3</w:t>
        </w:r>
        <w:r w:rsidRPr="006946F7">
          <w:rPr>
            <w:rFonts w:ascii="Times New Roman" w:hAnsi="Times New Roman" w:cs="Times New Roman"/>
          </w:rPr>
          <w:fldChar w:fldCharType="end"/>
        </w:r>
      </w:p>
      <w:p w:rsidR="006946F7" w:rsidRPr="006946F7" w:rsidRDefault="006946F7">
        <w:pPr>
          <w:pStyle w:val="Header"/>
          <w:jc w:val="right"/>
          <w:rPr>
            <w:rFonts w:ascii="Times New Roman" w:hAnsi="Times New Roman" w:cs="Times New Roman"/>
          </w:rPr>
        </w:pPr>
        <w:r w:rsidRPr="006946F7">
          <w:rPr>
            <w:rFonts w:ascii="Times New Roman" w:hAnsi="Times New Roman" w:cs="Times New Roman"/>
          </w:rPr>
          <w:t>HB</w:t>
        </w:r>
        <w:r w:rsidR="00501AE2">
          <w:rPr>
            <w:rFonts w:ascii="Times New Roman" w:hAnsi="Times New Roman" w:cs="Times New Roman"/>
          </w:rPr>
          <w:t xml:space="preserve"> 104/21</w:t>
        </w:r>
      </w:p>
      <w:p w:rsidR="006946F7" w:rsidRPr="006946F7" w:rsidRDefault="006946F7">
        <w:pPr>
          <w:pStyle w:val="Header"/>
          <w:jc w:val="right"/>
          <w:rPr>
            <w:rFonts w:ascii="Times New Roman" w:hAnsi="Times New Roman" w:cs="Times New Roman"/>
          </w:rPr>
        </w:pPr>
        <w:r w:rsidRPr="006946F7">
          <w:rPr>
            <w:rFonts w:ascii="Times New Roman" w:hAnsi="Times New Roman" w:cs="Times New Roman"/>
          </w:rPr>
          <w:t>HC (T) 01/21</w:t>
        </w:r>
      </w:p>
      <w:p w:rsidR="006946F7" w:rsidRDefault="006946F7">
        <w:pPr>
          <w:pStyle w:val="Header"/>
          <w:jc w:val="right"/>
        </w:pPr>
        <w:r w:rsidRPr="006946F7">
          <w:rPr>
            <w:rFonts w:ascii="Times New Roman" w:hAnsi="Times New Roman" w:cs="Times New Roman"/>
          </w:rPr>
          <w:t>XREF CRB SHU 672/19</w:t>
        </w:r>
      </w:p>
    </w:sdtContent>
  </w:sdt>
  <w:p w:rsidR="006946F7" w:rsidRDefault="006946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AE2" w:rsidRDefault="00501A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A2A0D"/>
    <w:multiLevelType w:val="hybridMultilevel"/>
    <w:tmpl w:val="8466A050"/>
    <w:lvl w:ilvl="0" w:tplc="0F741B9C">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56907CC"/>
    <w:multiLevelType w:val="hybridMultilevel"/>
    <w:tmpl w:val="DBD623E6"/>
    <w:lvl w:ilvl="0" w:tplc="97401A22">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8821C61"/>
    <w:multiLevelType w:val="hybridMultilevel"/>
    <w:tmpl w:val="F404E9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0F82AAA"/>
    <w:multiLevelType w:val="hybridMultilevel"/>
    <w:tmpl w:val="0122C0FA"/>
    <w:lvl w:ilvl="0" w:tplc="697ACF8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3B233C5"/>
    <w:multiLevelType w:val="hybridMultilevel"/>
    <w:tmpl w:val="701EB0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768BD"/>
    <w:rsid w:val="00061DE9"/>
    <w:rsid w:val="00241DF2"/>
    <w:rsid w:val="002F39A2"/>
    <w:rsid w:val="003778E2"/>
    <w:rsid w:val="003D1733"/>
    <w:rsid w:val="003D45AD"/>
    <w:rsid w:val="00474835"/>
    <w:rsid w:val="004E0F09"/>
    <w:rsid w:val="00501AE2"/>
    <w:rsid w:val="00675B5E"/>
    <w:rsid w:val="006946F7"/>
    <w:rsid w:val="006F61AA"/>
    <w:rsid w:val="00730FDC"/>
    <w:rsid w:val="0085662B"/>
    <w:rsid w:val="008A4510"/>
    <w:rsid w:val="00944FF0"/>
    <w:rsid w:val="00945FAE"/>
    <w:rsid w:val="009A463D"/>
    <w:rsid w:val="009C1518"/>
    <w:rsid w:val="009F1770"/>
    <w:rsid w:val="00A64B91"/>
    <w:rsid w:val="00A64DE2"/>
    <w:rsid w:val="00A768BD"/>
    <w:rsid w:val="00AE06F6"/>
    <w:rsid w:val="00BB7BAF"/>
    <w:rsid w:val="00C03729"/>
    <w:rsid w:val="00C23474"/>
    <w:rsid w:val="00C74779"/>
    <w:rsid w:val="00C92206"/>
    <w:rsid w:val="00D04CB9"/>
    <w:rsid w:val="00DC28B8"/>
    <w:rsid w:val="00E13DB2"/>
    <w:rsid w:val="00ED578C"/>
    <w:rsid w:val="00F679A6"/>
    <w:rsid w:val="00FB684D"/>
    <w:rsid w:val="00FC0FC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45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C1518"/>
    <w:pPr>
      <w:ind w:left="720"/>
      <w:contextualSpacing/>
    </w:pPr>
  </w:style>
  <w:style w:type="paragraph" w:styleId="NoSpacing">
    <w:name w:val="No Spacing"/>
    <w:uiPriority w:val="1"/>
    <w:qFormat/>
    <w:rsid w:val="00675B5E"/>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241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DF2"/>
    <w:rPr>
      <w:rFonts w:ascii="Segoe UI" w:hAnsi="Segoe UI" w:cs="Segoe UI"/>
      <w:sz w:val="18"/>
      <w:szCs w:val="18"/>
    </w:rPr>
  </w:style>
  <w:style w:type="paragraph" w:styleId="Header">
    <w:name w:val="header"/>
    <w:basedOn w:val="Normal"/>
    <w:link w:val="HeaderChar"/>
    <w:uiPriority w:val="99"/>
    <w:unhideWhenUsed/>
    <w:rsid w:val="00694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6F7"/>
  </w:style>
  <w:style w:type="paragraph" w:styleId="Footer">
    <w:name w:val="footer"/>
    <w:basedOn w:val="Normal"/>
    <w:link w:val="FooterChar"/>
    <w:uiPriority w:val="99"/>
    <w:semiHidden/>
    <w:unhideWhenUsed/>
    <w:rsid w:val="006946F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946F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3</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23</cp:revision>
  <cp:lastPrinted>2021-06-09T07:05:00Z</cp:lastPrinted>
  <dcterms:created xsi:type="dcterms:W3CDTF">2021-06-07T09:09:00Z</dcterms:created>
  <dcterms:modified xsi:type="dcterms:W3CDTF">2021-06-09T07:31:00Z</dcterms:modified>
</cp:coreProperties>
</file>