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72" w:rsidRDefault="00341EE5"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FOR ZIMBABWE</w:t>
      </w:r>
      <w:r w:rsidR="00593072">
        <w:rPr>
          <w:rFonts w:ascii="Times New Roman" w:hAnsi="Times New Roman" w:cs="Times New Roman"/>
          <w:sz w:val="24"/>
          <w:szCs w:val="24"/>
        </w:rPr>
        <w:tab/>
      </w:r>
      <w:r w:rsidR="00593072">
        <w:rPr>
          <w:rFonts w:ascii="Times New Roman" w:hAnsi="Times New Roman" w:cs="Times New Roman"/>
          <w:sz w:val="24"/>
          <w:szCs w:val="24"/>
        </w:rPr>
        <w:tab/>
      </w:r>
      <w:r w:rsidR="00593072">
        <w:rPr>
          <w:rFonts w:ascii="Times New Roman" w:hAnsi="Times New Roman" w:cs="Times New Roman"/>
          <w:sz w:val="24"/>
          <w:szCs w:val="24"/>
        </w:rPr>
        <w:tab/>
      </w:r>
      <w:r w:rsidR="00593072">
        <w:rPr>
          <w:rFonts w:ascii="Times New Roman" w:hAnsi="Times New Roman" w:cs="Times New Roman"/>
          <w:sz w:val="24"/>
          <w:szCs w:val="24"/>
        </w:rPr>
        <w:tab/>
      </w:r>
    </w:p>
    <w:p w:rsidR="00593072" w:rsidRDefault="00593072" w:rsidP="00FF40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93072" w:rsidRDefault="00341EE5"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WARLOM INVESTMENTS (PVT) LTD</w:t>
      </w:r>
    </w:p>
    <w:p w:rsidR="00593072" w:rsidRDefault="00593072" w:rsidP="0059307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93072" w:rsidRDefault="00341EE5"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FAYE TRUST</w:t>
      </w:r>
    </w:p>
    <w:p w:rsidR="00341EE5" w:rsidRDefault="00341EE5" w:rsidP="0059307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41EE5" w:rsidRDefault="00341EE5"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LOCAL AUTHORITIES PENSION FUND</w:t>
      </w:r>
    </w:p>
    <w:p w:rsidR="00593072" w:rsidRDefault="00593072" w:rsidP="00B32BBC">
      <w:pPr>
        <w:spacing w:after="0" w:line="240" w:lineRule="auto"/>
        <w:jc w:val="both"/>
        <w:rPr>
          <w:rFonts w:ascii="Times New Roman" w:hAnsi="Times New Roman" w:cs="Times New Roman"/>
          <w:sz w:val="24"/>
          <w:szCs w:val="24"/>
        </w:rPr>
      </w:pPr>
    </w:p>
    <w:p w:rsidR="008F2581" w:rsidRDefault="008F2581" w:rsidP="00B32BBC">
      <w:pPr>
        <w:spacing w:after="0" w:line="240" w:lineRule="auto"/>
        <w:jc w:val="both"/>
        <w:rPr>
          <w:rFonts w:ascii="Times New Roman" w:hAnsi="Times New Roman" w:cs="Times New Roman"/>
          <w:sz w:val="24"/>
          <w:szCs w:val="24"/>
        </w:rPr>
      </w:pPr>
    </w:p>
    <w:p w:rsidR="008F2581" w:rsidRDefault="008F2581" w:rsidP="00B32BBC">
      <w:pPr>
        <w:spacing w:after="0" w:line="240" w:lineRule="auto"/>
        <w:jc w:val="both"/>
        <w:rPr>
          <w:rFonts w:ascii="Times New Roman" w:hAnsi="Times New Roman" w:cs="Times New Roman"/>
          <w:sz w:val="24"/>
          <w:szCs w:val="24"/>
        </w:rPr>
      </w:pP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341EE5">
        <w:rPr>
          <w:rFonts w:ascii="Times New Roman" w:hAnsi="Times New Roman" w:cs="Times New Roman"/>
          <w:sz w:val="24"/>
          <w:szCs w:val="24"/>
        </w:rPr>
        <w:t>25 September,</w:t>
      </w:r>
      <w:r w:rsidR="009F7B37">
        <w:rPr>
          <w:rFonts w:ascii="Times New Roman" w:hAnsi="Times New Roman" w:cs="Times New Roman"/>
          <w:sz w:val="24"/>
          <w:szCs w:val="24"/>
        </w:rPr>
        <w:t xml:space="preserve"> 2018</w:t>
      </w:r>
      <w:r w:rsidR="00031A18">
        <w:rPr>
          <w:rFonts w:ascii="Times New Roman" w:hAnsi="Times New Roman" w:cs="Times New Roman"/>
          <w:sz w:val="24"/>
          <w:szCs w:val="24"/>
        </w:rPr>
        <w:t xml:space="preserve"> and 11 December 2018</w:t>
      </w:r>
    </w:p>
    <w:p w:rsidR="005D6D38" w:rsidRDefault="005D6D38"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DC29E1" w:rsidRDefault="00DC29E1" w:rsidP="00B32BBC">
      <w:pPr>
        <w:spacing w:after="0" w:line="360" w:lineRule="auto"/>
        <w:jc w:val="both"/>
        <w:rPr>
          <w:rFonts w:ascii="Times New Roman" w:hAnsi="Times New Roman" w:cs="Times New Roman"/>
          <w:b/>
          <w:sz w:val="24"/>
          <w:szCs w:val="24"/>
        </w:rPr>
      </w:pPr>
      <w:r w:rsidRPr="00BA52B6">
        <w:rPr>
          <w:rFonts w:ascii="Times New Roman" w:hAnsi="Times New Roman" w:cs="Times New Roman"/>
          <w:b/>
          <w:sz w:val="24"/>
          <w:szCs w:val="24"/>
        </w:rPr>
        <w:t xml:space="preserve">Opposed </w:t>
      </w:r>
      <w:r>
        <w:rPr>
          <w:rFonts w:ascii="Times New Roman" w:hAnsi="Times New Roman" w:cs="Times New Roman"/>
          <w:b/>
          <w:sz w:val="24"/>
          <w:szCs w:val="24"/>
        </w:rPr>
        <w:t>Matter</w:t>
      </w:r>
    </w:p>
    <w:p w:rsidR="004F7615" w:rsidRDefault="004F7615" w:rsidP="00B32BBC">
      <w:pPr>
        <w:spacing w:after="0" w:line="360" w:lineRule="auto"/>
        <w:jc w:val="both"/>
        <w:rPr>
          <w:rFonts w:ascii="Times New Roman" w:hAnsi="Times New Roman" w:cs="Times New Roman"/>
          <w:sz w:val="24"/>
          <w:szCs w:val="24"/>
        </w:rPr>
      </w:pPr>
    </w:p>
    <w:p w:rsidR="00E14D40" w:rsidRDefault="00DE7D5D" w:rsidP="00E14D4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T </w:t>
      </w:r>
      <w:proofErr w:type="spellStart"/>
      <w:r>
        <w:rPr>
          <w:rFonts w:ascii="Times New Roman" w:hAnsi="Times New Roman" w:cs="Times New Roman"/>
          <w:i/>
          <w:sz w:val="24"/>
          <w:szCs w:val="24"/>
        </w:rPr>
        <w:t>Makanga</w:t>
      </w:r>
      <w:proofErr w:type="spellEnd"/>
      <w:r w:rsidR="00E14D40">
        <w:rPr>
          <w:rFonts w:ascii="Times New Roman" w:hAnsi="Times New Roman" w:cs="Times New Roman"/>
          <w:sz w:val="24"/>
          <w:szCs w:val="24"/>
        </w:rPr>
        <w:t>, for the applicant.</w:t>
      </w:r>
    </w:p>
    <w:p w:rsidR="00E14D40" w:rsidRDefault="00DE7D5D" w:rsidP="00E14D40">
      <w:pPr>
        <w:spacing w:after="0" w:line="240" w:lineRule="auto"/>
        <w:jc w:val="both"/>
        <w:rPr>
          <w:rFonts w:ascii="Times New Roman" w:hAnsi="Times New Roman" w:cs="Times New Roman"/>
          <w:sz w:val="24"/>
          <w:szCs w:val="24"/>
        </w:rPr>
      </w:pPr>
      <w:r w:rsidRPr="00DE7D5D">
        <w:rPr>
          <w:rFonts w:ascii="Times New Roman" w:hAnsi="Times New Roman" w:cs="Times New Roman"/>
          <w:sz w:val="24"/>
          <w:szCs w:val="24"/>
        </w:rPr>
        <w:t>1</w:t>
      </w:r>
      <w:r w:rsidRPr="00DE7D5D">
        <w:rPr>
          <w:rFonts w:ascii="Times New Roman" w:hAnsi="Times New Roman" w:cs="Times New Roman"/>
          <w:sz w:val="24"/>
          <w:szCs w:val="24"/>
          <w:vertAlign w:val="superscript"/>
        </w:rPr>
        <w:t>st</w:t>
      </w:r>
      <w:r w:rsidRPr="00DE7D5D">
        <w:rPr>
          <w:rFonts w:ascii="Times New Roman" w:hAnsi="Times New Roman" w:cs="Times New Roman"/>
          <w:sz w:val="24"/>
          <w:szCs w:val="24"/>
        </w:rPr>
        <w:t xml:space="preserve"> and 2</w:t>
      </w:r>
      <w:r w:rsidRPr="00DE7D5D">
        <w:rPr>
          <w:rFonts w:ascii="Times New Roman" w:hAnsi="Times New Roman" w:cs="Times New Roman"/>
          <w:sz w:val="24"/>
          <w:szCs w:val="24"/>
          <w:vertAlign w:val="superscript"/>
        </w:rPr>
        <w:t>nd</w:t>
      </w:r>
      <w:r w:rsidRPr="00DE7D5D">
        <w:rPr>
          <w:rFonts w:ascii="Times New Roman" w:hAnsi="Times New Roman" w:cs="Times New Roman"/>
          <w:sz w:val="24"/>
          <w:szCs w:val="24"/>
        </w:rPr>
        <w:t xml:space="preserve"> Claimants in person</w:t>
      </w:r>
    </w:p>
    <w:p w:rsidR="00E14D40" w:rsidRPr="0025673F" w:rsidRDefault="00DE7D5D" w:rsidP="00E14D4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K </w:t>
      </w:r>
      <w:proofErr w:type="spellStart"/>
      <w:r>
        <w:rPr>
          <w:rFonts w:ascii="Times New Roman" w:hAnsi="Times New Roman" w:cs="Times New Roman"/>
          <w:i/>
          <w:sz w:val="24"/>
          <w:szCs w:val="24"/>
        </w:rPr>
        <w:t>Mudzimbasekwa</w:t>
      </w:r>
      <w:proofErr w:type="spellEnd"/>
      <w:r w:rsidR="00E14D40">
        <w:rPr>
          <w:rFonts w:ascii="Times New Roman" w:hAnsi="Times New Roman" w:cs="Times New Roman"/>
          <w:sz w:val="24"/>
          <w:szCs w:val="24"/>
        </w:rPr>
        <w:t xml:space="preserve">, for the judgment creditor </w:t>
      </w:r>
    </w:p>
    <w:p w:rsidR="005D6D38" w:rsidRDefault="005D6D38" w:rsidP="00B32BBC">
      <w:pPr>
        <w:spacing w:after="0" w:line="360" w:lineRule="auto"/>
        <w:jc w:val="both"/>
        <w:rPr>
          <w:rFonts w:ascii="Times New Roman" w:hAnsi="Times New Roman" w:cs="Times New Roman"/>
          <w:sz w:val="24"/>
          <w:szCs w:val="24"/>
        </w:rPr>
      </w:pPr>
    </w:p>
    <w:p w:rsidR="00C96424" w:rsidRDefault="005D6D38" w:rsidP="00341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505EC9">
        <w:rPr>
          <w:rFonts w:ascii="Times New Roman" w:hAnsi="Times New Roman" w:cs="Times New Roman"/>
          <w:sz w:val="24"/>
          <w:szCs w:val="24"/>
        </w:rPr>
        <w:t xml:space="preserve"> </w:t>
      </w:r>
      <w:r w:rsidR="00341EE5">
        <w:rPr>
          <w:rFonts w:ascii="Times New Roman" w:hAnsi="Times New Roman" w:cs="Times New Roman"/>
          <w:sz w:val="24"/>
          <w:szCs w:val="24"/>
        </w:rPr>
        <w:t xml:space="preserve">On 23 March, 2015 the judgment creditor which sued </w:t>
      </w:r>
      <w:proofErr w:type="spellStart"/>
      <w:r w:rsidR="00C25AE6">
        <w:rPr>
          <w:rFonts w:ascii="Times New Roman" w:hAnsi="Times New Roman" w:cs="Times New Roman"/>
          <w:sz w:val="24"/>
          <w:szCs w:val="24"/>
        </w:rPr>
        <w:t>El</w:t>
      </w:r>
      <w:r w:rsidR="0078651B">
        <w:rPr>
          <w:rFonts w:ascii="Times New Roman" w:hAnsi="Times New Roman" w:cs="Times New Roman"/>
          <w:sz w:val="24"/>
          <w:szCs w:val="24"/>
        </w:rPr>
        <w:t>e</w:t>
      </w:r>
      <w:r w:rsidR="00C25AE6">
        <w:rPr>
          <w:rFonts w:ascii="Times New Roman" w:hAnsi="Times New Roman" w:cs="Times New Roman"/>
          <w:sz w:val="24"/>
          <w:szCs w:val="24"/>
        </w:rPr>
        <w:t>co</w:t>
      </w:r>
      <w:proofErr w:type="spellEnd"/>
      <w:r w:rsidR="00C25AE6">
        <w:rPr>
          <w:rFonts w:ascii="Times New Roman" w:hAnsi="Times New Roman" w:cs="Times New Roman"/>
          <w:sz w:val="24"/>
          <w:szCs w:val="24"/>
        </w:rPr>
        <w:t xml:space="preserve"> El</w:t>
      </w:r>
      <w:r w:rsidR="0078651B">
        <w:rPr>
          <w:rFonts w:ascii="Times New Roman" w:hAnsi="Times New Roman" w:cs="Times New Roman"/>
          <w:sz w:val="24"/>
          <w:szCs w:val="24"/>
        </w:rPr>
        <w:t>e</w:t>
      </w:r>
      <w:r w:rsidR="00C25AE6">
        <w:rPr>
          <w:rFonts w:ascii="Times New Roman" w:hAnsi="Times New Roman" w:cs="Times New Roman"/>
          <w:sz w:val="24"/>
          <w:szCs w:val="24"/>
        </w:rPr>
        <w:t>vator Company (Pvt) Ltd, the judgment debtor</w:t>
      </w:r>
      <w:r w:rsidR="00BA5245">
        <w:rPr>
          <w:rFonts w:ascii="Times New Roman" w:hAnsi="Times New Roman" w:cs="Times New Roman"/>
          <w:sz w:val="24"/>
          <w:szCs w:val="24"/>
        </w:rPr>
        <w:t>,</w:t>
      </w:r>
      <w:r w:rsidR="00C25AE6">
        <w:rPr>
          <w:rFonts w:ascii="Times New Roman" w:hAnsi="Times New Roman" w:cs="Times New Roman"/>
          <w:sz w:val="24"/>
          <w:szCs w:val="24"/>
        </w:rPr>
        <w:t xml:space="preserve"> obtained a consent order against the latter. The consent order was for the sum of $44 111.32</w:t>
      </w:r>
      <w:r w:rsidR="00BA5245">
        <w:rPr>
          <w:rFonts w:ascii="Times New Roman" w:hAnsi="Times New Roman" w:cs="Times New Roman"/>
          <w:sz w:val="24"/>
          <w:szCs w:val="24"/>
        </w:rPr>
        <w:t>,</w:t>
      </w:r>
      <w:r w:rsidR="00C25AE6">
        <w:rPr>
          <w:rFonts w:ascii="Times New Roman" w:hAnsi="Times New Roman" w:cs="Times New Roman"/>
          <w:sz w:val="24"/>
          <w:szCs w:val="24"/>
        </w:rPr>
        <w:t xml:space="preserve"> interest on the stated sum at the prescribed rate reckoned from 30 May 2013 to the date of full payment and costs of suit in the sum of $1 700 which the judgment debtor was enjoined to pay on or before 10 April, 2015.</w:t>
      </w:r>
    </w:p>
    <w:p w:rsidR="00C25AE6" w:rsidRDefault="00C25AE6" w:rsidP="00341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the issuance of the consent order, the judgment creditor instructed the Sheriff for Zimbabwe</w:t>
      </w:r>
      <w:r w:rsidR="00BA5245">
        <w:rPr>
          <w:rFonts w:ascii="Times New Roman" w:hAnsi="Times New Roman" w:cs="Times New Roman"/>
          <w:sz w:val="24"/>
          <w:szCs w:val="24"/>
        </w:rPr>
        <w:t>,</w:t>
      </w:r>
      <w:r>
        <w:rPr>
          <w:rFonts w:ascii="Times New Roman" w:hAnsi="Times New Roman" w:cs="Times New Roman"/>
          <w:sz w:val="24"/>
          <w:szCs w:val="24"/>
        </w:rPr>
        <w:t xml:space="preserve"> who is the applicant in </w:t>
      </w:r>
      <w:r w:rsidRPr="00FA65FF">
        <w:rPr>
          <w:rFonts w:ascii="Times New Roman" w:hAnsi="Times New Roman" w:cs="Times New Roman"/>
          <w:i/>
          <w:sz w:val="24"/>
          <w:szCs w:val="24"/>
        </w:rPr>
        <w:t>casu</w:t>
      </w:r>
      <w:r>
        <w:rPr>
          <w:rFonts w:ascii="Times New Roman" w:hAnsi="Times New Roman" w:cs="Times New Roman"/>
          <w:sz w:val="24"/>
          <w:szCs w:val="24"/>
        </w:rPr>
        <w:t>, to attach and take into execution the movable good o</w:t>
      </w:r>
      <w:r w:rsidR="00BA5245">
        <w:rPr>
          <w:rFonts w:ascii="Times New Roman" w:hAnsi="Times New Roman" w:cs="Times New Roman"/>
          <w:sz w:val="24"/>
          <w:szCs w:val="24"/>
        </w:rPr>
        <w:t>f</w:t>
      </w:r>
      <w:r>
        <w:rPr>
          <w:rFonts w:ascii="Times New Roman" w:hAnsi="Times New Roman" w:cs="Times New Roman"/>
          <w:sz w:val="24"/>
          <w:szCs w:val="24"/>
        </w:rPr>
        <w:t xml:space="preserve"> the judgment debtor. The attachment of the good brought the claimants into the equation.</w:t>
      </w:r>
    </w:p>
    <w:p w:rsidR="00C25AE6" w:rsidRDefault="00C25AE6" w:rsidP="00341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claimant claimed that a Toyota Venture motor vehicle with registration number AAG 7935 which the Sheriff attached belonged to it. It attached to its claim the </w:t>
      </w:r>
      <w:r w:rsidR="00A62273">
        <w:rPr>
          <w:rFonts w:ascii="Times New Roman" w:hAnsi="Times New Roman" w:cs="Times New Roman"/>
          <w:sz w:val="24"/>
          <w:szCs w:val="24"/>
        </w:rPr>
        <w:t xml:space="preserve">registration book of the car. It called it Annexure E. </w:t>
      </w:r>
      <w:r w:rsidR="00BA5245">
        <w:rPr>
          <w:rFonts w:ascii="Times New Roman" w:hAnsi="Times New Roman" w:cs="Times New Roman"/>
          <w:sz w:val="24"/>
          <w:szCs w:val="24"/>
        </w:rPr>
        <w:t>T</w:t>
      </w:r>
      <w:r w:rsidR="00A62273">
        <w:rPr>
          <w:rFonts w:ascii="Times New Roman" w:hAnsi="Times New Roman" w:cs="Times New Roman"/>
          <w:sz w:val="24"/>
          <w:szCs w:val="24"/>
        </w:rPr>
        <w:t>he registration book, it insisted, constituted proof of ownership of the car. It stated that the car was at the judgment debtor’s premises which it lease</w:t>
      </w:r>
      <w:r w:rsidR="00031A18">
        <w:rPr>
          <w:rFonts w:ascii="Times New Roman" w:hAnsi="Times New Roman" w:cs="Times New Roman"/>
          <w:sz w:val="24"/>
          <w:szCs w:val="24"/>
        </w:rPr>
        <w:t>d</w:t>
      </w:r>
      <w:r w:rsidR="00A62273">
        <w:rPr>
          <w:rFonts w:ascii="Times New Roman" w:hAnsi="Times New Roman" w:cs="Times New Roman"/>
          <w:sz w:val="24"/>
          <w:szCs w:val="24"/>
        </w:rPr>
        <w:t xml:space="preserve">. It produced the agreement of lease which it called Annexure </w:t>
      </w:r>
      <w:r w:rsidR="00BA5245">
        <w:rPr>
          <w:rFonts w:ascii="Times New Roman" w:hAnsi="Times New Roman" w:cs="Times New Roman"/>
          <w:sz w:val="24"/>
          <w:szCs w:val="24"/>
        </w:rPr>
        <w:t>F</w:t>
      </w:r>
      <w:r w:rsidR="00A62273">
        <w:rPr>
          <w:rFonts w:ascii="Times New Roman" w:hAnsi="Times New Roman" w:cs="Times New Roman"/>
          <w:sz w:val="24"/>
          <w:szCs w:val="24"/>
        </w:rPr>
        <w:t>.</w:t>
      </w:r>
    </w:p>
    <w:p w:rsidR="00A62273" w:rsidRDefault="00A62273" w:rsidP="00341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claimant’s statement was that two motor vehicles which the Sheriff attached belonged to it. The cars comprised</w:t>
      </w:r>
      <w:r w:rsidR="00C95268">
        <w:rPr>
          <w:rFonts w:ascii="Times New Roman" w:hAnsi="Times New Roman" w:cs="Times New Roman"/>
          <w:sz w:val="24"/>
          <w:szCs w:val="24"/>
        </w:rPr>
        <w:t>:</w:t>
      </w:r>
    </w:p>
    <w:p w:rsidR="00A62273" w:rsidRDefault="00C95268" w:rsidP="00A62273">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A62273" w:rsidRPr="00A62273">
        <w:rPr>
          <w:rFonts w:ascii="Times New Roman" w:hAnsi="Times New Roman" w:cs="Times New Roman"/>
          <w:sz w:val="24"/>
          <w:szCs w:val="24"/>
        </w:rPr>
        <w:t xml:space="preserve"> Mercedes Benz S 350 with registration </w:t>
      </w:r>
      <w:r w:rsidR="00A62273">
        <w:rPr>
          <w:rFonts w:ascii="Times New Roman" w:hAnsi="Times New Roman" w:cs="Times New Roman"/>
          <w:sz w:val="24"/>
          <w:szCs w:val="24"/>
        </w:rPr>
        <w:t>number ABD 2525 – and</w:t>
      </w:r>
    </w:p>
    <w:p w:rsidR="00A62273" w:rsidRDefault="00C95268" w:rsidP="00A62273">
      <w:pPr>
        <w:pStyle w:val="ListParagraph"/>
        <w:numPr>
          <w:ilvl w:val="0"/>
          <w:numId w:val="2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A62273">
        <w:rPr>
          <w:rFonts w:ascii="Times New Roman" w:hAnsi="Times New Roman" w:cs="Times New Roman"/>
          <w:sz w:val="24"/>
          <w:szCs w:val="24"/>
        </w:rPr>
        <w:t xml:space="preserve"> Toyota Chaser motor vehicle with registration number ACX 1740.</w:t>
      </w:r>
    </w:p>
    <w:p w:rsidR="00A62273" w:rsidRDefault="00A62273" w:rsidP="00A6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attached to its claim Annexures E and F. The annexures, it said</w:t>
      </w:r>
      <w:r w:rsidR="00C95268">
        <w:rPr>
          <w:rFonts w:ascii="Times New Roman" w:hAnsi="Times New Roman" w:cs="Times New Roman"/>
          <w:sz w:val="24"/>
          <w:szCs w:val="24"/>
        </w:rPr>
        <w:t>,</w:t>
      </w:r>
      <w:r>
        <w:rPr>
          <w:rFonts w:ascii="Times New Roman" w:hAnsi="Times New Roman" w:cs="Times New Roman"/>
          <w:sz w:val="24"/>
          <w:szCs w:val="24"/>
        </w:rPr>
        <w:t xml:space="preserve"> were the respective registration books of the cars. They, it insisted, constituted proof of its ownership of the cars. It claimed that the motor vehicles were attached from the judgment debtor’s premises which it leased.</w:t>
      </w:r>
    </w:p>
    <w:p w:rsidR="00A62273" w:rsidRDefault="00A62273" w:rsidP="00A6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debtor opposed the two claims. It stated that registration of the cars into the names of the claimants did not constitute proof of ownership of the cars. It alleged that the claimants were colluding with the judgment debtor. The collusion, it asserted, was evident in that the judgment debtor’s legal </w:t>
      </w:r>
      <w:r w:rsidR="00A75B9B">
        <w:rPr>
          <w:rFonts w:ascii="Times New Roman" w:hAnsi="Times New Roman" w:cs="Times New Roman"/>
          <w:sz w:val="24"/>
          <w:szCs w:val="24"/>
        </w:rPr>
        <w:t>practitioners</w:t>
      </w:r>
      <w:r>
        <w:rPr>
          <w:rFonts w:ascii="Times New Roman" w:hAnsi="Times New Roman" w:cs="Times New Roman"/>
          <w:sz w:val="24"/>
          <w:szCs w:val="24"/>
        </w:rPr>
        <w:t xml:space="preserve"> were also the legal </w:t>
      </w:r>
      <w:r w:rsidR="00A75B9B">
        <w:rPr>
          <w:rFonts w:ascii="Times New Roman" w:hAnsi="Times New Roman" w:cs="Times New Roman"/>
          <w:sz w:val="24"/>
          <w:szCs w:val="24"/>
        </w:rPr>
        <w:t>practitioners</w:t>
      </w:r>
      <w:r>
        <w:rPr>
          <w:rFonts w:ascii="Times New Roman" w:hAnsi="Times New Roman" w:cs="Times New Roman"/>
          <w:sz w:val="24"/>
          <w:szCs w:val="24"/>
        </w:rPr>
        <w:t xml:space="preserve"> of the claimants. It moved the court to dismiss the claims with costs.</w:t>
      </w:r>
    </w:p>
    <w:p w:rsidR="00A75B9B" w:rsidRDefault="00A75B9B" w:rsidP="00A6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person who cla</w:t>
      </w:r>
      <w:r w:rsidR="00C95268">
        <w:rPr>
          <w:rFonts w:ascii="Times New Roman" w:hAnsi="Times New Roman" w:cs="Times New Roman"/>
          <w:sz w:val="24"/>
          <w:szCs w:val="24"/>
        </w:rPr>
        <w:t>i</w:t>
      </w:r>
      <w:r>
        <w:rPr>
          <w:rFonts w:ascii="Times New Roman" w:hAnsi="Times New Roman" w:cs="Times New Roman"/>
          <w:sz w:val="24"/>
          <w:szCs w:val="24"/>
        </w:rPr>
        <w:t xml:space="preserve">ms ownership in a thing must establish, on a balance of probabilities, his claim to the same. One who claims ownership of a car must do likewise. Appearance of his name in the registration book of the car does not, on its own, constitute proof of his ownership of the car. All it does is to show a </w:t>
      </w:r>
      <w:r w:rsidRPr="00277C78">
        <w:rPr>
          <w:rFonts w:ascii="Times New Roman" w:hAnsi="Times New Roman" w:cs="Times New Roman"/>
          <w:i/>
          <w:sz w:val="24"/>
          <w:szCs w:val="24"/>
        </w:rPr>
        <w:t>prima facie</w:t>
      </w:r>
      <w:r>
        <w:rPr>
          <w:rFonts w:ascii="Times New Roman" w:hAnsi="Times New Roman" w:cs="Times New Roman"/>
          <w:sz w:val="24"/>
          <w:szCs w:val="24"/>
        </w:rPr>
        <w:t xml:space="preserve"> position which must be supported by other evidence. Additional evidence of ownership of the car focuses on such matters as relate to the fact that he purchased the car from someone as well as that the car is insured in his name.</w:t>
      </w:r>
    </w:p>
    <w:p w:rsidR="00A75B9B" w:rsidRDefault="00A75B9B" w:rsidP="00A6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w:t>
      </w:r>
      <w:r w:rsidR="00C95268">
        <w:rPr>
          <w:rFonts w:ascii="Times New Roman" w:hAnsi="Times New Roman" w:cs="Times New Roman"/>
          <w:sz w:val="24"/>
          <w:szCs w:val="24"/>
        </w:rPr>
        <w:t>s</w:t>
      </w:r>
      <w:r>
        <w:rPr>
          <w:rFonts w:ascii="Times New Roman" w:hAnsi="Times New Roman" w:cs="Times New Roman"/>
          <w:sz w:val="24"/>
          <w:szCs w:val="24"/>
        </w:rPr>
        <w:t xml:space="preserve">’ statements fall short of the required proof of </w:t>
      </w:r>
      <w:r w:rsidR="00000D67">
        <w:rPr>
          <w:rFonts w:ascii="Times New Roman" w:hAnsi="Times New Roman" w:cs="Times New Roman"/>
          <w:sz w:val="24"/>
          <w:szCs w:val="24"/>
        </w:rPr>
        <w:t>ownership. They anchor their claims on the fact that the cars are registered in their respective names.</w:t>
      </w:r>
    </w:p>
    <w:p w:rsidR="00BB0480" w:rsidRDefault="00BB0480" w:rsidP="00BB0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correctly stated in </w:t>
      </w:r>
      <w:r w:rsidRPr="00EF0063">
        <w:rPr>
          <w:rFonts w:ascii="Times New Roman" w:hAnsi="Times New Roman" w:cs="Times New Roman"/>
          <w:i/>
          <w:sz w:val="24"/>
          <w:szCs w:val="24"/>
        </w:rPr>
        <w:t>Air Zimbabwe (Pvt) Ltd &amp; Anor</w:t>
      </w:r>
      <w:r>
        <w:rPr>
          <w:rFonts w:ascii="Times New Roman" w:hAnsi="Times New Roman" w:cs="Times New Roman"/>
          <w:sz w:val="24"/>
          <w:szCs w:val="24"/>
        </w:rPr>
        <w:t xml:space="preserve"> v </w:t>
      </w:r>
      <w:proofErr w:type="spellStart"/>
      <w:r w:rsidRPr="00EF0063">
        <w:rPr>
          <w:rFonts w:ascii="Times New Roman" w:hAnsi="Times New Roman" w:cs="Times New Roman"/>
          <w:i/>
          <w:sz w:val="24"/>
          <w:szCs w:val="24"/>
        </w:rPr>
        <w:t>Nhuta</w:t>
      </w:r>
      <w:proofErr w:type="spellEnd"/>
      <w:r w:rsidRPr="00EF0063">
        <w:rPr>
          <w:rFonts w:ascii="Times New Roman" w:hAnsi="Times New Roman" w:cs="Times New Roman"/>
          <w:i/>
          <w:sz w:val="24"/>
          <w:szCs w:val="24"/>
        </w:rPr>
        <w:t xml:space="preserve"> &amp; </w:t>
      </w:r>
      <w:proofErr w:type="spellStart"/>
      <w:r w:rsidRPr="00EF0063">
        <w:rPr>
          <w:rFonts w:ascii="Times New Roman" w:hAnsi="Times New Roman" w:cs="Times New Roman"/>
          <w:i/>
          <w:sz w:val="24"/>
          <w:szCs w:val="24"/>
        </w:rPr>
        <w:t>Ors</w:t>
      </w:r>
      <w:proofErr w:type="spellEnd"/>
      <w:r>
        <w:rPr>
          <w:rFonts w:ascii="Times New Roman" w:hAnsi="Times New Roman" w:cs="Times New Roman"/>
          <w:sz w:val="24"/>
          <w:szCs w:val="24"/>
        </w:rPr>
        <w:t xml:space="preserve"> SC 65/14 that registration books are not proof of ownership. It stated, further, in </w:t>
      </w:r>
      <w:r w:rsidRPr="00EF0063">
        <w:rPr>
          <w:rFonts w:ascii="Times New Roman" w:hAnsi="Times New Roman" w:cs="Times New Roman"/>
          <w:i/>
          <w:sz w:val="24"/>
          <w:szCs w:val="24"/>
        </w:rPr>
        <w:t>Bruce NO</w:t>
      </w:r>
      <w:r>
        <w:rPr>
          <w:rFonts w:ascii="Times New Roman" w:hAnsi="Times New Roman" w:cs="Times New Roman"/>
          <w:sz w:val="24"/>
          <w:szCs w:val="24"/>
        </w:rPr>
        <w:t xml:space="preserve"> v </w:t>
      </w:r>
      <w:r w:rsidRPr="00EF0063">
        <w:rPr>
          <w:rFonts w:ascii="Times New Roman" w:hAnsi="Times New Roman" w:cs="Times New Roman"/>
          <w:i/>
          <w:sz w:val="24"/>
          <w:szCs w:val="24"/>
        </w:rPr>
        <w:t xml:space="preserve">Josiah Parkers and </w:t>
      </w:r>
      <w:r>
        <w:rPr>
          <w:rFonts w:ascii="Times New Roman" w:hAnsi="Times New Roman" w:cs="Times New Roman"/>
          <w:i/>
          <w:sz w:val="24"/>
          <w:szCs w:val="24"/>
        </w:rPr>
        <w:t>S</w:t>
      </w:r>
      <w:r w:rsidRPr="00EF0063">
        <w:rPr>
          <w:rFonts w:ascii="Times New Roman" w:hAnsi="Times New Roman" w:cs="Times New Roman"/>
          <w:i/>
          <w:sz w:val="24"/>
          <w:szCs w:val="24"/>
        </w:rPr>
        <w:t>o</w:t>
      </w:r>
      <w:r>
        <w:rPr>
          <w:rFonts w:ascii="Times New Roman" w:hAnsi="Times New Roman" w:cs="Times New Roman"/>
          <w:i/>
          <w:sz w:val="24"/>
          <w:szCs w:val="24"/>
        </w:rPr>
        <w:t>n</w:t>
      </w:r>
      <w:r w:rsidRPr="00EF0063">
        <w:rPr>
          <w:rFonts w:ascii="Times New Roman" w:hAnsi="Times New Roman" w:cs="Times New Roman"/>
          <w:i/>
          <w:sz w:val="24"/>
          <w:szCs w:val="24"/>
        </w:rPr>
        <w:t>s [Rhodesia] (Pvt) Ltd &amp; Anor</w:t>
      </w:r>
      <w:r>
        <w:rPr>
          <w:rFonts w:ascii="Times New Roman" w:hAnsi="Times New Roman" w:cs="Times New Roman"/>
          <w:sz w:val="24"/>
          <w:szCs w:val="24"/>
        </w:rPr>
        <w:t xml:space="preserve"> 1972 (1) SA 68 (R) that in proceedings of this nature, the claimant must set out such facts and allegations which constitute proof of ownership.</w:t>
      </w:r>
    </w:p>
    <w:p w:rsidR="00000D67" w:rsidRDefault="00000D67" w:rsidP="00A6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claimants do not mention the person or entity from whom they purchased the cars, if they did. Nor do they state that the cars are in</w:t>
      </w:r>
      <w:r w:rsidR="00C95268">
        <w:rPr>
          <w:rFonts w:ascii="Times New Roman" w:hAnsi="Times New Roman" w:cs="Times New Roman"/>
          <w:sz w:val="24"/>
          <w:szCs w:val="24"/>
        </w:rPr>
        <w:t>s</w:t>
      </w:r>
      <w:r>
        <w:rPr>
          <w:rFonts w:ascii="Times New Roman" w:hAnsi="Times New Roman" w:cs="Times New Roman"/>
          <w:sz w:val="24"/>
          <w:szCs w:val="24"/>
        </w:rPr>
        <w:t>ured in their names, if they are. The statement which each of them makes i</w:t>
      </w:r>
      <w:r w:rsidR="00C95268">
        <w:rPr>
          <w:rFonts w:ascii="Times New Roman" w:hAnsi="Times New Roman" w:cs="Times New Roman"/>
          <w:sz w:val="24"/>
          <w:szCs w:val="24"/>
        </w:rPr>
        <w:t>s</w:t>
      </w:r>
      <w:r>
        <w:rPr>
          <w:rFonts w:ascii="Times New Roman" w:hAnsi="Times New Roman" w:cs="Times New Roman"/>
          <w:sz w:val="24"/>
          <w:szCs w:val="24"/>
        </w:rPr>
        <w:t xml:space="preserve"> </w:t>
      </w:r>
      <w:r w:rsidRPr="00EF0063">
        <w:rPr>
          <w:rFonts w:ascii="Times New Roman" w:hAnsi="Times New Roman" w:cs="Times New Roman"/>
          <w:i/>
          <w:sz w:val="24"/>
          <w:szCs w:val="24"/>
        </w:rPr>
        <w:t>prima facie</w:t>
      </w:r>
      <w:r>
        <w:rPr>
          <w:rFonts w:ascii="Times New Roman" w:hAnsi="Times New Roman" w:cs="Times New Roman"/>
          <w:sz w:val="24"/>
          <w:szCs w:val="24"/>
        </w:rPr>
        <w:t xml:space="preserve"> evidence of its ownership of the car(s). </w:t>
      </w:r>
      <w:r w:rsidR="00C95268">
        <w:rPr>
          <w:rFonts w:ascii="Times New Roman" w:hAnsi="Times New Roman" w:cs="Times New Roman"/>
          <w:sz w:val="24"/>
          <w:szCs w:val="24"/>
        </w:rPr>
        <w:t>That</w:t>
      </w:r>
      <w:r>
        <w:rPr>
          <w:rFonts w:ascii="Times New Roman" w:hAnsi="Times New Roman" w:cs="Times New Roman"/>
          <w:sz w:val="24"/>
          <w:szCs w:val="24"/>
        </w:rPr>
        <w:t xml:space="preserve"> </w:t>
      </w:r>
      <w:r w:rsidRPr="00EF0063">
        <w:rPr>
          <w:rFonts w:ascii="Times New Roman" w:hAnsi="Times New Roman" w:cs="Times New Roman"/>
          <w:i/>
          <w:sz w:val="24"/>
          <w:szCs w:val="24"/>
        </w:rPr>
        <w:t>prima facie</w:t>
      </w:r>
      <w:r>
        <w:rPr>
          <w:rFonts w:ascii="Times New Roman" w:hAnsi="Times New Roman" w:cs="Times New Roman"/>
          <w:sz w:val="24"/>
          <w:szCs w:val="24"/>
        </w:rPr>
        <w:t xml:space="preserve"> evidence</w:t>
      </w:r>
      <w:r w:rsidR="00031A18">
        <w:rPr>
          <w:rFonts w:ascii="Times New Roman" w:hAnsi="Times New Roman" w:cs="Times New Roman"/>
          <w:sz w:val="24"/>
          <w:szCs w:val="24"/>
        </w:rPr>
        <w:t>,</w:t>
      </w:r>
      <w:r>
        <w:rPr>
          <w:rFonts w:ascii="Times New Roman" w:hAnsi="Times New Roman" w:cs="Times New Roman"/>
          <w:sz w:val="24"/>
          <w:szCs w:val="24"/>
        </w:rPr>
        <w:t xml:space="preserve"> </w:t>
      </w:r>
      <w:r w:rsidR="00C95268">
        <w:rPr>
          <w:rFonts w:ascii="Times New Roman" w:hAnsi="Times New Roman" w:cs="Times New Roman"/>
          <w:sz w:val="24"/>
          <w:szCs w:val="24"/>
        </w:rPr>
        <w:t>however</w:t>
      </w:r>
      <w:r w:rsidR="00031A18">
        <w:rPr>
          <w:rFonts w:ascii="Times New Roman" w:hAnsi="Times New Roman" w:cs="Times New Roman"/>
          <w:sz w:val="24"/>
          <w:szCs w:val="24"/>
        </w:rPr>
        <w:t>,</w:t>
      </w:r>
      <w:r w:rsidR="00C95268">
        <w:rPr>
          <w:rFonts w:ascii="Times New Roman" w:hAnsi="Times New Roman" w:cs="Times New Roman"/>
          <w:sz w:val="24"/>
          <w:szCs w:val="24"/>
        </w:rPr>
        <w:t xml:space="preserve"> </w:t>
      </w:r>
      <w:r>
        <w:rPr>
          <w:rFonts w:ascii="Times New Roman" w:hAnsi="Times New Roman" w:cs="Times New Roman"/>
          <w:sz w:val="24"/>
          <w:szCs w:val="24"/>
        </w:rPr>
        <w:t xml:space="preserve">requires additional evidence which establishes the claim of each claimant. That additional evidence is wholly lacking in </w:t>
      </w:r>
      <w:r w:rsidRPr="00277C78">
        <w:rPr>
          <w:rFonts w:ascii="Times New Roman" w:hAnsi="Times New Roman" w:cs="Times New Roman"/>
          <w:i/>
          <w:sz w:val="24"/>
          <w:szCs w:val="24"/>
        </w:rPr>
        <w:t>casu</w:t>
      </w:r>
      <w:r>
        <w:rPr>
          <w:rFonts w:ascii="Times New Roman" w:hAnsi="Times New Roman" w:cs="Times New Roman"/>
          <w:sz w:val="24"/>
          <w:szCs w:val="24"/>
        </w:rPr>
        <w:t>.</w:t>
      </w:r>
    </w:p>
    <w:p w:rsidR="00000D67" w:rsidRDefault="00000D67" w:rsidP="00A6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D2F8B" w:rsidRPr="0025673F" w:rsidRDefault="008D2F8B" w:rsidP="008D2F8B">
      <w:pPr>
        <w:spacing w:after="0" w:line="360" w:lineRule="auto"/>
        <w:jc w:val="both"/>
        <w:rPr>
          <w:rFonts w:ascii="Times New Roman" w:hAnsi="Times New Roman" w:cs="Times New Roman"/>
          <w:sz w:val="24"/>
          <w:szCs w:val="24"/>
        </w:rPr>
      </w:pPr>
      <w:r>
        <w:lastRenderedPageBreak/>
        <w:tab/>
      </w:r>
      <w:r w:rsidRPr="0025673F">
        <w:rPr>
          <w:rFonts w:ascii="Times New Roman" w:hAnsi="Times New Roman" w:cs="Times New Roman"/>
          <w:sz w:val="24"/>
          <w:szCs w:val="24"/>
        </w:rPr>
        <w:t>The claimants lie in between their teeth. They allege that they lease the judgment debtor’s premise</w:t>
      </w:r>
      <w:r w:rsidR="00C95268">
        <w:rPr>
          <w:rFonts w:ascii="Times New Roman" w:hAnsi="Times New Roman" w:cs="Times New Roman"/>
          <w:sz w:val="24"/>
          <w:szCs w:val="24"/>
        </w:rPr>
        <w:t>s</w:t>
      </w:r>
      <w:r w:rsidRPr="0025673F">
        <w:rPr>
          <w:rFonts w:ascii="Times New Roman" w:hAnsi="Times New Roman" w:cs="Times New Roman"/>
          <w:sz w:val="24"/>
          <w:szCs w:val="24"/>
        </w:rPr>
        <w:t xml:space="preserve"> from which the Sheriff attached the </w:t>
      </w:r>
      <w:r w:rsidR="00093033">
        <w:rPr>
          <w:rFonts w:ascii="Times New Roman" w:hAnsi="Times New Roman" w:cs="Times New Roman"/>
          <w:sz w:val="24"/>
          <w:szCs w:val="24"/>
        </w:rPr>
        <w:t>cars</w:t>
      </w:r>
      <w:r w:rsidRPr="0025673F">
        <w:rPr>
          <w:rFonts w:ascii="Times New Roman" w:hAnsi="Times New Roman" w:cs="Times New Roman"/>
          <w:sz w:val="24"/>
          <w:szCs w:val="24"/>
        </w:rPr>
        <w:t xml:space="preserve"> and other movable goods. They attach to their re</w:t>
      </w:r>
      <w:r>
        <w:rPr>
          <w:rFonts w:ascii="Times New Roman" w:hAnsi="Times New Roman" w:cs="Times New Roman"/>
          <w:sz w:val="24"/>
          <w:szCs w:val="24"/>
        </w:rPr>
        <w:t>spective claims</w:t>
      </w:r>
      <w:r w:rsidRPr="0025673F">
        <w:rPr>
          <w:rFonts w:ascii="Times New Roman" w:hAnsi="Times New Roman" w:cs="Times New Roman"/>
          <w:sz w:val="24"/>
          <w:szCs w:val="24"/>
        </w:rPr>
        <w:t xml:space="preserve"> annexures F and G. They state that the annexures show the </w:t>
      </w:r>
      <w:r>
        <w:rPr>
          <w:rFonts w:ascii="Times New Roman" w:hAnsi="Times New Roman" w:cs="Times New Roman"/>
          <w:sz w:val="24"/>
          <w:szCs w:val="24"/>
        </w:rPr>
        <w:t xml:space="preserve">lease </w:t>
      </w:r>
      <w:r w:rsidRPr="0025673F">
        <w:rPr>
          <w:rFonts w:ascii="Times New Roman" w:hAnsi="Times New Roman" w:cs="Times New Roman"/>
          <w:sz w:val="24"/>
          <w:szCs w:val="24"/>
        </w:rPr>
        <w:t>which each of them conc</w:t>
      </w:r>
      <w:r>
        <w:rPr>
          <w:rFonts w:ascii="Times New Roman" w:hAnsi="Times New Roman" w:cs="Times New Roman"/>
          <w:sz w:val="24"/>
          <w:szCs w:val="24"/>
        </w:rPr>
        <w:t>l</w:t>
      </w:r>
      <w:r w:rsidRPr="0025673F">
        <w:rPr>
          <w:rFonts w:ascii="Times New Roman" w:hAnsi="Times New Roman" w:cs="Times New Roman"/>
          <w:sz w:val="24"/>
          <w:szCs w:val="24"/>
        </w:rPr>
        <w:t xml:space="preserve">uded </w:t>
      </w:r>
      <w:r>
        <w:rPr>
          <w:rFonts w:ascii="Times New Roman" w:hAnsi="Times New Roman" w:cs="Times New Roman"/>
          <w:sz w:val="24"/>
          <w:szCs w:val="24"/>
        </w:rPr>
        <w:t xml:space="preserve">with </w:t>
      </w:r>
      <w:r w:rsidRPr="0025673F">
        <w:rPr>
          <w:rFonts w:ascii="Times New Roman" w:hAnsi="Times New Roman" w:cs="Times New Roman"/>
          <w:sz w:val="24"/>
          <w:szCs w:val="24"/>
        </w:rPr>
        <w:t>the judgment debtor.</w:t>
      </w:r>
    </w:p>
    <w:p w:rsidR="00C95268"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t>Annexure F appears at page 19 of the record. It describes an entity which is known by th</w:t>
      </w:r>
      <w:r w:rsidR="00031A18">
        <w:rPr>
          <w:rFonts w:ascii="Times New Roman" w:hAnsi="Times New Roman" w:cs="Times New Roman"/>
          <w:sz w:val="24"/>
          <w:szCs w:val="24"/>
        </w:rPr>
        <w:t>e</w:t>
      </w:r>
      <w:r w:rsidRPr="0025673F">
        <w:rPr>
          <w:rFonts w:ascii="Times New Roman" w:hAnsi="Times New Roman" w:cs="Times New Roman"/>
          <w:sz w:val="24"/>
          <w:szCs w:val="24"/>
        </w:rPr>
        <w:t xml:space="preserve"> name Brownstone Insurance Company (</w:t>
      </w:r>
      <w:r>
        <w:rPr>
          <w:rFonts w:ascii="Times New Roman" w:hAnsi="Times New Roman" w:cs="Times New Roman"/>
          <w:sz w:val="24"/>
          <w:szCs w:val="24"/>
        </w:rPr>
        <w:t>P</w:t>
      </w:r>
      <w:r w:rsidRPr="0025673F">
        <w:rPr>
          <w:rFonts w:ascii="Times New Roman" w:hAnsi="Times New Roman" w:cs="Times New Roman"/>
          <w:sz w:val="24"/>
          <w:szCs w:val="24"/>
        </w:rPr>
        <w:t xml:space="preserve">vt) Ltd as the lessor and the first claimant as the lessee. Annexure </w:t>
      </w:r>
      <w:bookmarkStart w:id="0" w:name="_GoBack"/>
      <w:bookmarkEnd w:id="0"/>
      <w:r w:rsidRPr="0025673F">
        <w:rPr>
          <w:rFonts w:ascii="Times New Roman" w:hAnsi="Times New Roman" w:cs="Times New Roman"/>
          <w:sz w:val="24"/>
          <w:szCs w:val="24"/>
        </w:rPr>
        <w:t xml:space="preserve">G appears at page 36 of the record. The annexure is an agreement of lease which the first claimant concluded with Brownstone Insurance Company (Pvt) Ltd. </w:t>
      </w:r>
    </w:p>
    <w:p w:rsidR="008D2F8B" w:rsidRPr="0025673F" w:rsidRDefault="00C95268" w:rsidP="008D2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2F8B" w:rsidRPr="0025673F">
        <w:rPr>
          <w:rFonts w:ascii="Times New Roman" w:hAnsi="Times New Roman" w:cs="Times New Roman"/>
          <w:sz w:val="24"/>
          <w:szCs w:val="24"/>
        </w:rPr>
        <w:t>A number of matter</w:t>
      </w:r>
      <w:r w:rsidR="008D2F8B">
        <w:rPr>
          <w:rFonts w:ascii="Times New Roman" w:hAnsi="Times New Roman" w:cs="Times New Roman"/>
          <w:sz w:val="24"/>
          <w:szCs w:val="24"/>
        </w:rPr>
        <w:t>s</w:t>
      </w:r>
      <w:r w:rsidR="008D2F8B" w:rsidRPr="0025673F">
        <w:rPr>
          <w:rFonts w:ascii="Times New Roman" w:hAnsi="Times New Roman" w:cs="Times New Roman"/>
          <w:sz w:val="24"/>
          <w:szCs w:val="24"/>
        </w:rPr>
        <w:t xml:space="preserve"> c</w:t>
      </w:r>
      <w:r>
        <w:rPr>
          <w:rFonts w:ascii="Times New Roman" w:hAnsi="Times New Roman" w:cs="Times New Roman"/>
          <w:sz w:val="24"/>
          <w:szCs w:val="24"/>
        </w:rPr>
        <w:t>o</w:t>
      </w:r>
      <w:r w:rsidR="008D2F8B" w:rsidRPr="0025673F">
        <w:rPr>
          <w:rFonts w:ascii="Times New Roman" w:hAnsi="Times New Roman" w:cs="Times New Roman"/>
          <w:sz w:val="24"/>
          <w:szCs w:val="24"/>
        </w:rPr>
        <w:t>me out clearly from the above stated set of circumstances. These are that:</w:t>
      </w:r>
    </w:p>
    <w:p w:rsidR="008D2F8B" w:rsidRPr="0025673F" w:rsidRDefault="008D2F8B" w:rsidP="008D2F8B">
      <w:pPr>
        <w:spacing w:after="0" w:line="360" w:lineRule="auto"/>
        <w:ind w:left="1440" w:hanging="720"/>
        <w:jc w:val="both"/>
        <w:rPr>
          <w:rFonts w:ascii="Times New Roman" w:hAnsi="Times New Roman" w:cs="Times New Roman"/>
          <w:sz w:val="24"/>
          <w:szCs w:val="24"/>
        </w:rPr>
      </w:pPr>
      <w:r w:rsidRPr="0025673F">
        <w:rPr>
          <w:rFonts w:ascii="Times New Roman" w:hAnsi="Times New Roman" w:cs="Times New Roman"/>
          <w:sz w:val="24"/>
          <w:szCs w:val="24"/>
        </w:rPr>
        <w:t>(</w:t>
      </w:r>
      <w:proofErr w:type="spellStart"/>
      <w:r w:rsidRPr="0025673F">
        <w:rPr>
          <w:rFonts w:ascii="Times New Roman" w:hAnsi="Times New Roman" w:cs="Times New Roman"/>
          <w:sz w:val="24"/>
          <w:szCs w:val="24"/>
        </w:rPr>
        <w:t>i</w:t>
      </w:r>
      <w:proofErr w:type="spellEnd"/>
      <w:r w:rsidRPr="0025673F">
        <w:rPr>
          <w:rFonts w:ascii="Times New Roman" w:hAnsi="Times New Roman" w:cs="Times New Roman"/>
          <w:sz w:val="24"/>
          <w:szCs w:val="24"/>
        </w:rPr>
        <w:t>)</w:t>
      </w:r>
      <w:r w:rsidRPr="0025673F">
        <w:rPr>
          <w:rFonts w:ascii="Times New Roman" w:hAnsi="Times New Roman" w:cs="Times New Roman"/>
          <w:sz w:val="24"/>
          <w:szCs w:val="24"/>
        </w:rPr>
        <w:tab/>
      </w:r>
      <w:proofErr w:type="gramStart"/>
      <w:r w:rsidRPr="0025673F">
        <w:rPr>
          <w:rFonts w:ascii="Times New Roman" w:hAnsi="Times New Roman" w:cs="Times New Roman"/>
          <w:sz w:val="24"/>
          <w:szCs w:val="24"/>
        </w:rPr>
        <w:t>none</w:t>
      </w:r>
      <w:proofErr w:type="gramEnd"/>
      <w:r w:rsidRPr="0025673F">
        <w:rPr>
          <w:rFonts w:ascii="Times New Roman" w:hAnsi="Times New Roman" w:cs="Times New Roman"/>
          <w:sz w:val="24"/>
          <w:szCs w:val="24"/>
        </w:rPr>
        <w:t xml:space="preserve"> of the claimants concluded any lease agreement with the judgment debtor as had been alleged.</w:t>
      </w:r>
    </w:p>
    <w:p w:rsidR="008D2F8B" w:rsidRPr="0025673F" w:rsidRDefault="008D2F8B" w:rsidP="008D2F8B">
      <w:pPr>
        <w:spacing w:after="0" w:line="360" w:lineRule="auto"/>
        <w:ind w:left="1440" w:hanging="720"/>
        <w:jc w:val="both"/>
        <w:rPr>
          <w:rFonts w:ascii="Times New Roman" w:hAnsi="Times New Roman" w:cs="Times New Roman"/>
          <w:sz w:val="24"/>
          <w:szCs w:val="24"/>
        </w:rPr>
      </w:pPr>
      <w:r w:rsidRPr="0025673F">
        <w:rPr>
          <w:rFonts w:ascii="Times New Roman" w:hAnsi="Times New Roman" w:cs="Times New Roman"/>
          <w:sz w:val="24"/>
          <w:szCs w:val="24"/>
        </w:rPr>
        <w:t>(ii)</w:t>
      </w:r>
      <w:r w:rsidRPr="0025673F">
        <w:rPr>
          <w:rFonts w:ascii="Times New Roman" w:hAnsi="Times New Roman" w:cs="Times New Roman"/>
          <w:sz w:val="24"/>
          <w:szCs w:val="24"/>
        </w:rPr>
        <w:tab/>
        <w:t xml:space="preserve">Brownstone </w:t>
      </w:r>
      <w:r>
        <w:rPr>
          <w:rFonts w:ascii="Times New Roman" w:hAnsi="Times New Roman" w:cs="Times New Roman"/>
          <w:sz w:val="24"/>
          <w:szCs w:val="24"/>
        </w:rPr>
        <w:t>I</w:t>
      </w:r>
      <w:r w:rsidRPr="0025673F">
        <w:rPr>
          <w:rFonts w:ascii="Times New Roman" w:hAnsi="Times New Roman" w:cs="Times New Roman"/>
          <w:sz w:val="24"/>
          <w:szCs w:val="24"/>
        </w:rPr>
        <w:t xml:space="preserve">nsurance Company (Pvt) Ltd which concluded a lease agreement with the first claimant is separate and distinct from </w:t>
      </w:r>
      <w:proofErr w:type="spellStart"/>
      <w:r w:rsidRPr="0025673F">
        <w:rPr>
          <w:rFonts w:ascii="Times New Roman" w:hAnsi="Times New Roman" w:cs="Times New Roman"/>
          <w:sz w:val="24"/>
          <w:szCs w:val="24"/>
        </w:rPr>
        <w:t>Eleco</w:t>
      </w:r>
      <w:proofErr w:type="spellEnd"/>
      <w:r w:rsidRPr="0025673F">
        <w:rPr>
          <w:rFonts w:ascii="Times New Roman" w:hAnsi="Times New Roman" w:cs="Times New Roman"/>
          <w:sz w:val="24"/>
          <w:szCs w:val="24"/>
        </w:rPr>
        <w:t xml:space="preserve"> Elevator Company (Pvt) Ltd which is the judgment debtor under HC 7046/14;</w:t>
      </w:r>
    </w:p>
    <w:p w:rsidR="008D2F8B" w:rsidRPr="0025673F" w:rsidRDefault="008D2F8B" w:rsidP="008D2F8B">
      <w:pPr>
        <w:spacing w:after="0" w:line="360" w:lineRule="auto"/>
        <w:ind w:left="1440" w:hanging="720"/>
        <w:jc w:val="both"/>
        <w:rPr>
          <w:rFonts w:ascii="Times New Roman" w:hAnsi="Times New Roman" w:cs="Times New Roman"/>
          <w:sz w:val="24"/>
          <w:szCs w:val="24"/>
        </w:rPr>
      </w:pPr>
      <w:r w:rsidRPr="0025673F">
        <w:rPr>
          <w:rFonts w:ascii="Times New Roman" w:hAnsi="Times New Roman" w:cs="Times New Roman"/>
          <w:sz w:val="24"/>
          <w:szCs w:val="24"/>
        </w:rPr>
        <w:t>(iii)</w:t>
      </w:r>
      <w:r w:rsidRPr="0025673F">
        <w:rPr>
          <w:rFonts w:ascii="Times New Roman" w:hAnsi="Times New Roman" w:cs="Times New Roman"/>
          <w:sz w:val="24"/>
          <w:szCs w:val="24"/>
        </w:rPr>
        <w:tab/>
      </w:r>
      <w:proofErr w:type="gramStart"/>
      <w:r w:rsidRPr="0025673F">
        <w:rPr>
          <w:rFonts w:ascii="Times New Roman" w:hAnsi="Times New Roman" w:cs="Times New Roman"/>
          <w:sz w:val="24"/>
          <w:szCs w:val="24"/>
        </w:rPr>
        <w:t>the</w:t>
      </w:r>
      <w:proofErr w:type="gramEnd"/>
      <w:r w:rsidRPr="0025673F">
        <w:rPr>
          <w:rFonts w:ascii="Times New Roman" w:hAnsi="Times New Roman" w:cs="Times New Roman"/>
          <w:sz w:val="24"/>
          <w:szCs w:val="24"/>
        </w:rPr>
        <w:t xml:space="preserve"> first claimant concluded two lease agreement</w:t>
      </w:r>
      <w:r>
        <w:rPr>
          <w:rFonts w:ascii="Times New Roman" w:hAnsi="Times New Roman" w:cs="Times New Roman"/>
          <w:sz w:val="24"/>
          <w:szCs w:val="24"/>
        </w:rPr>
        <w:t>s</w:t>
      </w:r>
      <w:r w:rsidRPr="0025673F">
        <w:rPr>
          <w:rFonts w:ascii="Times New Roman" w:hAnsi="Times New Roman" w:cs="Times New Roman"/>
          <w:sz w:val="24"/>
          <w:szCs w:val="24"/>
        </w:rPr>
        <w:t xml:space="preserve"> with Brownstone Insurance Company (Pvt) Ltd</w:t>
      </w:r>
    </w:p>
    <w:p w:rsidR="008D2F8B" w:rsidRPr="0025673F" w:rsidRDefault="008D2F8B" w:rsidP="008D2F8B">
      <w:pPr>
        <w:spacing w:after="0" w:line="360" w:lineRule="auto"/>
        <w:ind w:left="1440" w:hanging="720"/>
        <w:jc w:val="both"/>
        <w:rPr>
          <w:rFonts w:ascii="Times New Roman" w:hAnsi="Times New Roman" w:cs="Times New Roman"/>
          <w:sz w:val="24"/>
          <w:szCs w:val="24"/>
        </w:rPr>
      </w:pPr>
      <w:r w:rsidRPr="0025673F">
        <w:rPr>
          <w:rFonts w:ascii="Times New Roman" w:hAnsi="Times New Roman" w:cs="Times New Roman"/>
          <w:sz w:val="24"/>
          <w:szCs w:val="24"/>
        </w:rPr>
        <w:t>(iv)</w:t>
      </w:r>
      <w:r w:rsidRPr="0025673F">
        <w:rPr>
          <w:rFonts w:ascii="Times New Roman" w:hAnsi="Times New Roman" w:cs="Times New Roman"/>
          <w:sz w:val="24"/>
          <w:szCs w:val="24"/>
        </w:rPr>
        <w:tab/>
      </w:r>
      <w:proofErr w:type="gramStart"/>
      <w:r w:rsidR="00FA65FF">
        <w:rPr>
          <w:rFonts w:ascii="Times New Roman" w:hAnsi="Times New Roman" w:cs="Times New Roman"/>
          <w:sz w:val="24"/>
          <w:szCs w:val="24"/>
        </w:rPr>
        <w:t>a</w:t>
      </w:r>
      <w:r w:rsidRPr="0025673F">
        <w:rPr>
          <w:rFonts w:ascii="Times New Roman" w:hAnsi="Times New Roman" w:cs="Times New Roman"/>
          <w:sz w:val="24"/>
          <w:szCs w:val="24"/>
        </w:rPr>
        <w:t>nnexure</w:t>
      </w:r>
      <w:r w:rsidR="00C95268">
        <w:rPr>
          <w:rFonts w:ascii="Times New Roman" w:hAnsi="Times New Roman" w:cs="Times New Roman"/>
          <w:sz w:val="24"/>
          <w:szCs w:val="24"/>
        </w:rPr>
        <w:t>s</w:t>
      </w:r>
      <w:proofErr w:type="gramEnd"/>
      <w:r w:rsidRPr="0025673F">
        <w:rPr>
          <w:rFonts w:ascii="Times New Roman" w:hAnsi="Times New Roman" w:cs="Times New Roman"/>
          <w:sz w:val="24"/>
          <w:szCs w:val="24"/>
        </w:rPr>
        <w:t xml:space="preserve"> F and </w:t>
      </w:r>
      <w:r>
        <w:rPr>
          <w:rFonts w:ascii="Times New Roman" w:hAnsi="Times New Roman" w:cs="Times New Roman"/>
          <w:sz w:val="24"/>
          <w:szCs w:val="24"/>
        </w:rPr>
        <w:t>G</w:t>
      </w:r>
      <w:r w:rsidRPr="0025673F">
        <w:rPr>
          <w:rFonts w:ascii="Times New Roman" w:hAnsi="Times New Roman" w:cs="Times New Roman"/>
          <w:sz w:val="24"/>
          <w:szCs w:val="24"/>
        </w:rPr>
        <w:t xml:space="preserve"> are not two separate agreement</w:t>
      </w:r>
      <w:r w:rsidR="00C95268">
        <w:rPr>
          <w:rFonts w:ascii="Times New Roman" w:hAnsi="Times New Roman" w:cs="Times New Roman"/>
          <w:sz w:val="24"/>
          <w:szCs w:val="24"/>
        </w:rPr>
        <w:t>s</w:t>
      </w:r>
      <w:r w:rsidRPr="0025673F">
        <w:rPr>
          <w:rFonts w:ascii="Times New Roman" w:hAnsi="Times New Roman" w:cs="Times New Roman"/>
          <w:sz w:val="24"/>
          <w:szCs w:val="24"/>
        </w:rPr>
        <w:t xml:space="preserve"> of lease. They are one and the same agreement which the first claimant concluded with Brownstone Insurance Company on 17 January 2017.</w:t>
      </w:r>
    </w:p>
    <w:p w:rsidR="008D2F8B" w:rsidRPr="0025673F" w:rsidRDefault="008D2F8B" w:rsidP="008D2F8B">
      <w:pPr>
        <w:spacing w:after="0" w:line="360" w:lineRule="auto"/>
        <w:ind w:left="1440" w:hanging="720"/>
        <w:jc w:val="both"/>
        <w:rPr>
          <w:rFonts w:ascii="Times New Roman" w:hAnsi="Times New Roman" w:cs="Times New Roman"/>
          <w:sz w:val="24"/>
          <w:szCs w:val="24"/>
        </w:rPr>
      </w:pPr>
      <w:r w:rsidRPr="0025673F">
        <w:rPr>
          <w:rFonts w:ascii="Times New Roman" w:hAnsi="Times New Roman" w:cs="Times New Roman"/>
          <w:sz w:val="24"/>
          <w:szCs w:val="24"/>
        </w:rPr>
        <w:t>(v)</w:t>
      </w:r>
      <w:r w:rsidRPr="0025673F">
        <w:rPr>
          <w:rFonts w:ascii="Times New Roman" w:hAnsi="Times New Roman" w:cs="Times New Roman"/>
          <w:sz w:val="24"/>
          <w:szCs w:val="24"/>
        </w:rPr>
        <w:tab/>
      </w:r>
      <w:proofErr w:type="gramStart"/>
      <w:r w:rsidRPr="0025673F">
        <w:rPr>
          <w:rFonts w:ascii="Times New Roman" w:hAnsi="Times New Roman" w:cs="Times New Roman"/>
          <w:sz w:val="24"/>
          <w:szCs w:val="24"/>
        </w:rPr>
        <w:t>the</w:t>
      </w:r>
      <w:proofErr w:type="gramEnd"/>
      <w:r w:rsidRPr="0025673F">
        <w:rPr>
          <w:rFonts w:ascii="Times New Roman" w:hAnsi="Times New Roman" w:cs="Times New Roman"/>
          <w:sz w:val="24"/>
          <w:szCs w:val="24"/>
        </w:rPr>
        <w:t xml:space="preserve"> second clai</w:t>
      </w:r>
      <w:r>
        <w:rPr>
          <w:rFonts w:ascii="Times New Roman" w:hAnsi="Times New Roman" w:cs="Times New Roman"/>
          <w:sz w:val="24"/>
          <w:szCs w:val="24"/>
        </w:rPr>
        <w:t>m</w:t>
      </w:r>
      <w:r w:rsidRPr="0025673F">
        <w:rPr>
          <w:rFonts w:ascii="Times New Roman" w:hAnsi="Times New Roman" w:cs="Times New Roman"/>
          <w:sz w:val="24"/>
          <w:szCs w:val="24"/>
        </w:rPr>
        <w:t>ant did not ever sign any lease agreement with Brownstone Insurance Company (Pvt) Ltd</w:t>
      </w:r>
      <w:r w:rsidR="00C95268">
        <w:rPr>
          <w:rFonts w:ascii="Times New Roman" w:hAnsi="Times New Roman" w:cs="Times New Roman"/>
          <w:sz w:val="24"/>
          <w:szCs w:val="24"/>
        </w:rPr>
        <w:t xml:space="preserve"> – a</w:t>
      </w:r>
      <w:r w:rsidRPr="0025673F">
        <w:rPr>
          <w:rFonts w:ascii="Times New Roman" w:hAnsi="Times New Roman" w:cs="Times New Roman"/>
          <w:sz w:val="24"/>
          <w:szCs w:val="24"/>
        </w:rPr>
        <w:t>nd</w:t>
      </w:r>
    </w:p>
    <w:p w:rsidR="008D2F8B" w:rsidRPr="0025673F" w:rsidRDefault="008D2F8B" w:rsidP="008D2F8B">
      <w:pPr>
        <w:spacing w:after="0" w:line="360" w:lineRule="auto"/>
        <w:ind w:left="1440" w:hanging="720"/>
        <w:jc w:val="both"/>
        <w:rPr>
          <w:rFonts w:ascii="Times New Roman" w:hAnsi="Times New Roman" w:cs="Times New Roman"/>
          <w:sz w:val="24"/>
          <w:szCs w:val="24"/>
        </w:rPr>
      </w:pPr>
      <w:r w:rsidRPr="0025673F">
        <w:rPr>
          <w:rFonts w:ascii="Times New Roman" w:hAnsi="Times New Roman" w:cs="Times New Roman"/>
          <w:sz w:val="24"/>
          <w:szCs w:val="24"/>
        </w:rPr>
        <w:t>(vi)</w:t>
      </w:r>
      <w:r w:rsidRPr="0025673F">
        <w:rPr>
          <w:rFonts w:ascii="Times New Roman" w:hAnsi="Times New Roman" w:cs="Times New Roman"/>
          <w:sz w:val="24"/>
          <w:szCs w:val="24"/>
        </w:rPr>
        <w:tab/>
      </w:r>
      <w:proofErr w:type="gramStart"/>
      <w:r w:rsidR="00FA65FF">
        <w:rPr>
          <w:rFonts w:ascii="Times New Roman" w:hAnsi="Times New Roman" w:cs="Times New Roman"/>
          <w:sz w:val="24"/>
          <w:szCs w:val="24"/>
        </w:rPr>
        <w:t>a</w:t>
      </w:r>
      <w:r w:rsidRPr="0025673F">
        <w:rPr>
          <w:rFonts w:ascii="Times New Roman" w:hAnsi="Times New Roman" w:cs="Times New Roman"/>
          <w:sz w:val="24"/>
          <w:szCs w:val="24"/>
        </w:rPr>
        <w:t>nnexure</w:t>
      </w:r>
      <w:proofErr w:type="gramEnd"/>
      <w:r w:rsidRPr="0025673F">
        <w:rPr>
          <w:rFonts w:ascii="Times New Roman" w:hAnsi="Times New Roman" w:cs="Times New Roman"/>
          <w:sz w:val="24"/>
          <w:szCs w:val="24"/>
        </w:rPr>
        <w:t xml:space="preserve"> G, therefore, t</w:t>
      </w:r>
      <w:r w:rsidR="00C95268">
        <w:rPr>
          <w:rFonts w:ascii="Times New Roman" w:hAnsi="Times New Roman" w:cs="Times New Roman"/>
          <w:sz w:val="24"/>
          <w:szCs w:val="24"/>
        </w:rPr>
        <w:t>ells</w:t>
      </w:r>
      <w:r w:rsidRPr="0025673F">
        <w:rPr>
          <w:rFonts w:ascii="Times New Roman" w:hAnsi="Times New Roman" w:cs="Times New Roman"/>
          <w:sz w:val="24"/>
          <w:szCs w:val="24"/>
        </w:rPr>
        <w:t xml:space="preserve"> a lie about itself because it is not</w:t>
      </w:r>
      <w:r w:rsidR="00C95268">
        <w:rPr>
          <w:rFonts w:ascii="Times New Roman" w:hAnsi="Times New Roman" w:cs="Times New Roman"/>
          <w:sz w:val="24"/>
          <w:szCs w:val="24"/>
        </w:rPr>
        <w:t>,</w:t>
      </w:r>
      <w:r w:rsidRPr="0025673F">
        <w:rPr>
          <w:rFonts w:ascii="Times New Roman" w:hAnsi="Times New Roman" w:cs="Times New Roman"/>
          <w:sz w:val="24"/>
          <w:szCs w:val="24"/>
        </w:rPr>
        <w:t xml:space="preserve"> in any way, different from Annexure F.</w:t>
      </w:r>
    </w:p>
    <w:p w:rsidR="008D2F8B" w:rsidRPr="0025673F"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t xml:space="preserve">The claimants’ statement which is to the effect that they are leasing the judgment debtor’s premises does not reflect the correct position of the matter. They are leasing the premises of Brownstone Insurance Company (Pvt) Ltd. The second claimant’s production of annexure G shows the </w:t>
      </w:r>
      <w:r w:rsidRPr="00D236AF">
        <w:rPr>
          <w:rFonts w:ascii="Times New Roman" w:hAnsi="Times New Roman" w:cs="Times New Roman"/>
          <w:i/>
          <w:sz w:val="24"/>
          <w:szCs w:val="24"/>
        </w:rPr>
        <w:t>mala fides</w:t>
      </w:r>
      <w:r w:rsidRPr="0025673F">
        <w:rPr>
          <w:rFonts w:ascii="Times New Roman" w:hAnsi="Times New Roman" w:cs="Times New Roman"/>
          <w:sz w:val="24"/>
          <w:szCs w:val="24"/>
        </w:rPr>
        <w:t xml:space="preserve"> of the claimants. It shows their determination to </w:t>
      </w:r>
      <w:r w:rsidR="00C95268">
        <w:rPr>
          <w:rFonts w:ascii="Times New Roman" w:hAnsi="Times New Roman" w:cs="Times New Roman"/>
          <w:sz w:val="24"/>
          <w:szCs w:val="24"/>
        </w:rPr>
        <w:t>pull</w:t>
      </w:r>
      <w:r w:rsidRPr="0025673F">
        <w:rPr>
          <w:rFonts w:ascii="Times New Roman" w:hAnsi="Times New Roman" w:cs="Times New Roman"/>
          <w:sz w:val="24"/>
          <w:szCs w:val="24"/>
        </w:rPr>
        <w:t xml:space="preserve"> wool over the eyes of the court in the vein hope that their unwholesome conduct would remain undetected.</w:t>
      </w:r>
    </w:p>
    <w:p w:rsidR="008D2F8B" w:rsidRPr="0025673F"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t>The fact that the legal practitioners of the judgment debtor are also the legal practit</w:t>
      </w:r>
      <w:r>
        <w:rPr>
          <w:rFonts w:ascii="Times New Roman" w:hAnsi="Times New Roman" w:cs="Times New Roman"/>
          <w:sz w:val="24"/>
          <w:szCs w:val="24"/>
        </w:rPr>
        <w:t>i</w:t>
      </w:r>
      <w:r w:rsidRPr="0025673F">
        <w:rPr>
          <w:rFonts w:ascii="Times New Roman" w:hAnsi="Times New Roman" w:cs="Times New Roman"/>
          <w:sz w:val="24"/>
          <w:szCs w:val="24"/>
        </w:rPr>
        <w:t xml:space="preserve">oners of the two claimants shows, in clear terms, evidence of collusion between the </w:t>
      </w:r>
      <w:r w:rsidRPr="0025673F">
        <w:rPr>
          <w:rFonts w:ascii="Times New Roman" w:hAnsi="Times New Roman" w:cs="Times New Roman"/>
          <w:sz w:val="24"/>
          <w:szCs w:val="24"/>
        </w:rPr>
        <w:lastRenderedPageBreak/>
        <w:t>judgment debtor and the claimants. The letter which the judgment debtor’s legal practitioners addressed to the legal practitioners of the judgment creditor constitutes ample evidence of the stated matter. It is dated 29 November, 2017</w:t>
      </w:r>
      <w:r w:rsidR="00C95268">
        <w:rPr>
          <w:rFonts w:ascii="Times New Roman" w:hAnsi="Times New Roman" w:cs="Times New Roman"/>
          <w:sz w:val="24"/>
          <w:szCs w:val="24"/>
        </w:rPr>
        <w:t>. I</w:t>
      </w:r>
      <w:r w:rsidR="00093033" w:rsidRPr="0025673F">
        <w:rPr>
          <w:rFonts w:ascii="Times New Roman" w:hAnsi="Times New Roman" w:cs="Times New Roman"/>
          <w:sz w:val="24"/>
          <w:szCs w:val="24"/>
        </w:rPr>
        <w:t>t</w:t>
      </w:r>
      <w:r w:rsidRPr="0025673F">
        <w:rPr>
          <w:rFonts w:ascii="Times New Roman" w:hAnsi="Times New Roman" w:cs="Times New Roman"/>
          <w:sz w:val="24"/>
          <w:szCs w:val="24"/>
        </w:rPr>
        <w:t xml:space="preserve"> reads</w:t>
      </w:r>
      <w:r w:rsidR="00031A18">
        <w:rPr>
          <w:rFonts w:ascii="Times New Roman" w:hAnsi="Times New Roman" w:cs="Times New Roman"/>
          <w:sz w:val="24"/>
          <w:szCs w:val="24"/>
        </w:rPr>
        <w:t>,</w:t>
      </w:r>
      <w:r w:rsidRPr="0025673F">
        <w:rPr>
          <w:rFonts w:ascii="Times New Roman" w:hAnsi="Times New Roman" w:cs="Times New Roman"/>
          <w:sz w:val="24"/>
          <w:szCs w:val="24"/>
        </w:rPr>
        <w:t xml:space="preserve"> in the relevant part, as follows:</w:t>
      </w:r>
    </w:p>
    <w:p w:rsidR="008D2F8B" w:rsidRPr="0025673F"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t xml:space="preserve">“… </w:t>
      </w:r>
      <w:proofErr w:type="gramStart"/>
      <w:r w:rsidRPr="0025673F">
        <w:rPr>
          <w:rFonts w:ascii="Times New Roman" w:hAnsi="Times New Roman" w:cs="Times New Roman"/>
          <w:sz w:val="24"/>
          <w:szCs w:val="24"/>
        </w:rPr>
        <w:t>we</w:t>
      </w:r>
      <w:proofErr w:type="gramEnd"/>
      <w:r w:rsidRPr="0025673F">
        <w:rPr>
          <w:rFonts w:ascii="Times New Roman" w:hAnsi="Times New Roman" w:cs="Times New Roman"/>
          <w:sz w:val="24"/>
          <w:szCs w:val="24"/>
        </w:rPr>
        <w:t xml:space="preserve"> act for </w:t>
      </w:r>
      <w:proofErr w:type="spellStart"/>
      <w:r w:rsidRPr="0025673F">
        <w:rPr>
          <w:rFonts w:ascii="Times New Roman" w:hAnsi="Times New Roman" w:cs="Times New Roman"/>
          <w:sz w:val="24"/>
          <w:szCs w:val="24"/>
        </w:rPr>
        <w:t>Eleco</w:t>
      </w:r>
      <w:proofErr w:type="spellEnd"/>
      <w:r w:rsidRPr="0025673F">
        <w:rPr>
          <w:rFonts w:ascii="Times New Roman" w:hAnsi="Times New Roman" w:cs="Times New Roman"/>
          <w:sz w:val="24"/>
          <w:szCs w:val="24"/>
        </w:rPr>
        <w:t xml:space="preserve"> </w:t>
      </w:r>
      <w:proofErr w:type="spellStart"/>
      <w:r w:rsidRPr="0025673F">
        <w:rPr>
          <w:rFonts w:ascii="Times New Roman" w:hAnsi="Times New Roman" w:cs="Times New Roman"/>
          <w:sz w:val="24"/>
          <w:szCs w:val="24"/>
        </w:rPr>
        <w:t>Elevotor</w:t>
      </w:r>
      <w:proofErr w:type="spellEnd"/>
      <w:r w:rsidRPr="0025673F">
        <w:rPr>
          <w:rFonts w:ascii="Times New Roman" w:hAnsi="Times New Roman" w:cs="Times New Roman"/>
          <w:sz w:val="24"/>
          <w:szCs w:val="24"/>
        </w:rPr>
        <w:t xml:space="preserve"> Company (Pvt) Ltd in this matter” (See page 90 of the record)</w:t>
      </w:r>
      <w:r w:rsidR="00093033">
        <w:rPr>
          <w:rFonts w:ascii="Times New Roman" w:hAnsi="Times New Roman" w:cs="Times New Roman"/>
          <w:sz w:val="24"/>
          <w:szCs w:val="24"/>
        </w:rPr>
        <w:t>.</w:t>
      </w:r>
    </w:p>
    <w:p w:rsidR="008D2F8B" w:rsidRPr="0025673F"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r>
      <w:proofErr w:type="spellStart"/>
      <w:r w:rsidRPr="0025673F">
        <w:rPr>
          <w:rFonts w:ascii="Times New Roman" w:hAnsi="Times New Roman" w:cs="Times New Roman"/>
          <w:sz w:val="24"/>
          <w:szCs w:val="24"/>
        </w:rPr>
        <w:t>Ncube</w:t>
      </w:r>
      <w:proofErr w:type="spellEnd"/>
      <w:r w:rsidRPr="0025673F">
        <w:rPr>
          <w:rFonts w:ascii="Times New Roman" w:hAnsi="Times New Roman" w:cs="Times New Roman"/>
          <w:sz w:val="24"/>
          <w:szCs w:val="24"/>
        </w:rPr>
        <w:t xml:space="preserve"> a</w:t>
      </w:r>
      <w:r>
        <w:rPr>
          <w:rFonts w:ascii="Times New Roman" w:hAnsi="Times New Roman" w:cs="Times New Roman"/>
          <w:sz w:val="24"/>
          <w:szCs w:val="24"/>
        </w:rPr>
        <w:t>n</w:t>
      </w:r>
      <w:r w:rsidRPr="0025673F">
        <w:rPr>
          <w:rFonts w:ascii="Times New Roman" w:hAnsi="Times New Roman" w:cs="Times New Roman"/>
          <w:sz w:val="24"/>
          <w:szCs w:val="24"/>
        </w:rPr>
        <w:t xml:space="preserve">d </w:t>
      </w:r>
      <w:r>
        <w:rPr>
          <w:rFonts w:ascii="Times New Roman" w:hAnsi="Times New Roman" w:cs="Times New Roman"/>
          <w:sz w:val="24"/>
          <w:szCs w:val="24"/>
        </w:rPr>
        <w:t>A</w:t>
      </w:r>
      <w:r w:rsidRPr="0025673F">
        <w:rPr>
          <w:rFonts w:ascii="Times New Roman" w:hAnsi="Times New Roman" w:cs="Times New Roman"/>
          <w:sz w:val="24"/>
          <w:szCs w:val="24"/>
        </w:rPr>
        <w:t>ssociates who are the clai</w:t>
      </w:r>
      <w:r>
        <w:rPr>
          <w:rFonts w:ascii="Times New Roman" w:hAnsi="Times New Roman" w:cs="Times New Roman"/>
          <w:sz w:val="24"/>
          <w:szCs w:val="24"/>
        </w:rPr>
        <w:t>m</w:t>
      </w:r>
      <w:r w:rsidRPr="0025673F">
        <w:rPr>
          <w:rFonts w:ascii="Times New Roman" w:hAnsi="Times New Roman" w:cs="Times New Roman"/>
          <w:sz w:val="24"/>
          <w:szCs w:val="24"/>
        </w:rPr>
        <w:t xml:space="preserve">ants’ legal practitioners wrote the letter. The same firm of legal practitioners prepared and filed the claimants’ notice of opposition as well as the </w:t>
      </w:r>
      <w:r w:rsidR="00FA65FF" w:rsidRPr="0025673F">
        <w:rPr>
          <w:rFonts w:ascii="Times New Roman" w:hAnsi="Times New Roman" w:cs="Times New Roman"/>
          <w:sz w:val="24"/>
          <w:szCs w:val="24"/>
        </w:rPr>
        <w:t>l</w:t>
      </w:r>
      <w:r w:rsidR="00FA65FF">
        <w:rPr>
          <w:rFonts w:ascii="Times New Roman" w:hAnsi="Times New Roman" w:cs="Times New Roman"/>
          <w:sz w:val="24"/>
          <w:szCs w:val="24"/>
        </w:rPr>
        <w:t>a</w:t>
      </w:r>
      <w:r w:rsidR="00FA65FF" w:rsidRPr="0025673F">
        <w:rPr>
          <w:rFonts w:ascii="Times New Roman" w:hAnsi="Times New Roman" w:cs="Times New Roman"/>
          <w:sz w:val="24"/>
          <w:szCs w:val="24"/>
        </w:rPr>
        <w:t>t</w:t>
      </w:r>
      <w:r w:rsidR="00FA65FF">
        <w:rPr>
          <w:rFonts w:ascii="Times New Roman" w:hAnsi="Times New Roman" w:cs="Times New Roman"/>
          <w:sz w:val="24"/>
          <w:szCs w:val="24"/>
        </w:rPr>
        <w:t>t</w:t>
      </w:r>
      <w:r w:rsidR="00FA65FF" w:rsidRPr="0025673F">
        <w:rPr>
          <w:rFonts w:ascii="Times New Roman" w:hAnsi="Times New Roman" w:cs="Times New Roman"/>
          <w:sz w:val="24"/>
          <w:szCs w:val="24"/>
        </w:rPr>
        <w:t>er’s</w:t>
      </w:r>
      <w:r w:rsidRPr="0025673F">
        <w:rPr>
          <w:rFonts w:ascii="Times New Roman" w:hAnsi="Times New Roman" w:cs="Times New Roman"/>
          <w:sz w:val="24"/>
          <w:szCs w:val="24"/>
        </w:rPr>
        <w:t xml:space="preserve"> answering affidavits</w:t>
      </w:r>
      <w:r w:rsidR="00C95268">
        <w:rPr>
          <w:rFonts w:ascii="Times New Roman" w:hAnsi="Times New Roman" w:cs="Times New Roman"/>
          <w:sz w:val="24"/>
          <w:szCs w:val="24"/>
        </w:rPr>
        <w:t xml:space="preserve"> and </w:t>
      </w:r>
      <w:r w:rsidR="00816D16">
        <w:rPr>
          <w:rFonts w:ascii="Times New Roman" w:hAnsi="Times New Roman" w:cs="Times New Roman"/>
          <w:sz w:val="24"/>
          <w:szCs w:val="24"/>
        </w:rPr>
        <w:t xml:space="preserve">/ </w:t>
      </w:r>
      <w:r w:rsidR="00C95268">
        <w:rPr>
          <w:rFonts w:ascii="Times New Roman" w:hAnsi="Times New Roman" w:cs="Times New Roman"/>
          <w:sz w:val="24"/>
          <w:szCs w:val="24"/>
        </w:rPr>
        <w:t xml:space="preserve">or their </w:t>
      </w:r>
      <w:r w:rsidR="00816D16">
        <w:rPr>
          <w:rFonts w:ascii="Times New Roman" w:hAnsi="Times New Roman" w:cs="Times New Roman"/>
          <w:sz w:val="24"/>
          <w:szCs w:val="24"/>
        </w:rPr>
        <w:t>H</w:t>
      </w:r>
      <w:r w:rsidR="00C95268">
        <w:rPr>
          <w:rFonts w:ascii="Times New Roman" w:hAnsi="Times New Roman" w:cs="Times New Roman"/>
          <w:sz w:val="24"/>
          <w:szCs w:val="24"/>
        </w:rPr>
        <w:t>eads of argument</w:t>
      </w:r>
      <w:r w:rsidRPr="0025673F">
        <w:rPr>
          <w:rFonts w:ascii="Times New Roman" w:hAnsi="Times New Roman" w:cs="Times New Roman"/>
          <w:sz w:val="24"/>
          <w:szCs w:val="24"/>
        </w:rPr>
        <w:t>.</w:t>
      </w:r>
    </w:p>
    <w:p w:rsidR="008D2F8B" w:rsidRPr="0025673F"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t>The claimants confirm th</w:t>
      </w:r>
      <w:r>
        <w:rPr>
          <w:rFonts w:ascii="Times New Roman" w:hAnsi="Times New Roman" w:cs="Times New Roman"/>
          <w:sz w:val="24"/>
          <w:szCs w:val="24"/>
        </w:rPr>
        <w:t>e</w:t>
      </w:r>
      <w:r w:rsidRPr="0025673F">
        <w:rPr>
          <w:rFonts w:ascii="Times New Roman" w:hAnsi="Times New Roman" w:cs="Times New Roman"/>
          <w:sz w:val="24"/>
          <w:szCs w:val="24"/>
        </w:rPr>
        <w:t xml:space="preserve"> above stated position. They </w:t>
      </w:r>
      <w:r w:rsidR="00093033">
        <w:rPr>
          <w:rFonts w:ascii="Times New Roman" w:hAnsi="Times New Roman" w:cs="Times New Roman"/>
          <w:sz w:val="24"/>
          <w:szCs w:val="24"/>
        </w:rPr>
        <w:t>submit</w:t>
      </w:r>
      <w:r w:rsidRPr="0025673F">
        <w:rPr>
          <w:rFonts w:ascii="Times New Roman" w:hAnsi="Times New Roman" w:cs="Times New Roman"/>
          <w:sz w:val="24"/>
          <w:szCs w:val="24"/>
        </w:rPr>
        <w:t xml:space="preserve"> tha</w:t>
      </w:r>
      <w:r>
        <w:rPr>
          <w:rFonts w:ascii="Times New Roman" w:hAnsi="Times New Roman" w:cs="Times New Roman"/>
          <w:sz w:val="24"/>
          <w:szCs w:val="24"/>
        </w:rPr>
        <w:t>t</w:t>
      </w:r>
      <w:r w:rsidRPr="0025673F">
        <w:rPr>
          <w:rFonts w:ascii="Times New Roman" w:hAnsi="Times New Roman" w:cs="Times New Roman"/>
          <w:sz w:val="24"/>
          <w:szCs w:val="24"/>
        </w:rPr>
        <w:t xml:space="preserve"> no law prevents them from working with legal practitioners who represent the judgment debtor. They move the court not to dr</w:t>
      </w:r>
      <w:r>
        <w:rPr>
          <w:rFonts w:ascii="Times New Roman" w:hAnsi="Times New Roman" w:cs="Times New Roman"/>
          <w:sz w:val="24"/>
          <w:szCs w:val="24"/>
        </w:rPr>
        <w:t>a</w:t>
      </w:r>
      <w:r w:rsidRPr="0025673F">
        <w:rPr>
          <w:rFonts w:ascii="Times New Roman" w:hAnsi="Times New Roman" w:cs="Times New Roman"/>
          <w:sz w:val="24"/>
          <w:szCs w:val="24"/>
        </w:rPr>
        <w:t xml:space="preserve">w </w:t>
      </w:r>
      <w:r>
        <w:rPr>
          <w:rFonts w:ascii="Times New Roman" w:hAnsi="Times New Roman" w:cs="Times New Roman"/>
          <w:sz w:val="24"/>
          <w:szCs w:val="24"/>
        </w:rPr>
        <w:t>a</w:t>
      </w:r>
      <w:r w:rsidRPr="0025673F">
        <w:rPr>
          <w:rFonts w:ascii="Times New Roman" w:hAnsi="Times New Roman" w:cs="Times New Roman"/>
          <w:sz w:val="24"/>
          <w:szCs w:val="24"/>
        </w:rPr>
        <w:t>ny adverse inferences on the basis of the ob</w:t>
      </w:r>
      <w:r w:rsidR="00C95268">
        <w:rPr>
          <w:rFonts w:ascii="Times New Roman" w:hAnsi="Times New Roman" w:cs="Times New Roman"/>
          <w:sz w:val="24"/>
          <w:szCs w:val="24"/>
        </w:rPr>
        <w:t>served</w:t>
      </w:r>
      <w:r w:rsidRPr="0025673F">
        <w:rPr>
          <w:rFonts w:ascii="Times New Roman" w:hAnsi="Times New Roman" w:cs="Times New Roman"/>
          <w:sz w:val="24"/>
          <w:szCs w:val="24"/>
        </w:rPr>
        <w:t xml:space="preserve"> collusion which e</w:t>
      </w:r>
      <w:r>
        <w:rPr>
          <w:rFonts w:ascii="Times New Roman" w:hAnsi="Times New Roman" w:cs="Times New Roman"/>
          <w:sz w:val="24"/>
          <w:szCs w:val="24"/>
        </w:rPr>
        <w:t>xi</w:t>
      </w:r>
      <w:r w:rsidRPr="0025673F">
        <w:rPr>
          <w:rFonts w:ascii="Times New Roman" w:hAnsi="Times New Roman" w:cs="Times New Roman"/>
          <w:sz w:val="24"/>
          <w:szCs w:val="24"/>
        </w:rPr>
        <w:t>sts between the judgment debtor and them.</w:t>
      </w:r>
    </w:p>
    <w:p w:rsidR="008D2F8B" w:rsidRDefault="008D2F8B" w:rsidP="008D2F8B">
      <w:pPr>
        <w:spacing w:after="0" w:line="360" w:lineRule="auto"/>
        <w:jc w:val="both"/>
        <w:rPr>
          <w:rFonts w:ascii="Times New Roman" w:hAnsi="Times New Roman" w:cs="Times New Roman"/>
          <w:sz w:val="24"/>
          <w:szCs w:val="24"/>
        </w:rPr>
      </w:pPr>
      <w:r w:rsidRPr="0025673F">
        <w:rPr>
          <w:rFonts w:ascii="Times New Roman" w:hAnsi="Times New Roman" w:cs="Times New Roman"/>
          <w:sz w:val="24"/>
          <w:szCs w:val="24"/>
        </w:rPr>
        <w:tab/>
        <w:t xml:space="preserve">The claimants are, in my view, a pair of legal entities which work together with the judgment debtor with a view to defeating the judgment creditor’s right to sell the attached goods in </w:t>
      </w:r>
      <w:r w:rsidR="000D3724">
        <w:rPr>
          <w:rFonts w:ascii="Times New Roman" w:hAnsi="Times New Roman" w:cs="Times New Roman"/>
          <w:sz w:val="24"/>
          <w:szCs w:val="24"/>
        </w:rPr>
        <w:t xml:space="preserve">satisfaction </w:t>
      </w:r>
      <w:r w:rsidRPr="0025673F">
        <w:rPr>
          <w:rFonts w:ascii="Times New Roman" w:hAnsi="Times New Roman" w:cs="Times New Roman"/>
          <w:sz w:val="24"/>
          <w:szCs w:val="24"/>
        </w:rPr>
        <w:t>of its judgment. They made every effort to mislead the court at every turn. They</w:t>
      </w:r>
      <w:r w:rsidR="000D3724">
        <w:rPr>
          <w:rFonts w:ascii="Times New Roman" w:hAnsi="Times New Roman" w:cs="Times New Roman"/>
          <w:sz w:val="24"/>
          <w:szCs w:val="24"/>
        </w:rPr>
        <w:t>,</w:t>
      </w:r>
      <w:r w:rsidRPr="0025673F">
        <w:rPr>
          <w:rFonts w:ascii="Times New Roman" w:hAnsi="Times New Roman" w:cs="Times New Roman"/>
          <w:sz w:val="24"/>
          <w:szCs w:val="24"/>
        </w:rPr>
        <w:t xml:space="preserve"> unfortunately for them, overdid their trick to a po</w:t>
      </w:r>
      <w:r>
        <w:rPr>
          <w:rFonts w:ascii="Times New Roman" w:hAnsi="Times New Roman" w:cs="Times New Roman"/>
          <w:sz w:val="24"/>
          <w:szCs w:val="24"/>
        </w:rPr>
        <w:t>i</w:t>
      </w:r>
      <w:r w:rsidRPr="0025673F">
        <w:rPr>
          <w:rFonts w:ascii="Times New Roman" w:hAnsi="Times New Roman" w:cs="Times New Roman"/>
          <w:sz w:val="24"/>
          <w:szCs w:val="24"/>
        </w:rPr>
        <w:t>nt where their effort became meaningless. Their respective claims are devoid of merit. They are</w:t>
      </w:r>
      <w:r w:rsidR="000D3724">
        <w:rPr>
          <w:rFonts w:ascii="Times New Roman" w:hAnsi="Times New Roman" w:cs="Times New Roman"/>
          <w:sz w:val="24"/>
          <w:szCs w:val="24"/>
        </w:rPr>
        <w:t>,</w:t>
      </w:r>
      <w:r w:rsidRPr="0025673F">
        <w:rPr>
          <w:rFonts w:ascii="Times New Roman" w:hAnsi="Times New Roman" w:cs="Times New Roman"/>
          <w:sz w:val="24"/>
          <w:szCs w:val="24"/>
        </w:rPr>
        <w:t xml:space="preserve"> therefore, dismissed as per the alternative draft order.</w:t>
      </w:r>
    </w:p>
    <w:p w:rsidR="00E14D40" w:rsidRDefault="00E14D40" w:rsidP="008D2F8B">
      <w:pPr>
        <w:spacing w:after="0" w:line="360" w:lineRule="auto"/>
        <w:jc w:val="both"/>
        <w:rPr>
          <w:rFonts w:ascii="Times New Roman" w:hAnsi="Times New Roman" w:cs="Times New Roman"/>
          <w:sz w:val="24"/>
          <w:szCs w:val="24"/>
        </w:rPr>
      </w:pPr>
    </w:p>
    <w:p w:rsidR="00E14D40" w:rsidRDefault="00E14D40" w:rsidP="008D2F8B">
      <w:pPr>
        <w:spacing w:after="0" w:line="360" w:lineRule="auto"/>
        <w:jc w:val="both"/>
        <w:rPr>
          <w:rFonts w:ascii="Times New Roman" w:hAnsi="Times New Roman" w:cs="Times New Roman"/>
          <w:sz w:val="24"/>
          <w:szCs w:val="24"/>
        </w:rPr>
      </w:pPr>
    </w:p>
    <w:p w:rsidR="00E14D40" w:rsidRDefault="00E14D40" w:rsidP="008D2F8B">
      <w:pPr>
        <w:spacing w:after="0" w:line="360" w:lineRule="auto"/>
        <w:jc w:val="both"/>
        <w:rPr>
          <w:rFonts w:ascii="Times New Roman" w:hAnsi="Times New Roman" w:cs="Times New Roman"/>
          <w:sz w:val="24"/>
          <w:szCs w:val="24"/>
        </w:rPr>
      </w:pPr>
    </w:p>
    <w:p w:rsidR="00E14D40" w:rsidRDefault="00E14D40" w:rsidP="00E14D40">
      <w:pPr>
        <w:spacing w:after="0" w:line="240" w:lineRule="auto"/>
        <w:jc w:val="both"/>
        <w:rPr>
          <w:rFonts w:ascii="Times New Roman" w:hAnsi="Times New Roman" w:cs="Times New Roman"/>
          <w:sz w:val="24"/>
          <w:szCs w:val="24"/>
        </w:rPr>
      </w:pPr>
      <w:r w:rsidRPr="00E14D40">
        <w:rPr>
          <w:rFonts w:ascii="Times New Roman" w:hAnsi="Times New Roman" w:cs="Times New Roman"/>
          <w:i/>
          <w:sz w:val="24"/>
          <w:szCs w:val="24"/>
        </w:rPr>
        <w:t xml:space="preserve">Kantor &amp; </w:t>
      </w:r>
      <w:proofErr w:type="spellStart"/>
      <w:r w:rsidRPr="00E14D40">
        <w:rPr>
          <w:rFonts w:ascii="Times New Roman" w:hAnsi="Times New Roman" w:cs="Times New Roman"/>
          <w:i/>
          <w:sz w:val="24"/>
          <w:szCs w:val="24"/>
        </w:rPr>
        <w:t>Immerman</w:t>
      </w:r>
      <w:proofErr w:type="spellEnd"/>
      <w:r>
        <w:rPr>
          <w:rFonts w:ascii="Times New Roman" w:hAnsi="Times New Roman" w:cs="Times New Roman"/>
          <w:sz w:val="24"/>
          <w:szCs w:val="24"/>
        </w:rPr>
        <w:t>, applicant’s legal practitioners</w:t>
      </w:r>
    </w:p>
    <w:p w:rsidR="00E14D40" w:rsidRDefault="00E14D40" w:rsidP="00E14D40">
      <w:pPr>
        <w:spacing w:after="0" w:line="240" w:lineRule="auto"/>
        <w:jc w:val="both"/>
        <w:rPr>
          <w:rFonts w:ascii="Times New Roman" w:hAnsi="Times New Roman" w:cs="Times New Roman"/>
          <w:sz w:val="24"/>
          <w:szCs w:val="24"/>
        </w:rPr>
      </w:pPr>
      <w:proofErr w:type="spellStart"/>
      <w:r w:rsidRPr="00E14D40">
        <w:rPr>
          <w:rFonts w:ascii="Times New Roman" w:hAnsi="Times New Roman" w:cs="Times New Roman"/>
          <w:i/>
          <w:sz w:val="24"/>
          <w:szCs w:val="24"/>
        </w:rPr>
        <w:t>Ncube</w:t>
      </w:r>
      <w:proofErr w:type="spellEnd"/>
      <w:r w:rsidRPr="00E14D40">
        <w:rPr>
          <w:rFonts w:ascii="Times New Roman" w:hAnsi="Times New Roman" w:cs="Times New Roman"/>
          <w:i/>
          <w:sz w:val="24"/>
          <w:szCs w:val="24"/>
        </w:rPr>
        <w:t xml:space="preserve"> &amp; Associates</w:t>
      </w:r>
      <w:r>
        <w:rPr>
          <w:rFonts w:ascii="Times New Roman" w:hAnsi="Times New Roman" w:cs="Times New Roman"/>
          <w:sz w:val="24"/>
          <w:szCs w:val="24"/>
        </w:rPr>
        <w:t>, 1</w:t>
      </w:r>
      <w:r w:rsidRPr="00E14D4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14D40">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legal practitioners</w:t>
      </w:r>
    </w:p>
    <w:p w:rsidR="00E14D40" w:rsidRPr="0025673F" w:rsidRDefault="00E14D40" w:rsidP="00E14D40">
      <w:pPr>
        <w:spacing w:after="0" w:line="240" w:lineRule="auto"/>
        <w:jc w:val="both"/>
        <w:rPr>
          <w:rFonts w:ascii="Times New Roman" w:hAnsi="Times New Roman" w:cs="Times New Roman"/>
          <w:sz w:val="24"/>
          <w:szCs w:val="24"/>
        </w:rPr>
      </w:pPr>
      <w:r w:rsidRPr="00E14D40">
        <w:rPr>
          <w:rFonts w:ascii="Times New Roman" w:hAnsi="Times New Roman" w:cs="Times New Roman"/>
          <w:i/>
          <w:sz w:val="24"/>
          <w:szCs w:val="24"/>
        </w:rPr>
        <w:t xml:space="preserve">Sawyer &amp; </w:t>
      </w:r>
      <w:proofErr w:type="spellStart"/>
      <w:r w:rsidRPr="00E14D40">
        <w:rPr>
          <w:rFonts w:ascii="Times New Roman" w:hAnsi="Times New Roman" w:cs="Times New Roman"/>
          <w:i/>
          <w:sz w:val="24"/>
          <w:szCs w:val="24"/>
        </w:rPr>
        <w:t>Mkushi</w:t>
      </w:r>
      <w:proofErr w:type="spellEnd"/>
      <w:r>
        <w:rPr>
          <w:rFonts w:ascii="Times New Roman" w:hAnsi="Times New Roman" w:cs="Times New Roman"/>
          <w:sz w:val="24"/>
          <w:szCs w:val="24"/>
        </w:rPr>
        <w:t>, judgment creditor’s legal practitioners</w:t>
      </w:r>
    </w:p>
    <w:p w:rsidR="008D2F8B" w:rsidRDefault="008D2F8B" w:rsidP="00E14D40">
      <w:pPr>
        <w:spacing w:line="240" w:lineRule="auto"/>
      </w:pPr>
    </w:p>
    <w:p w:rsidR="008D2F8B" w:rsidRDefault="008D2F8B" w:rsidP="00E14D40">
      <w:pPr>
        <w:spacing w:line="240" w:lineRule="auto"/>
      </w:pPr>
    </w:p>
    <w:p w:rsidR="008D2F8B" w:rsidRPr="00A62273" w:rsidRDefault="008D2F8B" w:rsidP="00E14D40">
      <w:pPr>
        <w:spacing w:after="0" w:line="240" w:lineRule="auto"/>
        <w:jc w:val="both"/>
        <w:rPr>
          <w:rFonts w:ascii="Times New Roman" w:hAnsi="Times New Roman" w:cs="Times New Roman"/>
          <w:sz w:val="24"/>
          <w:szCs w:val="24"/>
        </w:rPr>
      </w:pPr>
    </w:p>
    <w:p w:rsidR="00C96424" w:rsidRPr="00D015F4" w:rsidRDefault="00C96424" w:rsidP="00E14D40">
      <w:pPr>
        <w:pStyle w:val="ListParagraph"/>
        <w:spacing w:after="0" w:line="240" w:lineRule="auto"/>
        <w:ind w:left="0"/>
        <w:jc w:val="both"/>
        <w:rPr>
          <w:rFonts w:ascii="Times New Roman" w:hAnsi="Times New Roman" w:cs="Times New Roman"/>
          <w:sz w:val="24"/>
          <w:szCs w:val="24"/>
        </w:rPr>
      </w:pPr>
    </w:p>
    <w:sectPr w:rsidR="00C96424" w:rsidRPr="00D015F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8B" w:rsidRDefault="0006278B" w:rsidP="005D6D38">
      <w:pPr>
        <w:spacing w:after="0" w:line="240" w:lineRule="auto"/>
      </w:pPr>
      <w:r>
        <w:separator/>
      </w:r>
    </w:p>
  </w:endnote>
  <w:endnote w:type="continuationSeparator" w:id="0">
    <w:p w:rsidR="0006278B" w:rsidRDefault="0006278B" w:rsidP="005D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8B" w:rsidRDefault="0006278B" w:rsidP="005D6D38">
      <w:pPr>
        <w:spacing w:after="0" w:line="240" w:lineRule="auto"/>
      </w:pPr>
      <w:r>
        <w:separator/>
      </w:r>
    </w:p>
  </w:footnote>
  <w:footnote w:type="continuationSeparator" w:id="0">
    <w:p w:rsidR="0006278B" w:rsidRDefault="0006278B" w:rsidP="005D6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498751"/>
      <w:docPartObj>
        <w:docPartGallery w:val="Page Numbers (Top of Page)"/>
        <w:docPartUnique/>
      </w:docPartObj>
    </w:sdtPr>
    <w:sdtEndPr>
      <w:rPr>
        <w:noProof/>
      </w:rPr>
    </w:sdtEndPr>
    <w:sdtContent>
      <w:p w:rsidR="00425AC9" w:rsidRDefault="00425AC9">
        <w:pPr>
          <w:pStyle w:val="Header"/>
          <w:jc w:val="right"/>
          <w:rPr>
            <w:noProof/>
          </w:rPr>
        </w:pPr>
        <w:r>
          <w:fldChar w:fldCharType="begin"/>
        </w:r>
        <w:r>
          <w:instrText xml:space="preserve"> PAGE   \* MERGEFORMAT </w:instrText>
        </w:r>
        <w:r>
          <w:fldChar w:fldCharType="separate"/>
        </w:r>
        <w:r w:rsidR="00350078">
          <w:rPr>
            <w:noProof/>
          </w:rPr>
          <w:t>4</w:t>
        </w:r>
        <w:r>
          <w:rPr>
            <w:noProof/>
          </w:rPr>
          <w:fldChar w:fldCharType="end"/>
        </w:r>
      </w:p>
      <w:p w:rsidR="00425AC9" w:rsidRDefault="00425AC9">
        <w:pPr>
          <w:pStyle w:val="Header"/>
          <w:jc w:val="right"/>
          <w:rPr>
            <w:noProof/>
          </w:rPr>
        </w:pPr>
        <w:r>
          <w:rPr>
            <w:noProof/>
          </w:rPr>
          <w:t xml:space="preserve">HH </w:t>
        </w:r>
        <w:r w:rsidR="008960BB">
          <w:rPr>
            <w:noProof/>
          </w:rPr>
          <w:t>813-18</w:t>
        </w:r>
      </w:p>
      <w:p w:rsidR="00341EE5" w:rsidRDefault="00425AC9">
        <w:pPr>
          <w:pStyle w:val="Header"/>
          <w:jc w:val="right"/>
          <w:rPr>
            <w:noProof/>
          </w:rPr>
        </w:pPr>
        <w:r>
          <w:rPr>
            <w:noProof/>
          </w:rPr>
          <w:t xml:space="preserve">HC </w:t>
        </w:r>
        <w:r w:rsidR="00341EE5">
          <w:rPr>
            <w:noProof/>
          </w:rPr>
          <w:t>11176</w:t>
        </w:r>
        <w:r w:rsidR="00022D3A">
          <w:rPr>
            <w:noProof/>
          </w:rPr>
          <w:t>/17</w:t>
        </w:r>
      </w:p>
      <w:p w:rsidR="00425AC9" w:rsidRDefault="00341EE5">
        <w:pPr>
          <w:pStyle w:val="Header"/>
          <w:jc w:val="right"/>
        </w:pPr>
        <w:r>
          <w:rPr>
            <w:noProof/>
          </w:rPr>
          <w:t>Ref CASE NO. HC 7046/14</w:t>
        </w:r>
      </w:p>
    </w:sdtContent>
  </w:sdt>
  <w:p w:rsidR="00425AC9" w:rsidRDefault="00425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163"/>
    <w:multiLevelType w:val="hybridMultilevel"/>
    <w:tmpl w:val="BEAA3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27B7"/>
    <w:multiLevelType w:val="hybridMultilevel"/>
    <w:tmpl w:val="741E2DB8"/>
    <w:lvl w:ilvl="0" w:tplc="F21EFEFA">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204B1"/>
    <w:multiLevelType w:val="hybridMultilevel"/>
    <w:tmpl w:val="18362F14"/>
    <w:lvl w:ilvl="0" w:tplc="1EE6B3F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nsid w:val="0DEA09A8"/>
    <w:multiLevelType w:val="hybridMultilevel"/>
    <w:tmpl w:val="5DCCD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B76F2"/>
    <w:multiLevelType w:val="hybridMultilevel"/>
    <w:tmpl w:val="EAD8F6D4"/>
    <w:lvl w:ilvl="0" w:tplc="B5C86F5E">
      <w:start w:val="2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11477210"/>
    <w:multiLevelType w:val="hybridMultilevel"/>
    <w:tmpl w:val="B9FCA9F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C616F97"/>
    <w:multiLevelType w:val="hybridMultilevel"/>
    <w:tmpl w:val="C51E90F4"/>
    <w:lvl w:ilvl="0" w:tplc="6116F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240A6"/>
    <w:multiLevelType w:val="hybridMultilevel"/>
    <w:tmpl w:val="D80C03CC"/>
    <w:lvl w:ilvl="0" w:tplc="1CDC83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EF6565"/>
    <w:multiLevelType w:val="hybridMultilevel"/>
    <w:tmpl w:val="1DE65216"/>
    <w:lvl w:ilvl="0" w:tplc="B60A4EB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9B51C42"/>
    <w:multiLevelType w:val="hybridMultilevel"/>
    <w:tmpl w:val="B9F0E6BA"/>
    <w:lvl w:ilvl="0" w:tplc="9E42F946">
      <w:start w:val="1"/>
      <w:numFmt w:val="lowerLetter"/>
      <w:lvlText w:val="(%1)"/>
      <w:lvlJc w:val="left"/>
      <w:pPr>
        <w:ind w:left="1800" w:hanging="360"/>
      </w:pPr>
      <w:rPr>
        <w:strike w:val="0"/>
        <w:dstrike w:val="0"/>
        <w:u w:val="none"/>
        <w:effect w:val="none"/>
      </w:r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10">
    <w:nsid w:val="3BC81D3A"/>
    <w:multiLevelType w:val="hybridMultilevel"/>
    <w:tmpl w:val="BD30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508BE"/>
    <w:multiLevelType w:val="hybridMultilevel"/>
    <w:tmpl w:val="00CC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223EC"/>
    <w:multiLevelType w:val="hybridMultilevel"/>
    <w:tmpl w:val="C01A447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FB7138B"/>
    <w:multiLevelType w:val="hybridMultilevel"/>
    <w:tmpl w:val="535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B80FC2"/>
    <w:multiLevelType w:val="hybridMultilevel"/>
    <w:tmpl w:val="671C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395C9F"/>
    <w:multiLevelType w:val="hybridMultilevel"/>
    <w:tmpl w:val="02B414FE"/>
    <w:lvl w:ilvl="0" w:tplc="1A4EAA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66422FE"/>
    <w:multiLevelType w:val="hybridMultilevel"/>
    <w:tmpl w:val="46688F78"/>
    <w:lvl w:ilvl="0" w:tplc="B60A4E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CC853D3"/>
    <w:multiLevelType w:val="hybridMultilevel"/>
    <w:tmpl w:val="2DF46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E7F3A"/>
    <w:multiLevelType w:val="hybridMultilevel"/>
    <w:tmpl w:val="6242F5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D03B76"/>
    <w:multiLevelType w:val="hybridMultilevel"/>
    <w:tmpl w:val="BB1E195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B4D6124"/>
    <w:multiLevelType w:val="hybridMultilevel"/>
    <w:tmpl w:val="F50EC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93EAB"/>
    <w:multiLevelType w:val="hybridMultilevel"/>
    <w:tmpl w:val="D5D623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59F2E7E"/>
    <w:multiLevelType w:val="hybridMultilevel"/>
    <w:tmpl w:val="9612A62E"/>
    <w:lvl w:ilvl="0" w:tplc="B60A4E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261549"/>
    <w:multiLevelType w:val="hybridMultilevel"/>
    <w:tmpl w:val="DBD4F816"/>
    <w:lvl w:ilvl="0" w:tplc="7E143E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1"/>
  </w:num>
  <w:num w:numId="3">
    <w:abstractNumId w:val="21"/>
  </w:num>
  <w:num w:numId="4">
    <w:abstractNumId w:val="19"/>
  </w:num>
  <w:num w:numId="5">
    <w:abstractNumId w:val="12"/>
  </w:num>
  <w:num w:numId="6">
    <w:abstractNumId w:val="5"/>
  </w:num>
  <w:num w:numId="7">
    <w:abstractNumId w:val="4"/>
  </w:num>
  <w:num w:numId="8">
    <w:abstractNumId w:val="14"/>
  </w:num>
  <w:num w:numId="9">
    <w:abstractNumId w:val="10"/>
  </w:num>
  <w:num w:numId="10">
    <w:abstractNumId w:val="13"/>
  </w:num>
  <w:num w:numId="11">
    <w:abstractNumId w:val="20"/>
  </w:num>
  <w:num w:numId="12">
    <w:abstractNumId w:val="3"/>
  </w:num>
  <w:num w:numId="13">
    <w:abstractNumId w:val="23"/>
  </w:num>
  <w:num w:numId="14">
    <w:abstractNumId w:val="7"/>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7"/>
  </w:num>
  <w:num w:numId="20">
    <w:abstractNumId w:val="16"/>
  </w:num>
  <w:num w:numId="21">
    <w:abstractNumId w:val="1"/>
  </w:num>
  <w:num w:numId="22">
    <w:abstractNumId w:val="22"/>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38"/>
    <w:rsid w:val="00000D67"/>
    <w:rsid w:val="0000344D"/>
    <w:rsid w:val="0000471F"/>
    <w:rsid w:val="00016D7D"/>
    <w:rsid w:val="00022D3A"/>
    <w:rsid w:val="00024203"/>
    <w:rsid w:val="00031A18"/>
    <w:rsid w:val="0003758C"/>
    <w:rsid w:val="00037BD9"/>
    <w:rsid w:val="000446D7"/>
    <w:rsid w:val="000454A8"/>
    <w:rsid w:val="000454DE"/>
    <w:rsid w:val="000562C9"/>
    <w:rsid w:val="00061D71"/>
    <w:rsid w:val="0006278B"/>
    <w:rsid w:val="00063CBA"/>
    <w:rsid w:val="0006406B"/>
    <w:rsid w:val="0008324F"/>
    <w:rsid w:val="00086B47"/>
    <w:rsid w:val="00093033"/>
    <w:rsid w:val="000A4B9A"/>
    <w:rsid w:val="000A6530"/>
    <w:rsid w:val="000B1073"/>
    <w:rsid w:val="000C08F3"/>
    <w:rsid w:val="000C72F2"/>
    <w:rsid w:val="000D3724"/>
    <w:rsid w:val="000D6C85"/>
    <w:rsid w:val="000F64CD"/>
    <w:rsid w:val="00111818"/>
    <w:rsid w:val="00112FD9"/>
    <w:rsid w:val="00125D08"/>
    <w:rsid w:val="00137198"/>
    <w:rsid w:val="0013741A"/>
    <w:rsid w:val="00157C28"/>
    <w:rsid w:val="001602D5"/>
    <w:rsid w:val="00163D5D"/>
    <w:rsid w:val="001650B3"/>
    <w:rsid w:val="0016709E"/>
    <w:rsid w:val="00167637"/>
    <w:rsid w:val="0017009C"/>
    <w:rsid w:val="001A0BAA"/>
    <w:rsid w:val="001A4506"/>
    <w:rsid w:val="001A6054"/>
    <w:rsid w:val="001E04A0"/>
    <w:rsid w:val="001E0F7D"/>
    <w:rsid w:val="00220D6E"/>
    <w:rsid w:val="002317B3"/>
    <w:rsid w:val="00231E10"/>
    <w:rsid w:val="0023516A"/>
    <w:rsid w:val="00241901"/>
    <w:rsid w:val="002479F5"/>
    <w:rsid w:val="00247E3B"/>
    <w:rsid w:val="00254467"/>
    <w:rsid w:val="00254BAA"/>
    <w:rsid w:val="00277C78"/>
    <w:rsid w:val="002808FF"/>
    <w:rsid w:val="00284FA1"/>
    <w:rsid w:val="00291897"/>
    <w:rsid w:val="00292CC3"/>
    <w:rsid w:val="002C3C90"/>
    <w:rsid w:val="002D0702"/>
    <w:rsid w:val="002D11E1"/>
    <w:rsid w:val="002E156E"/>
    <w:rsid w:val="002E5834"/>
    <w:rsid w:val="002E586C"/>
    <w:rsid w:val="002F1F96"/>
    <w:rsid w:val="00300DBC"/>
    <w:rsid w:val="00341EE5"/>
    <w:rsid w:val="003450E1"/>
    <w:rsid w:val="003467C0"/>
    <w:rsid w:val="0034765E"/>
    <w:rsid w:val="00350078"/>
    <w:rsid w:val="003569B8"/>
    <w:rsid w:val="00356D86"/>
    <w:rsid w:val="00360BD7"/>
    <w:rsid w:val="0037553A"/>
    <w:rsid w:val="00387360"/>
    <w:rsid w:val="003931E7"/>
    <w:rsid w:val="003B6529"/>
    <w:rsid w:val="003C7685"/>
    <w:rsid w:val="003D018C"/>
    <w:rsid w:val="003E75BF"/>
    <w:rsid w:val="003F2174"/>
    <w:rsid w:val="00414F0B"/>
    <w:rsid w:val="0042239B"/>
    <w:rsid w:val="004240E5"/>
    <w:rsid w:val="00425AC9"/>
    <w:rsid w:val="00432ABA"/>
    <w:rsid w:val="00451CF4"/>
    <w:rsid w:val="00460DD0"/>
    <w:rsid w:val="00475433"/>
    <w:rsid w:val="00476529"/>
    <w:rsid w:val="0048690A"/>
    <w:rsid w:val="00495935"/>
    <w:rsid w:val="004A66D0"/>
    <w:rsid w:val="004A6C01"/>
    <w:rsid w:val="004F7615"/>
    <w:rsid w:val="005009C9"/>
    <w:rsid w:val="00501C7E"/>
    <w:rsid w:val="00505EC9"/>
    <w:rsid w:val="00511186"/>
    <w:rsid w:val="005237E6"/>
    <w:rsid w:val="00547958"/>
    <w:rsid w:val="005618D5"/>
    <w:rsid w:val="00564066"/>
    <w:rsid w:val="00573B42"/>
    <w:rsid w:val="00576DC4"/>
    <w:rsid w:val="005776E6"/>
    <w:rsid w:val="005845FF"/>
    <w:rsid w:val="00593072"/>
    <w:rsid w:val="00595302"/>
    <w:rsid w:val="005A2BBD"/>
    <w:rsid w:val="005A7732"/>
    <w:rsid w:val="005B24E7"/>
    <w:rsid w:val="005D6D38"/>
    <w:rsid w:val="005D7883"/>
    <w:rsid w:val="005E3B93"/>
    <w:rsid w:val="00611EDA"/>
    <w:rsid w:val="00613D1C"/>
    <w:rsid w:val="00614B82"/>
    <w:rsid w:val="0061759C"/>
    <w:rsid w:val="00643CB1"/>
    <w:rsid w:val="00652C73"/>
    <w:rsid w:val="00654BC3"/>
    <w:rsid w:val="00656A3B"/>
    <w:rsid w:val="00666375"/>
    <w:rsid w:val="00692E0D"/>
    <w:rsid w:val="00693D31"/>
    <w:rsid w:val="006945A0"/>
    <w:rsid w:val="006A3C0A"/>
    <w:rsid w:val="006B34F2"/>
    <w:rsid w:val="006B72CB"/>
    <w:rsid w:val="006C0D13"/>
    <w:rsid w:val="006C5E91"/>
    <w:rsid w:val="006C6DD0"/>
    <w:rsid w:val="006D7FA0"/>
    <w:rsid w:val="0071672B"/>
    <w:rsid w:val="007206F8"/>
    <w:rsid w:val="00724388"/>
    <w:rsid w:val="00735999"/>
    <w:rsid w:val="007361EC"/>
    <w:rsid w:val="00742907"/>
    <w:rsid w:val="00755710"/>
    <w:rsid w:val="00760914"/>
    <w:rsid w:val="00767F43"/>
    <w:rsid w:val="0078259A"/>
    <w:rsid w:val="0078651B"/>
    <w:rsid w:val="00797B02"/>
    <w:rsid w:val="007A4596"/>
    <w:rsid w:val="007A4E4C"/>
    <w:rsid w:val="007B1CAE"/>
    <w:rsid w:val="007B771D"/>
    <w:rsid w:val="007C7964"/>
    <w:rsid w:val="007E33BE"/>
    <w:rsid w:val="00816D16"/>
    <w:rsid w:val="00827596"/>
    <w:rsid w:val="00833533"/>
    <w:rsid w:val="00846019"/>
    <w:rsid w:val="00852F27"/>
    <w:rsid w:val="008638D1"/>
    <w:rsid w:val="0086488E"/>
    <w:rsid w:val="00870AC6"/>
    <w:rsid w:val="0087687A"/>
    <w:rsid w:val="008777B5"/>
    <w:rsid w:val="0088031C"/>
    <w:rsid w:val="00883967"/>
    <w:rsid w:val="0089196B"/>
    <w:rsid w:val="008960BB"/>
    <w:rsid w:val="008A119A"/>
    <w:rsid w:val="008A34B8"/>
    <w:rsid w:val="008C52CA"/>
    <w:rsid w:val="008C5359"/>
    <w:rsid w:val="008D0244"/>
    <w:rsid w:val="008D155E"/>
    <w:rsid w:val="008D2B6F"/>
    <w:rsid w:val="008D2DE1"/>
    <w:rsid w:val="008D2F8B"/>
    <w:rsid w:val="008D3695"/>
    <w:rsid w:val="008D4218"/>
    <w:rsid w:val="008D6084"/>
    <w:rsid w:val="008E0A18"/>
    <w:rsid w:val="008E550C"/>
    <w:rsid w:val="008F2581"/>
    <w:rsid w:val="008F46B5"/>
    <w:rsid w:val="009302F2"/>
    <w:rsid w:val="00940D6E"/>
    <w:rsid w:val="00947047"/>
    <w:rsid w:val="00956333"/>
    <w:rsid w:val="009770FB"/>
    <w:rsid w:val="009865DE"/>
    <w:rsid w:val="009A3C54"/>
    <w:rsid w:val="009B5D19"/>
    <w:rsid w:val="009B5E15"/>
    <w:rsid w:val="009D0B2C"/>
    <w:rsid w:val="009D4003"/>
    <w:rsid w:val="009F7B37"/>
    <w:rsid w:val="00A01B81"/>
    <w:rsid w:val="00A02B8A"/>
    <w:rsid w:val="00A10AD0"/>
    <w:rsid w:val="00A30F1C"/>
    <w:rsid w:val="00A33FBA"/>
    <w:rsid w:val="00A35C82"/>
    <w:rsid w:val="00A47734"/>
    <w:rsid w:val="00A61BD9"/>
    <w:rsid w:val="00A62273"/>
    <w:rsid w:val="00A702E0"/>
    <w:rsid w:val="00A71548"/>
    <w:rsid w:val="00A75B9B"/>
    <w:rsid w:val="00A83040"/>
    <w:rsid w:val="00A95337"/>
    <w:rsid w:val="00AA40F7"/>
    <w:rsid w:val="00AC6AC4"/>
    <w:rsid w:val="00AF3276"/>
    <w:rsid w:val="00B05E02"/>
    <w:rsid w:val="00B105F9"/>
    <w:rsid w:val="00B23FF6"/>
    <w:rsid w:val="00B32BBC"/>
    <w:rsid w:val="00B3793A"/>
    <w:rsid w:val="00B40246"/>
    <w:rsid w:val="00B408A5"/>
    <w:rsid w:val="00B428C1"/>
    <w:rsid w:val="00B543CE"/>
    <w:rsid w:val="00B57686"/>
    <w:rsid w:val="00B6200F"/>
    <w:rsid w:val="00B7565E"/>
    <w:rsid w:val="00B800CF"/>
    <w:rsid w:val="00B82BCF"/>
    <w:rsid w:val="00B948A3"/>
    <w:rsid w:val="00B9749B"/>
    <w:rsid w:val="00BA5245"/>
    <w:rsid w:val="00BA52B6"/>
    <w:rsid w:val="00BB0480"/>
    <w:rsid w:val="00BB6D21"/>
    <w:rsid w:val="00BB79C5"/>
    <w:rsid w:val="00BC2E97"/>
    <w:rsid w:val="00BC5F49"/>
    <w:rsid w:val="00BD7AA9"/>
    <w:rsid w:val="00BF779B"/>
    <w:rsid w:val="00C05458"/>
    <w:rsid w:val="00C0739A"/>
    <w:rsid w:val="00C139D8"/>
    <w:rsid w:val="00C244CD"/>
    <w:rsid w:val="00C25AE6"/>
    <w:rsid w:val="00C267C9"/>
    <w:rsid w:val="00C26991"/>
    <w:rsid w:val="00C27907"/>
    <w:rsid w:val="00C36854"/>
    <w:rsid w:val="00C62705"/>
    <w:rsid w:val="00C67B6F"/>
    <w:rsid w:val="00C85912"/>
    <w:rsid w:val="00C95268"/>
    <w:rsid w:val="00C95C3E"/>
    <w:rsid w:val="00C96424"/>
    <w:rsid w:val="00CB0084"/>
    <w:rsid w:val="00CC17FC"/>
    <w:rsid w:val="00CC29A4"/>
    <w:rsid w:val="00CC668F"/>
    <w:rsid w:val="00CE168E"/>
    <w:rsid w:val="00CE221D"/>
    <w:rsid w:val="00CF7E13"/>
    <w:rsid w:val="00D015F4"/>
    <w:rsid w:val="00D27517"/>
    <w:rsid w:val="00D44CC5"/>
    <w:rsid w:val="00D45396"/>
    <w:rsid w:val="00D53768"/>
    <w:rsid w:val="00D624B6"/>
    <w:rsid w:val="00D64F27"/>
    <w:rsid w:val="00D67025"/>
    <w:rsid w:val="00D80506"/>
    <w:rsid w:val="00D84ACF"/>
    <w:rsid w:val="00D92196"/>
    <w:rsid w:val="00D92BC6"/>
    <w:rsid w:val="00DA71CA"/>
    <w:rsid w:val="00DB3016"/>
    <w:rsid w:val="00DC16B1"/>
    <w:rsid w:val="00DC29E1"/>
    <w:rsid w:val="00DD5012"/>
    <w:rsid w:val="00DD563D"/>
    <w:rsid w:val="00DE6E3A"/>
    <w:rsid w:val="00DE7D5D"/>
    <w:rsid w:val="00DF613D"/>
    <w:rsid w:val="00E14D40"/>
    <w:rsid w:val="00E1605E"/>
    <w:rsid w:val="00E2083F"/>
    <w:rsid w:val="00E2105E"/>
    <w:rsid w:val="00E351D3"/>
    <w:rsid w:val="00E50DA9"/>
    <w:rsid w:val="00E66B18"/>
    <w:rsid w:val="00E80B87"/>
    <w:rsid w:val="00EB6842"/>
    <w:rsid w:val="00EC0521"/>
    <w:rsid w:val="00ED362D"/>
    <w:rsid w:val="00ED555B"/>
    <w:rsid w:val="00EF0063"/>
    <w:rsid w:val="00EF3077"/>
    <w:rsid w:val="00EF554D"/>
    <w:rsid w:val="00F020B7"/>
    <w:rsid w:val="00F126CC"/>
    <w:rsid w:val="00F2744C"/>
    <w:rsid w:val="00F279F1"/>
    <w:rsid w:val="00F3299B"/>
    <w:rsid w:val="00F430E7"/>
    <w:rsid w:val="00F84DC2"/>
    <w:rsid w:val="00F856DC"/>
    <w:rsid w:val="00FA65FF"/>
    <w:rsid w:val="00FA7986"/>
    <w:rsid w:val="00FB2303"/>
    <w:rsid w:val="00FC0419"/>
    <w:rsid w:val="00FC3F01"/>
    <w:rsid w:val="00FC6965"/>
    <w:rsid w:val="00FD0FAA"/>
    <w:rsid w:val="00FD5E97"/>
    <w:rsid w:val="00FE0E4A"/>
    <w:rsid w:val="00FE6942"/>
    <w:rsid w:val="00FF0728"/>
    <w:rsid w:val="00FF40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8"/>
  </w:style>
  <w:style w:type="paragraph" w:styleId="Footer">
    <w:name w:val="footer"/>
    <w:basedOn w:val="Normal"/>
    <w:link w:val="FooterChar"/>
    <w:uiPriority w:val="99"/>
    <w:unhideWhenUsed/>
    <w:rsid w:val="005D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8"/>
  </w:style>
  <w:style w:type="paragraph" w:styleId="ListParagraph">
    <w:name w:val="List Paragraph"/>
    <w:basedOn w:val="Normal"/>
    <w:uiPriority w:val="34"/>
    <w:qFormat/>
    <w:rsid w:val="00505EC9"/>
    <w:pPr>
      <w:ind w:left="720"/>
      <w:contextualSpacing/>
    </w:pPr>
  </w:style>
  <w:style w:type="paragraph" w:styleId="BalloonText">
    <w:name w:val="Balloon Text"/>
    <w:basedOn w:val="Normal"/>
    <w:link w:val="BalloonTextChar"/>
    <w:uiPriority w:val="99"/>
    <w:semiHidden/>
    <w:unhideWhenUsed/>
    <w:rsid w:val="006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8"/>
  </w:style>
  <w:style w:type="paragraph" w:styleId="Footer">
    <w:name w:val="footer"/>
    <w:basedOn w:val="Normal"/>
    <w:link w:val="FooterChar"/>
    <w:uiPriority w:val="99"/>
    <w:unhideWhenUsed/>
    <w:rsid w:val="005D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8"/>
  </w:style>
  <w:style w:type="paragraph" w:styleId="ListParagraph">
    <w:name w:val="List Paragraph"/>
    <w:basedOn w:val="Normal"/>
    <w:uiPriority w:val="34"/>
    <w:qFormat/>
    <w:rsid w:val="00505EC9"/>
    <w:pPr>
      <w:ind w:left="720"/>
      <w:contextualSpacing/>
    </w:pPr>
  </w:style>
  <w:style w:type="paragraph" w:styleId="BalloonText">
    <w:name w:val="Balloon Text"/>
    <w:basedOn w:val="Normal"/>
    <w:link w:val="BalloonTextChar"/>
    <w:uiPriority w:val="99"/>
    <w:semiHidden/>
    <w:unhideWhenUsed/>
    <w:rsid w:val="006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53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jsc-Mujuru</cp:lastModifiedBy>
  <cp:revision>3</cp:revision>
  <cp:lastPrinted>2018-12-10T19:56:00Z</cp:lastPrinted>
  <dcterms:created xsi:type="dcterms:W3CDTF">2018-12-10T19:56:00Z</dcterms:created>
  <dcterms:modified xsi:type="dcterms:W3CDTF">2018-12-10T19:56:00Z</dcterms:modified>
</cp:coreProperties>
</file>