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A5C" w:rsidRPr="008C5D2C" w:rsidRDefault="00C91A5C" w:rsidP="005B2626">
      <w:pPr>
        <w:spacing w:after="0" w:line="240" w:lineRule="auto"/>
        <w:jc w:val="both"/>
        <w:rPr>
          <w:rFonts w:ascii="Times New Roman" w:hAnsi="Times New Roman"/>
        </w:rPr>
      </w:pPr>
      <w:bookmarkStart w:id="0" w:name="_GoBack"/>
      <w:bookmarkEnd w:id="0"/>
      <w:r w:rsidRPr="008C5D2C">
        <w:rPr>
          <w:rFonts w:ascii="Times New Roman" w:hAnsi="Times New Roman"/>
        </w:rPr>
        <w:t>THE SHERIFF FOR ZIMBABWE</w:t>
      </w:r>
    </w:p>
    <w:p w:rsidR="00C91A5C" w:rsidRPr="008C5D2C" w:rsidRDefault="007E31EF" w:rsidP="005B2626">
      <w:pPr>
        <w:spacing w:after="0" w:line="240" w:lineRule="auto"/>
        <w:jc w:val="both"/>
        <w:rPr>
          <w:rFonts w:ascii="Times New Roman" w:hAnsi="Times New Roman"/>
        </w:rPr>
      </w:pPr>
      <w:r>
        <w:rPr>
          <w:rFonts w:ascii="Times New Roman" w:hAnsi="Times New Roman"/>
        </w:rPr>
        <w:t>v</w:t>
      </w:r>
      <w:r w:rsidR="00C91A5C" w:rsidRPr="008C5D2C">
        <w:rPr>
          <w:rFonts w:ascii="Times New Roman" w:hAnsi="Times New Roman"/>
        </w:rPr>
        <w:t>ersus</w:t>
      </w:r>
    </w:p>
    <w:p w:rsidR="00C91A5C" w:rsidRPr="008C5D2C" w:rsidRDefault="00C91A5C" w:rsidP="005B2626">
      <w:pPr>
        <w:spacing w:after="0" w:line="240" w:lineRule="auto"/>
        <w:jc w:val="both"/>
        <w:rPr>
          <w:rFonts w:ascii="Times New Roman" w:hAnsi="Times New Roman"/>
        </w:rPr>
      </w:pPr>
      <w:r w:rsidRPr="008C5D2C">
        <w:rPr>
          <w:rFonts w:ascii="Times New Roman" w:hAnsi="Times New Roman"/>
        </w:rPr>
        <w:t>TARIRO TAZVITYA N.O</w:t>
      </w:r>
    </w:p>
    <w:p w:rsidR="00C91A5C" w:rsidRPr="008C5D2C" w:rsidRDefault="007E31EF" w:rsidP="005B2626">
      <w:pPr>
        <w:spacing w:after="0" w:line="240" w:lineRule="auto"/>
        <w:jc w:val="both"/>
        <w:rPr>
          <w:rFonts w:ascii="Times New Roman" w:hAnsi="Times New Roman"/>
        </w:rPr>
      </w:pPr>
      <w:r>
        <w:rPr>
          <w:rFonts w:ascii="Times New Roman" w:hAnsi="Times New Roman"/>
        </w:rPr>
        <w:t>a</w:t>
      </w:r>
      <w:r w:rsidR="00C91A5C" w:rsidRPr="008C5D2C">
        <w:rPr>
          <w:rFonts w:ascii="Times New Roman" w:hAnsi="Times New Roman"/>
        </w:rPr>
        <w:t xml:space="preserve">nd </w:t>
      </w:r>
    </w:p>
    <w:p w:rsidR="00C91A5C" w:rsidRPr="008C5D2C" w:rsidRDefault="00C91A5C" w:rsidP="005B2626">
      <w:pPr>
        <w:spacing w:after="0" w:line="240" w:lineRule="auto"/>
        <w:jc w:val="both"/>
        <w:rPr>
          <w:rFonts w:ascii="Times New Roman" w:hAnsi="Times New Roman"/>
        </w:rPr>
      </w:pPr>
      <w:r w:rsidRPr="008C5D2C">
        <w:rPr>
          <w:rFonts w:ascii="Times New Roman" w:hAnsi="Times New Roman"/>
        </w:rPr>
        <w:t>FIRST CAPITAL BANK LIMITED</w:t>
      </w:r>
    </w:p>
    <w:p w:rsidR="00C91A5C" w:rsidRDefault="00C91A5C" w:rsidP="005B2626">
      <w:pPr>
        <w:spacing w:after="0" w:line="240" w:lineRule="auto"/>
        <w:jc w:val="both"/>
        <w:rPr>
          <w:rFonts w:ascii="Times New Roman" w:hAnsi="Times New Roman"/>
        </w:rPr>
      </w:pPr>
    </w:p>
    <w:p w:rsidR="005B2626" w:rsidRPr="008C5D2C" w:rsidRDefault="005B2626" w:rsidP="005B2626">
      <w:pPr>
        <w:spacing w:after="0" w:line="240" w:lineRule="auto"/>
        <w:jc w:val="both"/>
        <w:rPr>
          <w:rFonts w:ascii="Times New Roman" w:hAnsi="Times New Roman"/>
        </w:rPr>
      </w:pPr>
    </w:p>
    <w:p w:rsidR="00C91A5C" w:rsidRPr="008C5D2C" w:rsidRDefault="00C91A5C" w:rsidP="005B2626">
      <w:pPr>
        <w:spacing w:after="0" w:line="240" w:lineRule="auto"/>
        <w:jc w:val="both"/>
        <w:rPr>
          <w:rFonts w:ascii="Times New Roman" w:hAnsi="Times New Roman"/>
        </w:rPr>
      </w:pPr>
      <w:r w:rsidRPr="008C5D2C">
        <w:rPr>
          <w:rFonts w:ascii="Times New Roman" w:hAnsi="Times New Roman"/>
        </w:rPr>
        <w:t>HIGH COURT OF ZIMBABWE</w:t>
      </w:r>
    </w:p>
    <w:p w:rsidR="00C91A5C" w:rsidRPr="008C5D2C" w:rsidRDefault="00C91A5C" w:rsidP="005B2626">
      <w:pPr>
        <w:spacing w:after="0" w:line="240" w:lineRule="auto"/>
        <w:jc w:val="both"/>
        <w:rPr>
          <w:rFonts w:ascii="Times New Roman" w:hAnsi="Times New Roman"/>
          <w:b/>
        </w:rPr>
      </w:pPr>
      <w:r w:rsidRPr="008C5D2C">
        <w:rPr>
          <w:rFonts w:ascii="Times New Roman" w:hAnsi="Times New Roman"/>
          <w:b/>
        </w:rPr>
        <w:t>DEME J</w:t>
      </w:r>
    </w:p>
    <w:p w:rsidR="00C91A5C" w:rsidRPr="008C5D2C" w:rsidRDefault="00C91A5C" w:rsidP="005B2626">
      <w:pPr>
        <w:spacing w:after="0" w:line="240" w:lineRule="auto"/>
        <w:jc w:val="both"/>
        <w:rPr>
          <w:rFonts w:ascii="Times New Roman" w:hAnsi="Times New Roman"/>
        </w:rPr>
      </w:pPr>
      <w:r w:rsidRPr="008C5D2C">
        <w:rPr>
          <w:rFonts w:ascii="Times New Roman" w:hAnsi="Times New Roman"/>
        </w:rPr>
        <w:t>HARARE, 18 July 2025</w:t>
      </w:r>
    </w:p>
    <w:p w:rsidR="00C91A5C" w:rsidRDefault="00C91A5C" w:rsidP="005B2626">
      <w:pPr>
        <w:spacing w:after="0" w:line="240" w:lineRule="auto"/>
        <w:jc w:val="both"/>
        <w:rPr>
          <w:rFonts w:ascii="Times New Roman" w:hAnsi="Times New Roman"/>
        </w:rPr>
      </w:pPr>
    </w:p>
    <w:p w:rsidR="005B2626" w:rsidRPr="008C5D2C" w:rsidRDefault="005B2626" w:rsidP="005B2626">
      <w:pPr>
        <w:spacing w:after="0" w:line="240" w:lineRule="auto"/>
        <w:jc w:val="both"/>
        <w:rPr>
          <w:rFonts w:ascii="Times New Roman" w:hAnsi="Times New Roman"/>
        </w:rPr>
      </w:pPr>
    </w:p>
    <w:p w:rsidR="00C91A5C" w:rsidRPr="005B2626" w:rsidRDefault="00C91A5C" w:rsidP="005B2626">
      <w:pPr>
        <w:spacing w:after="0" w:line="240" w:lineRule="auto"/>
        <w:jc w:val="both"/>
        <w:rPr>
          <w:rFonts w:ascii="Times New Roman" w:hAnsi="Times New Roman"/>
          <w:b/>
          <w:i/>
        </w:rPr>
      </w:pPr>
      <w:r w:rsidRPr="005B2626">
        <w:rPr>
          <w:rFonts w:ascii="Times New Roman" w:hAnsi="Times New Roman"/>
          <w:b/>
          <w:i/>
        </w:rPr>
        <w:t>Interpleader Proceedings</w:t>
      </w:r>
    </w:p>
    <w:p w:rsidR="005B2626" w:rsidRDefault="005B2626" w:rsidP="005B2626">
      <w:pPr>
        <w:spacing w:after="0" w:line="240" w:lineRule="auto"/>
        <w:jc w:val="both"/>
        <w:rPr>
          <w:rFonts w:ascii="Times New Roman" w:hAnsi="Times New Roman"/>
          <w:b/>
        </w:rPr>
      </w:pPr>
    </w:p>
    <w:p w:rsidR="005B2626" w:rsidRPr="008C5D2C" w:rsidRDefault="005B2626" w:rsidP="005B2626">
      <w:pPr>
        <w:spacing w:after="0" w:line="240" w:lineRule="auto"/>
        <w:jc w:val="both"/>
        <w:rPr>
          <w:rFonts w:ascii="Times New Roman" w:hAnsi="Times New Roman"/>
          <w:b/>
        </w:rPr>
      </w:pPr>
    </w:p>
    <w:p w:rsidR="00C91A5C" w:rsidRPr="008C5D2C" w:rsidRDefault="00C91A5C" w:rsidP="005B2626">
      <w:pPr>
        <w:spacing w:after="0" w:line="240" w:lineRule="auto"/>
        <w:jc w:val="both"/>
        <w:rPr>
          <w:rFonts w:ascii="Times New Roman" w:hAnsi="Times New Roman"/>
        </w:rPr>
      </w:pPr>
      <w:r w:rsidRPr="008C5D2C">
        <w:rPr>
          <w:rFonts w:ascii="Times New Roman" w:hAnsi="Times New Roman"/>
          <w:i/>
        </w:rPr>
        <w:t>B Mahune</w:t>
      </w:r>
      <w:r w:rsidRPr="008C5D2C">
        <w:rPr>
          <w:rFonts w:ascii="Times New Roman" w:hAnsi="Times New Roman"/>
        </w:rPr>
        <w:t xml:space="preserve"> for the applicant</w:t>
      </w:r>
    </w:p>
    <w:p w:rsidR="00C91A5C" w:rsidRPr="008C5D2C" w:rsidRDefault="00C91A5C" w:rsidP="005B2626">
      <w:pPr>
        <w:spacing w:after="0" w:line="240" w:lineRule="auto"/>
        <w:jc w:val="both"/>
        <w:rPr>
          <w:rFonts w:ascii="Times New Roman" w:hAnsi="Times New Roman"/>
        </w:rPr>
      </w:pPr>
      <w:r w:rsidRPr="008C5D2C">
        <w:rPr>
          <w:rFonts w:ascii="Times New Roman" w:hAnsi="Times New Roman"/>
          <w:i/>
        </w:rPr>
        <w:t>T Tazvitya</w:t>
      </w:r>
      <w:r w:rsidRPr="008C5D2C">
        <w:rPr>
          <w:rFonts w:ascii="Times New Roman" w:hAnsi="Times New Roman"/>
        </w:rPr>
        <w:t xml:space="preserve"> for the claimant</w:t>
      </w:r>
    </w:p>
    <w:p w:rsidR="00C91A5C" w:rsidRDefault="00C91A5C" w:rsidP="005B2626">
      <w:pPr>
        <w:spacing w:after="0" w:line="240" w:lineRule="auto"/>
        <w:jc w:val="both"/>
        <w:rPr>
          <w:rFonts w:ascii="Times New Roman" w:hAnsi="Times New Roman"/>
        </w:rPr>
      </w:pPr>
      <w:r w:rsidRPr="008C5D2C">
        <w:rPr>
          <w:rFonts w:ascii="Times New Roman" w:hAnsi="Times New Roman"/>
          <w:i/>
        </w:rPr>
        <w:t>N Mugandiwa</w:t>
      </w:r>
      <w:r w:rsidRPr="008C5D2C">
        <w:rPr>
          <w:rFonts w:ascii="Times New Roman" w:hAnsi="Times New Roman"/>
        </w:rPr>
        <w:t xml:space="preserve"> for the judgment creditor</w:t>
      </w:r>
    </w:p>
    <w:p w:rsidR="008C5D2C" w:rsidRPr="008C5D2C" w:rsidRDefault="008C5D2C" w:rsidP="008C5D2C">
      <w:pPr>
        <w:spacing w:line="360" w:lineRule="auto"/>
        <w:jc w:val="both"/>
        <w:rPr>
          <w:rFonts w:ascii="Times New Roman" w:hAnsi="Times New Roman"/>
        </w:rPr>
      </w:pPr>
    </w:p>
    <w:p w:rsidR="00C91A5C" w:rsidRPr="008C5D2C" w:rsidRDefault="007E31EF" w:rsidP="005B2626">
      <w:pPr>
        <w:spacing w:after="0" w:line="360" w:lineRule="auto"/>
        <w:jc w:val="both"/>
        <w:rPr>
          <w:rFonts w:ascii="Times New Roman" w:hAnsi="Times New Roman"/>
          <w:b/>
        </w:rPr>
      </w:pPr>
      <w:r>
        <w:rPr>
          <w:rFonts w:ascii="Times New Roman" w:hAnsi="Times New Roman"/>
          <w:b/>
        </w:rPr>
        <w:tab/>
      </w:r>
      <w:r w:rsidR="00C91A5C" w:rsidRPr="005B2626">
        <w:rPr>
          <w:rFonts w:ascii="Times New Roman" w:hAnsi="Times New Roman"/>
        </w:rPr>
        <w:t>DEME J:</w:t>
      </w:r>
      <w:r w:rsidR="005B2626">
        <w:rPr>
          <w:rFonts w:ascii="Times New Roman" w:hAnsi="Times New Roman"/>
          <w:b/>
        </w:rPr>
        <w:t xml:space="preserve">    </w:t>
      </w:r>
      <w:r w:rsidR="00C91A5C" w:rsidRPr="008C5D2C">
        <w:rPr>
          <w:rFonts w:ascii="Times New Roman" w:hAnsi="Times New Roman"/>
        </w:rPr>
        <w:t>This matter was instituted by way of interpleader proceedings in terms of Rule 63 of the High Court Rules, 2021. The judgment creditor in this matter obtained an order against Rosywood Mahemu Estate (Private) Limited and Shandirayi Makandeni (hereinafter called “the judgment debtors”)</w:t>
      </w:r>
      <w:r w:rsidR="002720AE">
        <w:rPr>
          <w:rFonts w:ascii="Times New Roman" w:hAnsi="Times New Roman"/>
        </w:rPr>
        <w:t xml:space="preserve"> </w:t>
      </w:r>
      <w:r w:rsidR="00C91A5C" w:rsidRPr="008C5D2C">
        <w:rPr>
          <w:rFonts w:ascii="Times New Roman" w:hAnsi="Times New Roman"/>
        </w:rPr>
        <w:t>under case number HCHC</w:t>
      </w:r>
      <w:r>
        <w:rPr>
          <w:rFonts w:ascii="Times New Roman" w:hAnsi="Times New Roman"/>
        </w:rPr>
        <w:t xml:space="preserve"> </w:t>
      </w:r>
      <w:r w:rsidR="00C91A5C" w:rsidRPr="008C5D2C">
        <w:rPr>
          <w:rFonts w:ascii="Times New Roman" w:hAnsi="Times New Roman"/>
        </w:rPr>
        <w:t>55/24. The judgment creditor instructed the applicant to attach the property in order to satisfy the judgment debt</w:t>
      </w:r>
      <w:r w:rsidR="00C91A5C" w:rsidRPr="008C5D2C">
        <w:rPr>
          <w:rFonts w:ascii="Times New Roman" w:hAnsi="Times New Roman"/>
          <w:b/>
        </w:rPr>
        <w:t>.</w:t>
      </w:r>
    </w:p>
    <w:p w:rsidR="006B47E7" w:rsidRPr="008C5D2C" w:rsidRDefault="007E31EF" w:rsidP="005B2626">
      <w:pPr>
        <w:spacing w:after="0" w:line="360" w:lineRule="auto"/>
        <w:jc w:val="both"/>
        <w:rPr>
          <w:rFonts w:ascii="Times New Roman" w:hAnsi="Times New Roman"/>
          <w:bCs/>
        </w:rPr>
      </w:pPr>
      <w:r>
        <w:rPr>
          <w:rFonts w:ascii="Times New Roman" w:hAnsi="Times New Roman"/>
          <w:bCs/>
        </w:rPr>
        <w:tab/>
      </w:r>
      <w:r w:rsidR="002C255D" w:rsidRPr="008C5D2C">
        <w:rPr>
          <w:rFonts w:ascii="Times New Roman" w:hAnsi="Times New Roman"/>
          <w:bCs/>
        </w:rPr>
        <w:t xml:space="preserve">The </w:t>
      </w:r>
      <w:r w:rsidR="007E023F" w:rsidRPr="008C5D2C">
        <w:rPr>
          <w:rFonts w:ascii="Times New Roman" w:hAnsi="Times New Roman"/>
          <w:bCs/>
        </w:rPr>
        <w:t xml:space="preserve">Claimant, in his capacity as Executor to the Estate Late Jim </w:t>
      </w:r>
      <w:r w:rsidR="008C5D2C" w:rsidRPr="008C5D2C">
        <w:rPr>
          <w:rFonts w:ascii="Times New Roman" w:hAnsi="Times New Roman"/>
          <w:bCs/>
        </w:rPr>
        <w:t>Broosh, informed</w:t>
      </w:r>
      <w:r w:rsidR="005B2626">
        <w:rPr>
          <w:rFonts w:ascii="Times New Roman" w:hAnsi="Times New Roman"/>
          <w:bCs/>
        </w:rPr>
        <w:t xml:space="preserve"> the a</w:t>
      </w:r>
      <w:r w:rsidR="007E023F" w:rsidRPr="008C5D2C">
        <w:rPr>
          <w:rFonts w:ascii="Times New Roman" w:hAnsi="Times New Roman"/>
          <w:bCs/>
        </w:rPr>
        <w:t xml:space="preserve">pplicant that he laid claim </w:t>
      </w:r>
      <w:r w:rsidR="008C5D2C" w:rsidRPr="008C5D2C">
        <w:rPr>
          <w:rFonts w:ascii="Times New Roman" w:hAnsi="Times New Roman"/>
          <w:bCs/>
        </w:rPr>
        <w:t>to the</w:t>
      </w:r>
      <w:r w:rsidR="007E023F" w:rsidRPr="008C5D2C">
        <w:rPr>
          <w:rFonts w:ascii="Times New Roman" w:hAnsi="Times New Roman"/>
          <w:bCs/>
        </w:rPr>
        <w:t xml:space="preserve"> centre </w:t>
      </w:r>
      <w:r w:rsidR="008C5D2C" w:rsidRPr="008C5D2C">
        <w:rPr>
          <w:rFonts w:ascii="Times New Roman" w:hAnsi="Times New Roman"/>
          <w:bCs/>
        </w:rPr>
        <w:t>pivot which</w:t>
      </w:r>
      <w:r w:rsidR="007E023F" w:rsidRPr="008C5D2C">
        <w:rPr>
          <w:rFonts w:ascii="Times New Roman" w:hAnsi="Times New Roman"/>
          <w:bCs/>
        </w:rPr>
        <w:t xml:space="preserve"> was attached by </w:t>
      </w:r>
      <w:r w:rsidR="005B2626">
        <w:rPr>
          <w:rFonts w:ascii="Times New Roman" w:hAnsi="Times New Roman"/>
          <w:bCs/>
        </w:rPr>
        <w:t>the a</w:t>
      </w:r>
      <w:r w:rsidR="008C5D2C" w:rsidRPr="008C5D2C">
        <w:rPr>
          <w:rFonts w:ascii="Times New Roman" w:hAnsi="Times New Roman"/>
          <w:bCs/>
        </w:rPr>
        <w:t>pplicant</w:t>
      </w:r>
      <w:r w:rsidR="007E023F" w:rsidRPr="008C5D2C">
        <w:rPr>
          <w:rFonts w:ascii="Times New Roman" w:hAnsi="Times New Roman"/>
          <w:bCs/>
        </w:rPr>
        <w:t xml:space="preserve"> on 22 November 2024. According to the Claimant</w:t>
      </w:r>
      <w:r w:rsidR="00AC1C56" w:rsidRPr="008C5D2C">
        <w:rPr>
          <w:rFonts w:ascii="Times New Roman" w:hAnsi="Times New Roman"/>
          <w:bCs/>
        </w:rPr>
        <w:t>, the centre pivot is a permanent fixture at Woodlands Far</w:t>
      </w:r>
      <w:r w:rsidR="00104BF6" w:rsidRPr="008C5D2C">
        <w:rPr>
          <w:rFonts w:ascii="Times New Roman" w:hAnsi="Times New Roman"/>
          <w:bCs/>
        </w:rPr>
        <w:t>m</w:t>
      </w:r>
      <w:r w:rsidR="00AC1C56" w:rsidRPr="008C5D2C">
        <w:rPr>
          <w:rFonts w:ascii="Times New Roman" w:hAnsi="Times New Roman"/>
          <w:bCs/>
        </w:rPr>
        <w:t xml:space="preserve"> </w:t>
      </w:r>
      <w:r w:rsidR="008C5D2C" w:rsidRPr="008C5D2C">
        <w:rPr>
          <w:rFonts w:ascii="Times New Roman" w:hAnsi="Times New Roman"/>
          <w:bCs/>
        </w:rPr>
        <w:t>which belongs</w:t>
      </w:r>
      <w:r w:rsidR="00AC1C56" w:rsidRPr="008C5D2C">
        <w:rPr>
          <w:rFonts w:ascii="Times New Roman" w:hAnsi="Times New Roman"/>
          <w:bCs/>
        </w:rPr>
        <w:t xml:space="preserve"> to the land. He further argued that the farm belongs to the Estate Late Jim Broosh. A deed of transfer was attached to the Claimant’s interpleader affidavit</w:t>
      </w:r>
      <w:r w:rsidR="00104BF6" w:rsidRPr="008C5D2C">
        <w:rPr>
          <w:rFonts w:ascii="Times New Roman" w:hAnsi="Times New Roman"/>
          <w:bCs/>
        </w:rPr>
        <w:t xml:space="preserve"> in support of this position</w:t>
      </w:r>
      <w:r w:rsidR="00AC1C56" w:rsidRPr="008C5D2C">
        <w:rPr>
          <w:rFonts w:ascii="Times New Roman" w:hAnsi="Times New Roman"/>
          <w:bCs/>
        </w:rPr>
        <w:t>.</w:t>
      </w:r>
      <w:r w:rsidR="00FD27D4" w:rsidRPr="008C5D2C">
        <w:rPr>
          <w:rFonts w:ascii="Times New Roman" w:hAnsi="Times New Roman"/>
          <w:bCs/>
        </w:rPr>
        <w:t xml:space="preserve"> The Claimant further alleged that </w:t>
      </w:r>
      <w:r w:rsidR="008C5D2C" w:rsidRPr="008C5D2C">
        <w:rPr>
          <w:rFonts w:ascii="Times New Roman" w:hAnsi="Times New Roman"/>
          <w:bCs/>
        </w:rPr>
        <w:t>the Judgment</w:t>
      </w:r>
      <w:r w:rsidR="00FD27D4" w:rsidRPr="008C5D2C">
        <w:rPr>
          <w:rFonts w:ascii="Times New Roman" w:hAnsi="Times New Roman"/>
          <w:bCs/>
        </w:rPr>
        <w:t xml:space="preserve"> Debtors are not based at Woodlands and hence there was no reason why the centre pivot</w:t>
      </w:r>
      <w:r w:rsidR="007C410C" w:rsidRPr="008C5D2C">
        <w:rPr>
          <w:rFonts w:ascii="Times New Roman" w:hAnsi="Times New Roman"/>
          <w:bCs/>
        </w:rPr>
        <w:t xml:space="preserve"> was attached.</w:t>
      </w:r>
    </w:p>
    <w:p w:rsidR="009A52AB" w:rsidRPr="008C5D2C" w:rsidRDefault="007E31EF" w:rsidP="005B2626">
      <w:pPr>
        <w:spacing w:after="0" w:line="360" w:lineRule="auto"/>
        <w:jc w:val="both"/>
        <w:rPr>
          <w:rFonts w:ascii="Times New Roman" w:hAnsi="Times New Roman"/>
          <w:bCs/>
        </w:rPr>
      </w:pPr>
      <w:r>
        <w:rPr>
          <w:rFonts w:ascii="Times New Roman" w:hAnsi="Times New Roman"/>
          <w:bCs/>
        </w:rPr>
        <w:tab/>
      </w:r>
      <w:r w:rsidR="00773F02" w:rsidRPr="008C5D2C">
        <w:rPr>
          <w:rFonts w:ascii="Times New Roman" w:hAnsi="Times New Roman"/>
          <w:bCs/>
        </w:rPr>
        <w:t>The claim was opposed by the Judgment Creditor.</w:t>
      </w:r>
      <w:r w:rsidR="00EA4B0C">
        <w:rPr>
          <w:rFonts w:ascii="Times New Roman" w:hAnsi="Times New Roman"/>
          <w:bCs/>
        </w:rPr>
        <w:t xml:space="preserve"> Initially, the Judgment Creditor raised a point </w:t>
      </w:r>
      <w:r w:rsidR="00EA4B0C">
        <w:rPr>
          <w:rFonts w:ascii="Times New Roman" w:hAnsi="Times New Roman"/>
          <w:bCs/>
          <w:i/>
          <w:iCs/>
        </w:rPr>
        <w:t>in limine</w:t>
      </w:r>
      <w:r w:rsidR="00EA4B0C">
        <w:rPr>
          <w:rFonts w:ascii="Times New Roman" w:hAnsi="Times New Roman"/>
          <w:bCs/>
        </w:rPr>
        <w:t xml:space="preserve"> to the effect that the Claimant was barred for filing Claimant’s opposing papers and Claimant’s Heads of Argument out of time. This point </w:t>
      </w:r>
      <w:r w:rsidR="00EA4B0C">
        <w:rPr>
          <w:rFonts w:ascii="Times New Roman" w:hAnsi="Times New Roman"/>
          <w:bCs/>
          <w:i/>
          <w:iCs/>
        </w:rPr>
        <w:t xml:space="preserve">in limine </w:t>
      </w:r>
      <w:r w:rsidR="00EA4B0C" w:rsidRPr="00EA4B0C">
        <w:rPr>
          <w:rFonts w:ascii="Times New Roman" w:hAnsi="Times New Roman"/>
          <w:bCs/>
        </w:rPr>
        <w:t>was</w:t>
      </w:r>
      <w:r w:rsidR="00EA4B0C">
        <w:rPr>
          <w:rFonts w:ascii="Times New Roman" w:hAnsi="Times New Roman"/>
          <w:bCs/>
        </w:rPr>
        <w:t xml:space="preserve"> eventually abandoned. </w:t>
      </w:r>
      <w:r w:rsidR="00773F02" w:rsidRPr="008C5D2C">
        <w:rPr>
          <w:rFonts w:ascii="Times New Roman" w:hAnsi="Times New Roman"/>
          <w:bCs/>
        </w:rPr>
        <w:t xml:space="preserve"> According to</w:t>
      </w:r>
      <w:r w:rsidR="00624360" w:rsidRPr="008C5D2C">
        <w:rPr>
          <w:rFonts w:ascii="Times New Roman" w:hAnsi="Times New Roman"/>
          <w:bCs/>
        </w:rPr>
        <w:t xml:space="preserve"> the Judgment Creditor,</w:t>
      </w:r>
      <w:r w:rsidR="00337970" w:rsidRPr="008C5D2C">
        <w:rPr>
          <w:rFonts w:ascii="Times New Roman" w:hAnsi="Times New Roman"/>
          <w:bCs/>
        </w:rPr>
        <w:t xml:space="preserve"> the centre pivot is not </w:t>
      </w:r>
      <w:r w:rsidR="008C5D2C" w:rsidRPr="008C5D2C">
        <w:rPr>
          <w:rFonts w:ascii="Times New Roman" w:hAnsi="Times New Roman"/>
          <w:bCs/>
        </w:rPr>
        <w:t>a permanent</w:t>
      </w:r>
      <w:r w:rsidR="00337970" w:rsidRPr="008C5D2C">
        <w:rPr>
          <w:rFonts w:ascii="Times New Roman" w:hAnsi="Times New Roman"/>
          <w:bCs/>
        </w:rPr>
        <w:t xml:space="preserve"> fixture.</w:t>
      </w:r>
      <w:r w:rsidR="00A549A0" w:rsidRPr="008C5D2C">
        <w:rPr>
          <w:rFonts w:ascii="Times New Roman" w:hAnsi="Times New Roman"/>
          <w:bCs/>
        </w:rPr>
        <w:t xml:space="preserve"> </w:t>
      </w:r>
      <w:r w:rsidR="00825A7C" w:rsidRPr="008C5D2C">
        <w:rPr>
          <w:rFonts w:ascii="Times New Roman" w:hAnsi="Times New Roman"/>
          <w:bCs/>
        </w:rPr>
        <w:t xml:space="preserve">It further affirmed that </w:t>
      </w:r>
      <w:r w:rsidR="00AE1BA6" w:rsidRPr="008C5D2C">
        <w:rPr>
          <w:rFonts w:ascii="Times New Roman" w:hAnsi="Times New Roman"/>
          <w:bCs/>
        </w:rPr>
        <w:t>the ce</w:t>
      </w:r>
      <w:r w:rsidR="005B2626">
        <w:rPr>
          <w:rFonts w:ascii="Times New Roman" w:hAnsi="Times New Roman"/>
          <w:bCs/>
        </w:rPr>
        <w:t xml:space="preserve">ntre pivot can be dismantled. </w:t>
      </w:r>
      <w:r w:rsidR="008C5D2C" w:rsidRPr="008C5D2C">
        <w:rPr>
          <w:rFonts w:ascii="Times New Roman" w:hAnsi="Times New Roman"/>
          <w:bCs/>
        </w:rPr>
        <w:t>Further, the</w:t>
      </w:r>
      <w:r w:rsidR="008A2578" w:rsidRPr="008C5D2C">
        <w:rPr>
          <w:rFonts w:ascii="Times New Roman" w:hAnsi="Times New Roman"/>
          <w:bCs/>
        </w:rPr>
        <w:t xml:space="preserve"> Judgment Creditor claimed that a used centre pivot can be </w:t>
      </w:r>
      <w:r w:rsidR="00A549A0" w:rsidRPr="008C5D2C">
        <w:rPr>
          <w:rFonts w:ascii="Times New Roman" w:hAnsi="Times New Roman"/>
          <w:bCs/>
        </w:rPr>
        <w:t xml:space="preserve">put </w:t>
      </w:r>
      <w:r w:rsidR="008A2578" w:rsidRPr="008C5D2C">
        <w:rPr>
          <w:rFonts w:ascii="Times New Roman" w:hAnsi="Times New Roman"/>
          <w:bCs/>
        </w:rPr>
        <w:t>on the market</w:t>
      </w:r>
      <w:r w:rsidR="00A549A0" w:rsidRPr="008C5D2C">
        <w:rPr>
          <w:rFonts w:ascii="Times New Roman" w:hAnsi="Times New Roman"/>
          <w:bCs/>
        </w:rPr>
        <w:t xml:space="preserve"> for sale</w:t>
      </w:r>
      <w:r w:rsidR="008A2578" w:rsidRPr="008C5D2C">
        <w:rPr>
          <w:rFonts w:ascii="Times New Roman" w:hAnsi="Times New Roman"/>
          <w:bCs/>
        </w:rPr>
        <w:t>.</w:t>
      </w:r>
    </w:p>
    <w:p w:rsidR="004C6BBC" w:rsidRPr="008C5D2C" w:rsidRDefault="007E31EF" w:rsidP="007E31EF">
      <w:pPr>
        <w:spacing w:after="0" w:line="360" w:lineRule="auto"/>
        <w:jc w:val="both"/>
        <w:rPr>
          <w:rFonts w:ascii="Times New Roman" w:hAnsi="Times New Roman"/>
          <w:bCs/>
        </w:rPr>
      </w:pPr>
      <w:r>
        <w:rPr>
          <w:rFonts w:ascii="Times New Roman" w:hAnsi="Times New Roman"/>
          <w:bCs/>
        </w:rPr>
        <w:lastRenderedPageBreak/>
        <w:tab/>
      </w:r>
      <w:r w:rsidR="009A52AB" w:rsidRPr="008C5D2C">
        <w:rPr>
          <w:rFonts w:ascii="Times New Roman" w:hAnsi="Times New Roman"/>
          <w:bCs/>
        </w:rPr>
        <w:t xml:space="preserve">The Judgment Creditor further maintained that the </w:t>
      </w:r>
      <w:r w:rsidR="002421D5" w:rsidRPr="008C5D2C">
        <w:rPr>
          <w:rFonts w:ascii="Times New Roman" w:hAnsi="Times New Roman"/>
          <w:bCs/>
        </w:rPr>
        <w:t>Judgment Debtors carried out farming activities at Woodlands Farm.</w:t>
      </w:r>
      <w:r w:rsidR="0004084D" w:rsidRPr="008C5D2C">
        <w:rPr>
          <w:rFonts w:ascii="Times New Roman" w:hAnsi="Times New Roman"/>
          <w:bCs/>
        </w:rPr>
        <w:t xml:space="preserve"> According to the Judgment Creditor,</w:t>
      </w:r>
      <w:r w:rsidR="00297CF2">
        <w:rPr>
          <w:rFonts w:ascii="Times New Roman" w:hAnsi="Times New Roman"/>
          <w:bCs/>
        </w:rPr>
        <w:t xml:space="preserve"> the centre pivot was not the only thing that was attached, </w:t>
      </w:r>
      <w:r w:rsidR="0004084D" w:rsidRPr="008C5D2C">
        <w:rPr>
          <w:rFonts w:ascii="Times New Roman" w:hAnsi="Times New Roman"/>
          <w:bCs/>
        </w:rPr>
        <w:t xml:space="preserve">but the seed potato and some tanks were also attached at this farm. The unclaimed property, according to the </w:t>
      </w:r>
      <w:r w:rsidR="004903F7" w:rsidRPr="008C5D2C">
        <w:rPr>
          <w:rFonts w:ascii="Times New Roman" w:hAnsi="Times New Roman"/>
          <w:bCs/>
        </w:rPr>
        <w:t>Judgment Creditor, was used by the Judgment Debtors for their farming operations</w:t>
      </w:r>
      <w:r w:rsidR="00A549A0" w:rsidRPr="008C5D2C">
        <w:rPr>
          <w:rFonts w:ascii="Times New Roman" w:hAnsi="Times New Roman"/>
          <w:bCs/>
        </w:rPr>
        <w:t xml:space="preserve"> at Woodlands Farm</w:t>
      </w:r>
      <w:r w:rsidR="004903F7" w:rsidRPr="008C5D2C">
        <w:rPr>
          <w:rFonts w:ascii="Times New Roman" w:hAnsi="Times New Roman"/>
          <w:bCs/>
        </w:rPr>
        <w:t xml:space="preserve">. The Judgment Creditor asserted that </w:t>
      </w:r>
      <w:r w:rsidR="00871454" w:rsidRPr="008C5D2C">
        <w:rPr>
          <w:rFonts w:ascii="Times New Roman" w:hAnsi="Times New Roman"/>
          <w:bCs/>
        </w:rPr>
        <w:t>the centre pivot</w:t>
      </w:r>
      <w:r w:rsidR="002A3D02" w:rsidRPr="008C5D2C">
        <w:rPr>
          <w:rFonts w:ascii="Times New Roman" w:hAnsi="Times New Roman"/>
          <w:bCs/>
        </w:rPr>
        <w:t>,</w:t>
      </w:r>
      <w:r w:rsidR="00871454" w:rsidRPr="008C5D2C">
        <w:rPr>
          <w:rFonts w:ascii="Times New Roman" w:hAnsi="Times New Roman"/>
          <w:bCs/>
        </w:rPr>
        <w:t xml:space="preserve"> like the unclaimed property</w:t>
      </w:r>
      <w:r w:rsidR="002A3D02" w:rsidRPr="008C5D2C">
        <w:rPr>
          <w:rFonts w:ascii="Times New Roman" w:hAnsi="Times New Roman"/>
          <w:bCs/>
        </w:rPr>
        <w:t>, was also used by the Judgment Debtors at Woodlands</w:t>
      </w:r>
      <w:r w:rsidR="005443E1" w:rsidRPr="008C5D2C">
        <w:rPr>
          <w:rFonts w:ascii="Times New Roman" w:hAnsi="Times New Roman"/>
          <w:bCs/>
        </w:rPr>
        <w:t xml:space="preserve"> Farm</w:t>
      </w:r>
      <w:r w:rsidR="002A3D02" w:rsidRPr="008C5D2C">
        <w:rPr>
          <w:rFonts w:ascii="Times New Roman" w:hAnsi="Times New Roman"/>
          <w:bCs/>
        </w:rPr>
        <w:t xml:space="preserve">. On this basis, the Judgment Creditor affirmed that the </w:t>
      </w:r>
      <w:r w:rsidR="005443E1" w:rsidRPr="008C5D2C">
        <w:rPr>
          <w:rFonts w:ascii="Times New Roman" w:hAnsi="Times New Roman"/>
          <w:bCs/>
        </w:rPr>
        <w:t xml:space="preserve">presumption </w:t>
      </w:r>
      <w:r w:rsidR="002A3D02" w:rsidRPr="008C5D2C">
        <w:rPr>
          <w:rFonts w:ascii="Times New Roman" w:hAnsi="Times New Roman"/>
          <w:bCs/>
        </w:rPr>
        <w:t>of ownership arising from possession must be employed as the claimed property was possessed by the Judgment Debtors at the time of attachment.</w:t>
      </w:r>
    </w:p>
    <w:p w:rsidR="00773F02" w:rsidRPr="008C5D2C" w:rsidRDefault="007E31EF" w:rsidP="007E31EF">
      <w:pPr>
        <w:spacing w:after="0" w:line="360" w:lineRule="auto"/>
        <w:jc w:val="both"/>
        <w:rPr>
          <w:rFonts w:ascii="Times New Roman" w:hAnsi="Times New Roman"/>
          <w:bCs/>
        </w:rPr>
      </w:pPr>
      <w:r>
        <w:rPr>
          <w:rFonts w:ascii="Times New Roman" w:hAnsi="Times New Roman"/>
          <w:bCs/>
        </w:rPr>
        <w:tab/>
      </w:r>
      <w:r w:rsidR="004C6BBC" w:rsidRPr="008C5D2C">
        <w:rPr>
          <w:rFonts w:ascii="Times New Roman" w:hAnsi="Times New Roman"/>
          <w:bCs/>
        </w:rPr>
        <w:t>The sole issue for determination is whether the Claimant has managed, on a balance of probabilit</w:t>
      </w:r>
      <w:r w:rsidR="00297CF2">
        <w:rPr>
          <w:rFonts w:ascii="Times New Roman" w:hAnsi="Times New Roman"/>
          <w:bCs/>
        </w:rPr>
        <w:t>ies</w:t>
      </w:r>
      <w:r w:rsidR="004C6BBC" w:rsidRPr="008C5D2C">
        <w:rPr>
          <w:rFonts w:ascii="Times New Roman" w:hAnsi="Times New Roman"/>
          <w:bCs/>
        </w:rPr>
        <w:t>, to prove ownership of the centre pivot.</w:t>
      </w:r>
    </w:p>
    <w:p w:rsidR="00497CD8" w:rsidRPr="008C5D2C" w:rsidRDefault="007E31EF" w:rsidP="008C5D2C">
      <w:pPr>
        <w:spacing w:line="360" w:lineRule="auto"/>
        <w:jc w:val="both"/>
        <w:rPr>
          <w:rFonts w:ascii="Times New Roman" w:eastAsia="Times New Roman" w:hAnsi="Times New Roman"/>
          <w:i/>
          <w:color w:val="000000"/>
        </w:rPr>
      </w:pPr>
      <w:r>
        <w:rPr>
          <w:rFonts w:ascii="Times New Roman" w:hAnsi="Times New Roman"/>
        </w:rPr>
        <w:tab/>
      </w:r>
      <w:r w:rsidR="0036349B" w:rsidRPr="008C5D2C">
        <w:rPr>
          <w:rFonts w:ascii="Times New Roman" w:hAnsi="Times New Roman"/>
        </w:rPr>
        <w:t>It is an established position of our law that</w:t>
      </w:r>
      <w:r w:rsidR="00BC0233" w:rsidRPr="008C5D2C">
        <w:rPr>
          <w:rFonts w:ascii="Times New Roman" w:hAnsi="Times New Roman"/>
        </w:rPr>
        <w:t xml:space="preserve"> the Claimant must prove ownership on </w:t>
      </w:r>
      <w:r w:rsidR="00497CD8" w:rsidRPr="008C5D2C">
        <w:rPr>
          <w:rFonts w:ascii="Times New Roman" w:hAnsi="Times New Roman"/>
        </w:rPr>
        <w:t xml:space="preserve">a </w:t>
      </w:r>
      <w:r w:rsidR="00BC0233" w:rsidRPr="008C5D2C">
        <w:rPr>
          <w:rFonts w:ascii="Times New Roman" w:hAnsi="Times New Roman"/>
        </w:rPr>
        <w:t xml:space="preserve">balance of </w:t>
      </w:r>
      <w:r w:rsidR="00497CD8" w:rsidRPr="008C5D2C">
        <w:rPr>
          <w:rFonts w:ascii="Times New Roman" w:hAnsi="Times New Roman"/>
        </w:rPr>
        <w:t>probabilit</w:t>
      </w:r>
      <w:r w:rsidR="00297CF2">
        <w:rPr>
          <w:rFonts w:ascii="Times New Roman" w:hAnsi="Times New Roman"/>
        </w:rPr>
        <w:t>ies</w:t>
      </w:r>
      <w:r w:rsidR="00BC0233" w:rsidRPr="008C5D2C">
        <w:rPr>
          <w:rFonts w:ascii="Times New Roman" w:hAnsi="Times New Roman"/>
        </w:rPr>
        <w:t>.</w:t>
      </w:r>
      <w:r w:rsidR="00337B10" w:rsidRPr="008C5D2C">
        <w:rPr>
          <w:rFonts w:ascii="Times New Roman" w:hAnsi="Times New Roman"/>
        </w:rPr>
        <w:t xml:space="preserve"> Reference is made to the case of</w:t>
      </w:r>
      <w:r w:rsidR="00497CD8" w:rsidRPr="008C5D2C">
        <w:rPr>
          <w:rFonts w:ascii="Times New Roman" w:hAnsi="Times New Roman"/>
        </w:rPr>
        <w:t xml:space="preserve"> </w:t>
      </w:r>
      <w:r w:rsidR="00497CD8" w:rsidRPr="008C5D2C">
        <w:rPr>
          <w:rFonts w:ascii="Times New Roman" w:eastAsia="Times New Roman" w:hAnsi="Times New Roman"/>
          <w:i/>
          <w:color w:val="000000"/>
        </w:rPr>
        <w:t xml:space="preserve">Welli-Well (Pvt) Ltd </w:t>
      </w:r>
      <w:r w:rsidR="00497CD8" w:rsidRPr="007E31EF">
        <w:rPr>
          <w:rFonts w:ascii="Times New Roman" w:eastAsia="Times New Roman" w:hAnsi="Times New Roman"/>
          <w:color w:val="000000"/>
        </w:rPr>
        <w:t>v</w:t>
      </w:r>
      <w:r w:rsidR="00497CD8" w:rsidRPr="008C5D2C">
        <w:rPr>
          <w:rFonts w:ascii="Times New Roman" w:eastAsia="Times New Roman" w:hAnsi="Times New Roman"/>
          <w:i/>
          <w:color w:val="000000"/>
        </w:rPr>
        <w:t xml:space="preserve"> Imbayago and Another</w:t>
      </w:r>
      <w:r w:rsidR="00497CD8" w:rsidRPr="008C5D2C">
        <w:rPr>
          <w:rStyle w:val="FootnoteReference"/>
          <w:rFonts w:ascii="Times New Roman" w:hAnsi="Times New Roman"/>
          <w:color w:val="000000"/>
        </w:rPr>
        <w:footnoteReference w:id="1"/>
      </w:r>
      <w:r w:rsidR="00497CD8" w:rsidRPr="008C5D2C">
        <w:rPr>
          <w:rFonts w:ascii="Times New Roman" w:eastAsia="Times New Roman" w:hAnsi="Times New Roman"/>
          <w:i/>
          <w:color w:val="000000"/>
        </w:rPr>
        <w:t xml:space="preserve"> </w:t>
      </w:r>
      <w:r w:rsidR="00497CD8" w:rsidRPr="00297CF2">
        <w:rPr>
          <w:rFonts w:ascii="Times New Roman" w:eastAsia="Times New Roman" w:hAnsi="Times New Roman"/>
          <w:color w:val="000000"/>
        </w:rPr>
        <w:t>where the Supreme Court</w:t>
      </w:r>
      <w:r w:rsidR="00497CD8" w:rsidRPr="008C5D2C">
        <w:rPr>
          <w:rFonts w:ascii="Times New Roman" w:eastAsia="Times New Roman" w:hAnsi="Times New Roman"/>
          <w:i/>
          <w:color w:val="000000"/>
        </w:rPr>
        <w:t xml:space="preserve"> </w:t>
      </w:r>
      <w:r w:rsidR="00497CD8" w:rsidRPr="008C5D2C">
        <w:rPr>
          <w:rFonts w:ascii="Times New Roman" w:eastAsia="Times New Roman" w:hAnsi="Times New Roman"/>
          <w:color w:val="000000"/>
        </w:rPr>
        <w:t>superbly commented as follows</w:t>
      </w:r>
      <w:r w:rsidR="00497CD8" w:rsidRPr="008C5D2C">
        <w:rPr>
          <w:rFonts w:ascii="Times New Roman" w:eastAsia="Times New Roman" w:hAnsi="Times New Roman"/>
          <w:i/>
          <w:color w:val="000000"/>
        </w:rPr>
        <w:t>:</w:t>
      </w:r>
    </w:p>
    <w:p w:rsidR="00497CD8" w:rsidRPr="007E31EF" w:rsidRDefault="00497CD8" w:rsidP="007E31EF">
      <w:pPr>
        <w:spacing w:line="240" w:lineRule="auto"/>
        <w:ind w:left="720"/>
        <w:jc w:val="both"/>
        <w:rPr>
          <w:rFonts w:ascii="Times New Roman" w:eastAsia="Times New Roman" w:hAnsi="Times New Roman"/>
          <w:color w:val="000000"/>
          <w:sz w:val="22"/>
        </w:rPr>
      </w:pPr>
      <w:bookmarkStart w:id="1" w:name="_trgwnok7xt62" w:colFirst="0" w:colLast="0"/>
      <w:bookmarkEnd w:id="1"/>
      <w:r w:rsidRPr="007E31EF">
        <w:rPr>
          <w:rFonts w:ascii="Times New Roman" w:eastAsia="Times New Roman" w:hAnsi="Times New Roman"/>
          <w:color w:val="000000"/>
          <w:sz w:val="22"/>
        </w:rPr>
        <w:t>“It is settled that a party claiming ownership of a property placed under judicial attachment in interpleader proceedings must produce clear and satisfactory evidence to prove such ownership. Such a party bears the onus to prove ownership on a balance of probabilities.”</w:t>
      </w:r>
      <w:r w:rsidR="004F706F" w:rsidRPr="007E31EF">
        <w:rPr>
          <w:rFonts w:ascii="Times New Roman" w:hAnsi="Times New Roman"/>
          <w:sz w:val="22"/>
        </w:rPr>
        <w:t xml:space="preserve"> </w:t>
      </w:r>
    </w:p>
    <w:p w:rsidR="004F706F" w:rsidRPr="00297CF2" w:rsidRDefault="007E31EF" w:rsidP="00297CF2">
      <w:pPr>
        <w:spacing w:line="360" w:lineRule="auto"/>
        <w:jc w:val="both"/>
        <w:rPr>
          <w:rFonts w:ascii="Times New Roman" w:hAnsi="Times New Roman"/>
        </w:rPr>
      </w:pPr>
      <w:r>
        <w:rPr>
          <w:rFonts w:ascii="Times New Roman" w:hAnsi="Times New Roman"/>
        </w:rPr>
        <w:tab/>
      </w:r>
      <w:r w:rsidR="00497CD8" w:rsidRPr="008C5D2C">
        <w:rPr>
          <w:rFonts w:ascii="Times New Roman" w:hAnsi="Times New Roman"/>
        </w:rPr>
        <w:t xml:space="preserve">Further in the case of </w:t>
      </w:r>
      <w:r w:rsidR="00497CD8" w:rsidRPr="00297CF2">
        <w:rPr>
          <w:rFonts w:ascii="Times New Roman" w:hAnsi="Times New Roman"/>
          <w:i/>
        </w:rPr>
        <w:t>Th</w:t>
      </w:r>
      <w:r w:rsidR="004F706F" w:rsidRPr="00297CF2">
        <w:rPr>
          <w:rFonts w:ascii="Times New Roman" w:hAnsi="Times New Roman"/>
          <w:i/>
        </w:rPr>
        <w:t xml:space="preserve">e Sheriff of Zimbabwe </w:t>
      </w:r>
      <w:r w:rsidR="004F706F" w:rsidRPr="007E31EF">
        <w:rPr>
          <w:rFonts w:ascii="Times New Roman" w:hAnsi="Times New Roman"/>
        </w:rPr>
        <w:t>v</w:t>
      </w:r>
      <w:r w:rsidR="004F706F" w:rsidRPr="00297CF2">
        <w:rPr>
          <w:rFonts w:ascii="Times New Roman" w:hAnsi="Times New Roman"/>
          <w:i/>
        </w:rPr>
        <w:t xml:space="preserve"> Quality Gas (Private) Limited and Another</w:t>
      </w:r>
      <w:r w:rsidR="004F706F" w:rsidRPr="007E31EF">
        <w:rPr>
          <w:rStyle w:val="FootnoteReference"/>
          <w:rFonts w:ascii="Times New Roman" w:hAnsi="Times New Roman"/>
        </w:rPr>
        <w:footnoteReference w:id="2"/>
      </w:r>
      <w:r w:rsidR="004F706F" w:rsidRPr="007E31EF">
        <w:rPr>
          <w:rFonts w:ascii="Times New Roman" w:hAnsi="Times New Roman"/>
        </w:rPr>
        <w:t>,</w:t>
      </w:r>
      <w:r w:rsidR="004F706F" w:rsidRPr="008C5D2C">
        <w:rPr>
          <w:rFonts w:ascii="Times New Roman" w:hAnsi="Times New Roman"/>
          <w:b/>
        </w:rPr>
        <w:t xml:space="preserve"> </w:t>
      </w:r>
      <w:r w:rsidR="004F706F" w:rsidRPr="00297CF2">
        <w:rPr>
          <w:rFonts w:ascii="Times New Roman" w:hAnsi="Times New Roman"/>
        </w:rPr>
        <w:t xml:space="preserve">the court </w:t>
      </w:r>
      <w:r w:rsidR="00D24D41" w:rsidRPr="00297CF2">
        <w:rPr>
          <w:rFonts w:ascii="Times New Roman" w:hAnsi="Times New Roman"/>
        </w:rPr>
        <w:t>superlatively</w:t>
      </w:r>
      <w:r w:rsidR="00D11D3F" w:rsidRPr="00297CF2">
        <w:rPr>
          <w:rFonts w:ascii="Times New Roman" w:hAnsi="Times New Roman"/>
        </w:rPr>
        <w:t xml:space="preserve"> commented as follows:</w:t>
      </w:r>
      <w:r w:rsidR="004F706F" w:rsidRPr="00297CF2">
        <w:rPr>
          <w:rFonts w:ascii="Times New Roman" w:hAnsi="Times New Roman"/>
        </w:rPr>
        <w:t xml:space="preserve"> </w:t>
      </w:r>
    </w:p>
    <w:p w:rsidR="004F706F" w:rsidRPr="007E31EF" w:rsidRDefault="004F706F" w:rsidP="007E31EF">
      <w:pPr>
        <w:spacing w:line="240" w:lineRule="auto"/>
        <w:ind w:left="720"/>
        <w:jc w:val="both"/>
        <w:rPr>
          <w:rFonts w:ascii="Times New Roman" w:hAnsi="Times New Roman"/>
          <w:sz w:val="22"/>
        </w:rPr>
      </w:pPr>
      <w:r w:rsidRPr="007E31EF">
        <w:rPr>
          <w:rFonts w:ascii="Times New Roman" w:hAnsi="Times New Roman"/>
          <w:sz w:val="22"/>
        </w:rPr>
        <w:t xml:space="preserve">“The clear position of the law is that he who affirms must prove: Van Der Linden, Institutes of Holland, 3rd edition, page 155.  The cardinal rule on onus is that a person who claims something from another must satisfy the court that he is entitled to it:  </w:t>
      </w:r>
      <w:r w:rsidRPr="007E31EF">
        <w:rPr>
          <w:rFonts w:ascii="Times New Roman" w:hAnsi="Times New Roman"/>
          <w:i/>
          <w:sz w:val="22"/>
        </w:rPr>
        <w:t>Zupco Limited</w:t>
      </w:r>
      <w:r w:rsidRPr="007E31EF">
        <w:rPr>
          <w:rFonts w:ascii="Times New Roman" w:hAnsi="Times New Roman"/>
          <w:sz w:val="22"/>
        </w:rPr>
        <w:t xml:space="preserve"> v </w:t>
      </w:r>
      <w:r w:rsidRPr="007E31EF">
        <w:rPr>
          <w:rFonts w:ascii="Times New Roman" w:hAnsi="Times New Roman"/>
          <w:i/>
          <w:sz w:val="22"/>
        </w:rPr>
        <w:t>Parkhorse Services</w:t>
      </w:r>
      <w:r w:rsidRPr="007E31EF">
        <w:rPr>
          <w:rFonts w:ascii="Times New Roman" w:hAnsi="Times New Roman"/>
          <w:sz w:val="22"/>
        </w:rPr>
        <w:t xml:space="preserve"> SC 13/17.</w:t>
      </w:r>
    </w:p>
    <w:p w:rsidR="00C01FC7" w:rsidRPr="007E31EF" w:rsidRDefault="004F706F" w:rsidP="007E31EF">
      <w:pPr>
        <w:spacing w:line="240" w:lineRule="auto"/>
        <w:ind w:left="720"/>
        <w:jc w:val="both"/>
        <w:rPr>
          <w:rFonts w:ascii="Times New Roman" w:hAnsi="Times New Roman"/>
          <w:sz w:val="22"/>
        </w:rPr>
      </w:pPr>
      <w:r w:rsidRPr="007E31EF">
        <w:rPr>
          <w:rFonts w:ascii="Times New Roman" w:hAnsi="Times New Roman"/>
          <w:sz w:val="22"/>
        </w:rPr>
        <w:t>It is clear from the above-stated expose of the law that the claimant bears the burden of proving that the property which the Sheriff attached belongs to it.”</w:t>
      </w:r>
    </w:p>
    <w:p w:rsidR="00F26D8D" w:rsidRPr="008C5D2C" w:rsidRDefault="007E31EF" w:rsidP="008C5D2C">
      <w:pPr>
        <w:spacing w:line="360" w:lineRule="auto"/>
        <w:jc w:val="both"/>
        <w:rPr>
          <w:rFonts w:ascii="Times New Roman" w:hAnsi="Times New Roman"/>
        </w:rPr>
      </w:pPr>
      <w:r>
        <w:rPr>
          <w:rFonts w:ascii="Times New Roman" w:hAnsi="Times New Roman"/>
        </w:rPr>
        <w:tab/>
      </w:r>
      <w:r w:rsidR="00C01FC7" w:rsidRPr="008C5D2C">
        <w:rPr>
          <w:rFonts w:ascii="Times New Roman" w:hAnsi="Times New Roman"/>
        </w:rPr>
        <w:t xml:space="preserve">In the present case, there are several factors which are common cause. After going through the Judgment Creditor’s opposing affidavit, the Claimant, in the </w:t>
      </w:r>
      <w:r w:rsidR="003A6978" w:rsidRPr="008C5D2C">
        <w:rPr>
          <w:rFonts w:ascii="Times New Roman" w:hAnsi="Times New Roman"/>
        </w:rPr>
        <w:t xml:space="preserve">opposing affidavit which was filed after Judgment Creditor’s opposing </w:t>
      </w:r>
      <w:r w:rsidR="008C5D2C" w:rsidRPr="008C5D2C">
        <w:rPr>
          <w:rFonts w:ascii="Times New Roman" w:hAnsi="Times New Roman"/>
        </w:rPr>
        <w:t>affidavit, did</w:t>
      </w:r>
      <w:r w:rsidR="00C01FC7" w:rsidRPr="008C5D2C">
        <w:rPr>
          <w:rFonts w:ascii="Times New Roman" w:hAnsi="Times New Roman"/>
        </w:rPr>
        <w:t xml:space="preserve"> not persist with the point </w:t>
      </w:r>
      <w:r w:rsidR="008C5D2C" w:rsidRPr="008C5D2C">
        <w:rPr>
          <w:rFonts w:ascii="Times New Roman" w:hAnsi="Times New Roman"/>
        </w:rPr>
        <w:t>that the</w:t>
      </w:r>
      <w:r w:rsidR="003A6978" w:rsidRPr="008C5D2C">
        <w:rPr>
          <w:rFonts w:ascii="Times New Roman" w:hAnsi="Times New Roman"/>
        </w:rPr>
        <w:t xml:space="preserve"> </w:t>
      </w:r>
      <w:r w:rsidR="00C01FC7" w:rsidRPr="008C5D2C">
        <w:rPr>
          <w:rFonts w:ascii="Times New Roman" w:hAnsi="Times New Roman"/>
        </w:rPr>
        <w:t>Judgment Debtors were not based at Woodlands Farm. This means that the property was possessed by the Judgment Debtors</w:t>
      </w:r>
      <w:r w:rsidR="003A6978" w:rsidRPr="008C5D2C">
        <w:rPr>
          <w:rFonts w:ascii="Times New Roman" w:hAnsi="Times New Roman"/>
        </w:rPr>
        <w:t xml:space="preserve"> at the time of attachment</w:t>
      </w:r>
      <w:r w:rsidR="00C01FC7" w:rsidRPr="008C5D2C">
        <w:rPr>
          <w:rFonts w:ascii="Times New Roman" w:hAnsi="Times New Roman"/>
        </w:rPr>
        <w:t xml:space="preserve">. </w:t>
      </w:r>
      <w:r w:rsidR="008C5D2C" w:rsidRPr="008C5D2C">
        <w:rPr>
          <w:rFonts w:ascii="Times New Roman" w:hAnsi="Times New Roman"/>
        </w:rPr>
        <w:t>It is</w:t>
      </w:r>
      <w:r w:rsidR="000C5FEE" w:rsidRPr="008C5D2C">
        <w:rPr>
          <w:rFonts w:ascii="Times New Roman" w:hAnsi="Times New Roman"/>
        </w:rPr>
        <w:t xml:space="preserve"> not disputed that</w:t>
      </w:r>
      <w:r>
        <w:rPr>
          <w:rFonts w:ascii="Times New Roman" w:hAnsi="Times New Roman"/>
        </w:rPr>
        <w:t xml:space="preserve"> the a</w:t>
      </w:r>
      <w:r w:rsidR="008138F0" w:rsidRPr="008C5D2C">
        <w:rPr>
          <w:rFonts w:ascii="Times New Roman" w:hAnsi="Times New Roman"/>
        </w:rPr>
        <w:t xml:space="preserve">pplicant </w:t>
      </w:r>
      <w:r w:rsidR="0018007D" w:rsidRPr="008C5D2C">
        <w:rPr>
          <w:rFonts w:ascii="Times New Roman" w:hAnsi="Times New Roman"/>
        </w:rPr>
        <w:lastRenderedPageBreak/>
        <w:t xml:space="preserve">attached </w:t>
      </w:r>
      <w:r w:rsidR="008138F0" w:rsidRPr="008C5D2C">
        <w:rPr>
          <w:rFonts w:ascii="Times New Roman" w:hAnsi="Times New Roman"/>
        </w:rPr>
        <w:t>seed potato and some tanks at Woodlands Farm</w:t>
      </w:r>
      <w:r w:rsidR="0018007D" w:rsidRPr="008C5D2C">
        <w:rPr>
          <w:rFonts w:ascii="Times New Roman" w:hAnsi="Times New Roman"/>
        </w:rPr>
        <w:t xml:space="preserve"> which were used by the Judgment Debtors for their farming operations</w:t>
      </w:r>
      <w:r w:rsidR="008138F0" w:rsidRPr="008C5D2C">
        <w:rPr>
          <w:rFonts w:ascii="Times New Roman" w:hAnsi="Times New Roman"/>
        </w:rPr>
        <w:t>.</w:t>
      </w:r>
      <w:r w:rsidR="00102DF5" w:rsidRPr="008C5D2C">
        <w:rPr>
          <w:rFonts w:ascii="Times New Roman" w:hAnsi="Times New Roman"/>
        </w:rPr>
        <w:t xml:space="preserve"> This point was not resisted in the Claimant’s opposing affidavit. </w:t>
      </w:r>
      <w:r w:rsidR="001F0D0E" w:rsidRPr="008C5D2C">
        <w:rPr>
          <w:rFonts w:ascii="Times New Roman" w:hAnsi="Times New Roman"/>
        </w:rPr>
        <w:t>For this reason, the presumption of ownership</w:t>
      </w:r>
      <w:r w:rsidR="006E056E" w:rsidRPr="008C5D2C">
        <w:rPr>
          <w:rFonts w:ascii="Times New Roman" w:hAnsi="Times New Roman"/>
        </w:rPr>
        <w:t xml:space="preserve"> must be employed to resolve the question of ownership.</w:t>
      </w:r>
      <w:r w:rsidR="00252673" w:rsidRPr="008C5D2C">
        <w:rPr>
          <w:rFonts w:ascii="Times New Roman" w:hAnsi="Times New Roman"/>
        </w:rPr>
        <w:t xml:space="preserve"> Reference is made to the case of </w:t>
      </w:r>
      <w:r w:rsidR="00F26D8D" w:rsidRPr="008C5D2C">
        <w:rPr>
          <w:rFonts w:ascii="Times New Roman" w:hAnsi="Times New Roman"/>
          <w:i/>
        </w:rPr>
        <w:t xml:space="preserve">Zandberg </w:t>
      </w:r>
      <w:r w:rsidR="00F26D8D" w:rsidRPr="007E31EF">
        <w:rPr>
          <w:rFonts w:ascii="Times New Roman" w:hAnsi="Times New Roman"/>
        </w:rPr>
        <w:t>v</w:t>
      </w:r>
      <w:r w:rsidR="00F26D8D" w:rsidRPr="008C5D2C">
        <w:rPr>
          <w:rFonts w:ascii="Times New Roman" w:hAnsi="Times New Roman"/>
          <w:i/>
        </w:rPr>
        <w:t xml:space="preserve"> van Zyl</w:t>
      </w:r>
      <w:r w:rsidR="00F26D8D" w:rsidRPr="008C5D2C">
        <w:rPr>
          <w:rStyle w:val="FootnoteReference"/>
          <w:rFonts w:ascii="Times New Roman" w:hAnsi="Times New Roman"/>
        </w:rPr>
        <w:footnoteReference w:id="3"/>
      </w:r>
      <w:r w:rsidR="00F26D8D" w:rsidRPr="008C5D2C">
        <w:rPr>
          <w:rFonts w:ascii="Times New Roman" w:hAnsi="Times New Roman"/>
        </w:rPr>
        <w:t>, where the court held that:</w:t>
      </w:r>
    </w:p>
    <w:p w:rsidR="00BD6973" w:rsidRDefault="00F26D8D" w:rsidP="007E31EF">
      <w:pPr>
        <w:tabs>
          <w:tab w:val="left" w:pos="2599"/>
        </w:tabs>
        <w:spacing w:line="240" w:lineRule="auto"/>
        <w:ind w:left="720"/>
        <w:jc w:val="both"/>
        <w:rPr>
          <w:rFonts w:ascii="Times New Roman" w:hAnsi="Times New Roman"/>
        </w:rPr>
      </w:pPr>
      <w:r w:rsidRPr="007E31EF">
        <w:rPr>
          <w:rFonts w:ascii="Times New Roman" w:hAnsi="Times New Roman"/>
          <w:sz w:val="22"/>
        </w:rPr>
        <w:t>“… possession of a movable raises a presumption of ownership ….”</w:t>
      </w:r>
    </w:p>
    <w:p w:rsidR="00CE10C4" w:rsidRPr="008C5D2C" w:rsidRDefault="007E31EF" w:rsidP="008C5D2C">
      <w:pPr>
        <w:spacing w:line="360" w:lineRule="auto"/>
        <w:jc w:val="both"/>
        <w:rPr>
          <w:rFonts w:ascii="Times New Roman" w:eastAsia="Times New Roman" w:hAnsi="Times New Roman"/>
        </w:rPr>
      </w:pPr>
      <w:r>
        <w:rPr>
          <w:rFonts w:ascii="Times New Roman" w:eastAsia="Times New Roman" w:hAnsi="Times New Roman"/>
        </w:rPr>
        <w:tab/>
      </w:r>
      <w:r w:rsidR="00F26D8D" w:rsidRPr="008C5D2C">
        <w:rPr>
          <w:rFonts w:ascii="Times New Roman" w:eastAsia="Times New Roman" w:hAnsi="Times New Roman"/>
        </w:rPr>
        <w:t xml:space="preserve">The case of </w:t>
      </w:r>
      <w:r w:rsidR="00F26D8D" w:rsidRPr="008C5D2C">
        <w:rPr>
          <w:rFonts w:ascii="Times New Roman" w:eastAsia="Times New Roman" w:hAnsi="Times New Roman"/>
          <w:i/>
        </w:rPr>
        <w:t xml:space="preserve">Zandberg </w:t>
      </w:r>
      <w:r w:rsidR="00F26D8D" w:rsidRPr="007E31EF">
        <w:rPr>
          <w:rFonts w:ascii="Times New Roman" w:eastAsia="Times New Roman" w:hAnsi="Times New Roman"/>
        </w:rPr>
        <w:t>v</w:t>
      </w:r>
      <w:r w:rsidR="00F26D8D" w:rsidRPr="008C5D2C">
        <w:rPr>
          <w:rFonts w:ascii="Times New Roman" w:eastAsia="Times New Roman" w:hAnsi="Times New Roman"/>
          <w:i/>
        </w:rPr>
        <w:t xml:space="preserve"> Van Zyl</w:t>
      </w:r>
      <w:r w:rsidR="00F26D8D" w:rsidRPr="008C5D2C">
        <w:rPr>
          <w:rFonts w:ascii="Times New Roman" w:eastAsia="Times New Roman" w:hAnsi="Times New Roman"/>
        </w:rPr>
        <w:t xml:space="preserve"> was quoted with approval in the case of </w:t>
      </w:r>
      <w:r w:rsidR="00F26D8D" w:rsidRPr="008C5D2C">
        <w:rPr>
          <w:rFonts w:ascii="Times New Roman" w:eastAsia="Times New Roman" w:hAnsi="Times New Roman"/>
          <w:i/>
        </w:rPr>
        <w:t xml:space="preserve">Muzanenhamo </w:t>
      </w:r>
      <w:r w:rsidR="00F26D8D" w:rsidRPr="007E31EF">
        <w:rPr>
          <w:rFonts w:ascii="Times New Roman" w:eastAsia="Times New Roman" w:hAnsi="Times New Roman"/>
        </w:rPr>
        <w:t xml:space="preserve">v </w:t>
      </w:r>
      <w:r w:rsidR="00F26D8D" w:rsidRPr="008C5D2C">
        <w:rPr>
          <w:rFonts w:ascii="Times New Roman" w:eastAsia="Times New Roman" w:hAnsi="Times New Roman"/>
          <w:i/>
        </w:rPr>
        <w:t>Fishtown Investments (Pvt) Ltd and Ors</w:t>
      </w:r>
      <w:r w:rsidR="00F26D8D" w:rsidRPr="008C5D2C">
        <w:rPr>
          <w:rStyle w:val="FootnoteReference"/>
          <w:rFonts w:ascii="Times New Roman" w:eastAsia="Times New Roman" w:hAnsi="Times New Roman"/>
        </w:rPr>
        <w:footnoteReference w:id="4"/>
      </w:r>
      <w:r w:rsidR="00F26D8D" w:rsidRPr="008C5D2C">
        <w:rPr>
          <w:rFonts w:ascii="Times New Roman" w:eastAsia="Times New Roman" w:hAnsi="Times New Roman"/>
        </w:rPr>
        <w:t xml:space="preserve">. On this basis, the Claimant does have a burden to rebut the presumption of ownership. </w:t>
      </w:r>
      <w:r w:rsidR="00A44E1A" w:rsidRPr="008C5D2C">
        <w:rPr>
          <w:rFonts w:ascii="Times New Roman" w:eastAsia="Times New Roman" w:hAnsi="Times New Roman"/>
        </w:rPr>
        <w:t xml:space="preserve">Mr. </w:t>
      </w:r>
      <w:r w:rsidR="00A44E1A" w:rsidRPr="005B2626">
        <w:rPr>
          <w:rFonts w:ascii="Times New Roman" w:eastAsia="Times New Roman" w:hAnsi="Times New Roman"/>
          <w:i/>
        </w:rPr>
        <w:t>Tazvitya</w:t>
      </w:r>
      <w:r w:rsidR="00A44E1A" w:rsidRPr="008C5D2C">
        <w:rPr>
          <w:rFonts w:ascii="Times New Roman" w:eastAsia="Times New Roman" w:hAnsi="Times New Roman"/>
        </w:rPr>
        <w:t xml:space="preserve"> submitted that the centre pivot is a permanent fixture and hence must not be presumed to be the property of the Judgment Debtors.</w:t>
      </w:r>
      <w:r w:rsidR="00771436" w:rsidRPr="008C5D2C">
        <w:rPr>
          <w:rFonts w:ascii="Times New Roman" w:eastAsia="Times New Roman" w:hAnsi="Times New Roman"/>
        </w:rPr>
        <w:t xml:space="preserve"> </w:t>
      </w:r>
      <w:r w:rsidR="00DE5673" w:rsidRPr="008C5D2C">
        <w:rPr>
          <w:rFonts w:ascii="Times New Roman" w:eastAsia="Times New Roman" w:hAnsi="Times New Roman"/>
        </w:rPr>
        <w:t>However, no evidence was laid before my attention</w:t>
      </w:r>
      <w:r w:rsidR="00B23BC2" w:rsidRPr="008C5D2C">
        <w:rPr>
          <w:rFonts w:ascii="Times New Roman" w:eastAsia="Times New Roman" w:hAnsi="Times New Roman"/>
        </w:rPr>
        <w:t xml:space="preserve"> to substantiate the allegation that the centre pivot is a permanent fixture.</w:t>
      </w:r>
      <w:r w:rsidR="001A7D07" w:rsidRPr="008C5D2C">
        <w:rPr>
          <w:rFonts w:ascii="Times New Roman" w:eastAsia="Times New Roman" w:hAnsi="Times New Roman"/>
        </w:rPr>
        <w:t xml:space="preserve"> The Claimant ha</w:t>
      </w:r>
      <w:r w:rsidR="00BD6973">
        <w:rPr>
          <w:rFonts w:ascii="Times New Roman" w:eastAsia="Times New Roman" w:hAnsi="Times New Roman"/>
        </w:rPr>
        <w:t>s the</w:t>
      </w:r>
      <w:r w:rsidR="001A7D07" w:rsidRPr="008C5D2C">
        <w:rPr>
          <w:rFonts w:ascii="Times New Roman" w:eastAsia="Times New Roman" w:hAnsi="Times New Roman"/>
        </w:rPr>
        <w:t xml:space="preserve"> onus </w:t>
      </w:r>
      <w:r w:rsidR="008C5D2C" w:rsidRPr="008C5D2C">
        <w:rPr>
          <w:rFonts w:ascii="Times New Roman" w:eastAsia="Times New Roman" w:hAnsi="Times New Roman"/>
        </w:rPr>
        <w:t>to prove</w:t>
      </w:r>
      <w:r w:rsidR="004E237F" w:rsidRPr="008C5D2C">
        <w:rPr>
          <w:rFonts w:ascii="Times New Roman" w:eastAsia="Times New Roman" w:hAnsi="Times New Roman"/>
        </w:rPr>
        <w:t xml:space="preserve"> that the centre pivot is a permanent fixture.</w:t>
      </w:r>
      <w:r w:rsidR="00102DF5" w:rsidRPr="008C5D2C">
        <w:rPr>
          <w:rFonts w:ascii="Times New Roman" w:eastAsia="Times New Roman" w:hAnsi="Times New Roman"/>
        </w:rPr>
        <w:t xml:space="preserve"> A mere allegation does not make a thing </w:t>
      </w:r>
      <w:r w:rsidR="008C5D2C" w:rsidRPr="008C5D2C">
        <w:rPr>
          <w:rFonts w:ascii="Times New Roman" w:eastAsia="Times New Roman" w:hAnsi="Times New Roman"/>
        </w:rPr>
        <w:t>a permanent</w:t>
      </w:r>
      <w:r w:rsidR="00102DF5" w:rsidRPr="008C5D2C">
        <w:rPr>
          <w:rFonts w:ascii="Times New Roman" w:eastAsia="Times New Roman" w:hAnsi="Times New Roman"/>
        </w:rPr>
        <w:t xml:space="preserve"> fixture.</w:t>
      </w:r>
      <w:r w:rsidR="00BD6973">
        <w:rPr>
          <w:rFonts w:ascii="Times New Roman" w:eastAsia="Times New Roman" w:hAnsi="Times New Roman"/>
        </w:rPr>
        <w:t xml:space="preserve"> </w:t>
      </w:r>
      <w:r w:rsidR="00260E4D" w:rsidRPr="008C5D2C">
        <w:rPr>
          <w:rFonts w:ascii="Times New Roman" w:eastAsia="Times New Roman" w:hAnsi="Times New Roman"/>
        </w:rPr>
        <w:t xml:space="preserve">In the case of </w:t>
      </w:r>
      <w:r w:rsidR="00260E4D" w:rsidRPr="00BD6973">
        <w:rPr>
          <w:rFonts w:ascii="Times New Roman" w:eastAsia="Times New Roman" w:hAnsi="Times New Roman"/>
          <w:i/>
        </w:rPr>
        <w:t xml:space="preserve">Stooks </w:t>
      </w:r>
      <w:r w:rsidR="00260E4D" w:rsidRPr="007E31EF">
        <w:rPr>
          <w:rFonts w:ascii="Times New Roman" w:eastAsia="Times New Roman" w:hAnsi="Times New Roman"/>
        </w:rPr>
        <w:t xml:space="preserve">v </w:t>
      </w:r>
      <w:r w:rsidR="00260E4D" w:rsidRPr="00BD6973">
        <w:rPr>
          <w:rFonts w:ascii="Times New Roman" w:eastAsia="Times New Roman" w:hAnsi="Times New Roman"/>
          <w:i/>
        </w:rPr>
        <w:t>Minister of Lands and Rural Settlement</w:t>
      </w:r>
      <w:r w:rsidR="00145336" w:rsidRPr="008C5D2C">
        <w:rPr>
          <w:rStyle w:val="FootnoteReference"/>
          <w:rFonts w:ascii="Times New Roman" w:eastAsia="Times New Roman" w:hAnsi="Times New Roman"/>
        </w:rPr>
        <w:footnoteReference w:id="5"/>
      </w:r>
      <w:r w:rsidR="00260E4D" w:rsidRPr="008C5D2C">
        <w:rPr>
          <w:rFonts w:ascii="Times New Roman" w:eastAsia="Times New Roman" w:hAnsi="Times New Roman"/>
        </w:rPr>
        <w:t>, the court held that:</w:t>
      </w:r>
    </w:p>
    <w:p w:rsidR="00CE10C4" w:rsidRPr="007E31EF" w:rsidRDefault="00CE10C4" w:rsidP="007E31EF">
      <w:pPr>
        <w:spacing w:after="0" w:line="240" w:lineRule="auto"/>
        <w:ind w:left="720"/>
        <w:jc w:val="both"/>
        <w:rPr>
          <w:rFonts w:ascii="Times New Roman" w:hAnsi="Times New Roman"/>
          <w:sz w:val="22"/>
        </w:rPr>
      </w:pPr>
      <w:r w:rsidRPr="007E31EF">
        <w:rPr>
          <w:rFonts w:ascii="Times New Roman" w:eastAsia="Times New Roman" w:hAnsi="Times New Roman"/>
          <w:sz w:val="22"/>
        </w:rPr>
        <w:t>“</w:t>
      </w:r>
      <w:r w:rsidRPr="007E31EF">
        <w:rPr>
          <w:rFonts w:ascii="Times New Roman" w:hAnsi="Times New Roman"/>
          <w:sz w:val="22"/>
        </w:rPr>
        <w:t>An item does not become immovable by virtue of a lands officer’s mere “say so.” Matimba has not advanced any legal basis for saying that the items are immovable content to only state at para 8 of the opposing affidavit that:</w:t>
      </w:r>
    </w:p>
    <w:p w:rsidR="00CD3EC4" w:rsidRPr="007E31EF" w:rsidRDefault="00CE10C4" w:rsidP="007E31EF">
      <w:pPr>
        <w:spacing w:line="240" w:lineRule="auto"/>
        <w:ind w:left="720"/>
        <w:jc w:val="both"/>
        <w:rPr>
          <w:rFonts w:ascii="Times New Roman" w:hAnsi="Times New Roman"/>
          <w:sz w:val="22"/>
        </w:rPr>
      </w:pPr>
      <w:r w:rsidRPr="007E31EF">
        <w:rPr>
          <w:rFonts w:ascii="Times New Roman" w:hAnsi="Times New Roman"/>
          <w:sz w:val="22"/>
        </w:rPr>
        <w:t>“For avoidance of doubt the Torr shed and silos are immovable property which the applicant is not allowed to dismantle or remove. Applicant is authorised to remove the grain auger, centre pivot and a</w:t>
      </w:r>
      <w:r w:rsidR="007E31EF" w:rsidRPr="007E31EF">
        <w:rPr>
          <w:rFonts w:ascii="Times New Roman" w:hAnsi="Times New Roman"/>
          <w:sz w:val="22"/>
        </w:rPr>
        <w:t>ll of his household property.”</w:t>
      </w:r>
    </w:p>
    <w:p w:rsidR="00CD3EC4" w:rsidRPr="008C5D2C" w:rsidRDefault="007E31EF" w:rsidP="008C5D2C">
      <w:pPr>
        <w:spacing w:line="360" w:lineRule="auto"/>
        <w:jc w:val="both"/>
        <w:rPr>
          <w:rFonts w:ascii="Times New Roman" w:eastAsia="Times New Roman" w:hAnsi="Times New Roman"/>
        </w:rPr>
      </w:pPr>
      <w:r>
        <w:rPr>
          <w:rFonts w:ascii="Times New Roman" w:eastAsia="Times New Roman" w:hAnsi="Times New Roman"/>
        </w:rPr>
        <w:tab/>
      </w:r>
      <w:r w:rsidR="002D0384">
        <w:rPr>
          <w:rFonts w:ascii="Times New Roman" w:eastAsia="Times New Roman" w:hAnsi="Times New Roman"/>
        </w:rPr>
        <w:t>For a thing to be considered a permanent fixture, there are basic facto</w:t>
      </w:r>
      <w:r w:rsidR="005B2626">
        <w:rPr>
          <w:rFonts w:ascii="Times New Roman" w:eastAsia="Times New Roman" w:hAnsi="Times New Roman"/>
        </w:rPr>
        <w:t xml:space="preserve">rs which ought to be examined. </w:t>
      </w:r>
      <w:r w:rsidR="00CD3EC4" w:rsidRPr="008C5D2C">
        <w:rPr>
          <w:rFonts w:ascii="Times New Roman" w:eastAsia="Times New Roman" w:hAnsi="Times New Roman"/>
        </w:rPr>
        <w:t xml:space="preserve">In the case of </w:t>
      </w:r>
      <w:r w:rsidR="00CD3EC4" w:rsidRPr="00BD6973">
        <w:rPr>
          <w:rFonts w:ascii="Times New Roman" w:eastAsia="Times New Roman" w:hAnsi="Times New Roman"/>
          <w:i/>
        </w:rPr>
        <w:t>Stooks</w:t>
      </w:r>
      <w:r w:rsidR="00102DF5" w:rsidRPr="007E31EF">
        <w:rPr>
          <w:rFonts w:ascii="Times New Roman" w:eastAsia="Times New Roman" w:hAnsi="Times New Roman"/>
        </w:rPr>
        <w:t xml:space="preserve"> v</w:t>
      </w:r>
      <w:r w:rsidR="00102DF5" w:rsidRPr="00BD6973">
        <w:rPr>
          <w:rFonts w:ascii="Times New Roman" w:eastAsia="Times New Roman" w:hAnsi="Times New Roman"/>
          <w:i/>
        </w:rPr>
        <w:t xml:space="preserve"> Minister of Lands and Rural </w:t>
      </w:r>
      <w:r w:rsidR="008C5D2C" w:rsidRPr="00BD6973">
        <w:rPr>
          <w:rFonts w:ascii="Times New Roman" w:eastAsia="Times New Roman" w:hAnsi="Times New Roman"/>
          <w:i/>
        </w:rPr>
        <w:t>Settlement supra</w:t>
      </w:r>
      <w:r w:rsidR="00CD3EC4" w:rsidRPr="008C5D2C">
        <w:rPr>
          <w:rFonts w:ascii="Times New Roman" w:eastAsia="Times New Roman" w:hAnsi="Times New Roman"/>
        </w:rPr>
        <w:t xml:space="preserve">, </w:t>
      </w:r>
      <w:r w:rsidR="008C5D2C" w:rsidRPr="008C5D2C">
        <w:rPr>
          <w:rFonts w:ascii="Times New Roman" w:eastAsia="Times New Roman" w:hAnsi="Times New Roman"/>
        </w:rPr>
        <w:t>the court</w:t>
      </w:r>
      <w:r w:rsidR="00CD3EC4" w:rsidRPr="008C5D2C">
        <w:rPr>
          <w:rFonts w:ascii="Times New Roman" w:eastAsia="Times New Roman" w:hAnsi="Times New Roman"/>
        </w:rPr>
        <w:t xml:space="preserve"> quoted with approval, the passage from Silberberg and remarked as follows:</w:t>
      </w:r>
    </w:p>
    <w:p w:rsidR="00CD3EC4" w:rsidRPr="007E31EF" w:rsidRDefault="00CD3EC4" w:rsidP="007E31EF">
      <w:pPr>
        <w:spacing w:line="240" w:lineRule="auto"/>
        <w:ind w:left="720"/>
        <w:jc w:val="both"/>
        <w:rPr>
          <w:rFonts w:ascii="Times New Roman" w:hAnsi="Times New Roman"/>
          <w:sz w:val="22"/>
        </w:rPr>
      </w:pPr>
      <w:r w:rsidRPr="007E31EF">
        <w:rPr>
          <w:rFonts w:ascii="Times New Roman" w:eastAsia="Times New Roman" w:hAnsi="Times New Roman"/>
          <w:sz w:val="22"/>
        </w:rPr>
        <w:t>“</w:t>
      </w:r>
      <w:r w:rsidRPr="007E31EF">
        <w:rPr>
          <w:rFonts w:ascii="Times New Roman" w:hAnsi="Times New Roman"/>
          <w:sz w:val="22"/>
        </w:rPr>
        <w:t xml:space="preserve">According to the learned author H. Silberberg, </w:t>
      </w:r>
      <w:r w:rsidRPr="007E31EF">
        <w:rPr>
          <w:rFonts w:ascii="Times New Roman" w:hAnsi="Times New Roman"/>
          <w:i/>
          <w:sz w:val="22"/>
        </w:rPr>
        <w:t>Law of Property</w:t>
      </w:r>
      <w:r w:rsidRPr="007E31EF">
        <w:rPr>
          <w:rFonts w:ascii="Times New Roman" w:hAnsi="Times New Roman"/>
          <w:sz w:val="22"/>
        </w:rPr>
        <w:t>, Butterworths &amp; Co, 1977, at pp 19 – 20:</w:t>
      </w:r>
    </w:p>
    <w:p w:rsidR="00CD3EC4" w:rsidRPr="007E31EF" w:rsidRDefault="00CD3EC4" w:rsidP="007E31EF">
      <w:pPr>
        <w:spacing w:line="240" w:lineRule="auto"/>
        <w:ind w:left="720"/>
        <w:jc w:val="both"/>
        <w:rPr>
          <w:rFonts w:ascii="Times New Roman" w:hAnsi="Times New Roman"/>
          <w:sz w:val="22"/>
        </w:rPr>
      </w:pPr>
      <w:r w:rsidRPr="007E31EF">
        <w:rPr>
          <w:rFonts w:ascii="Times New Roman" w:hAnsi="Times New Roman"/>
          <w:sz w:val="22"/>
        </w:rPr>
        <w:t xml:space="preserve">“A further distinction is made between movables and immovables which applies to corporeal and incorporeal things. It is self-explanatory to the extent that a thing is movable if its condition is such that it can be readily removed from one place to another, having regard to its size, nature and composition; it is immovable if it cannot be so removed. No hard and fast rule can be laid down and no single factor is necessarily decisive, and obviously a thing which is immovable today may </w:t>
      </w:r>
      <w:r w:rsidRPr="007E31EF">
        <w:rPr>
          <w:rFonts w:ascii="Times New Roman" w:hAnsi="Times New Roman"/>
          <w:sz w:val="22"/>
        </w:rPr>
        <w:lastRenderedPageBreak/>
        <w:t xml:space="preserve">become movable tomorrow: e.g. stone before and after it has been quarried. Conversely, a movable may be affixed to an immovable in such a manner that it loses its identity and becomes an integral part of the immovable thing. In these cases the decision whether or not a movable has lost its identity depends </w:t>
      </w:r>
      <w:r w:rsidRPr="007E31EF">
        <w:rPr>
          <w:rFonts w:ascii="Times New Roman" w:hAnsi="Times New Roman"/>
          <w:i/>
          <w:sz w:val="22"/>
        </w:rPr>
        <w:t>prima facie</w:t>
      </w:r>
      <w:r w:rsidRPr="007E31EF">
        <w:rPr>
          <w:rFonts w:ascii="Times New Roman" w:hAnsi="Times New Roman"/>
          <w:sz w:val="22"/>
        </w:rPr>
        <w:t xml:space="preserve"> on three factors, </w:t>
      </w:r>
      <w:r w:rsidRPr="007E31EF">
        <w:rPr>
          <w:rFonts w:ascii="Times New Roman" w:hAnsi="Times New Roman"/>
          <w:i/>
          <w:sz w:val="22"/>
        </w:rPr>
        <w:t xml:space="preserve">viz </w:t>
      </w:r>
      <w:r w:rsidRPr="007E31EF">
        <w:rPr>
          <w:rFonts w:ascii="Times New Roman" w:hAnsi="Times New Roman"/>
          <w:sz w:val="22"/>
        </w:rPr>
        <w:t>objectively, the nature of the thing and the manner of its annexation and, subjectively on the intention of the owner of the movable at the time of its annexation. As regards the nature of the movable and the manner in which it has been affixed, their importance has been said to be ‘self-evident from the very nature of the inquiry’. This means that the nature of the thing may determine whether it is at all possible to affix it to an immovable in such a manner as to preserve, or in due course restore, its separate identity, whilst the manner of its attachment will often determine whether the separate identity of the movable has in fact been preserved or restored.  In other words, the intention of the person who purports to determine whether a particular movable should become a permanent or only a temporary fixture or part of an immovable thing must be reasona</w:t>
      </w:r>
      <w:r w:rsidR="007E31EF" w:rsidRPr="007E31EF">
        <w:rPr>
          <w:rFonts w:ascii="Times New Roman" w:hAnsi="Times New Roman"/>
          <w:sz w:val="22"/>
        </w:rPr>
        <w:t>bly capable of being realised.”</w:t>
      </w:r>
    </w:p>
    <w:p w:rsidR="003E7CDB" w:rsidRPr="00BD6973" w:rsidRDefault="007E31EF" w:rsidP="008C5D2C">
      <w:pPr>
        <w:spacing w:line="360" w:lineRule="auto"/>
        <w:jc w:val="both"/>
        <w:rPr>
          <w:rFonts w:ascii="Times New Roman" w:hAnsi="Times New Roman"/>
        </w:rPr>
      </w:pPr>
      <w:r>
        <w:rPr>
          <w:rFonts w:ascii="Times New Roman" w:hAnsi="Times New Roman"/>
        </w:rPr>
        <w:tab/>
      </w:r>
      <w:r w:rsidR="00CD3EC4" w:rsidRPr="008C5D2C">
        <w:rPr>
          <w:rFonts w:ascii="Times New Roman" w:hAnsi="Times New Roman"/>
        </w:rPr>
        <w:t>Thus, the</w:t>
      </w:r>
      <w:r w:rsidR="00806EBA" w:rsidRPr="008C5D2C">
        <w:rPr>
          <w:rFonts w:ascii="Times New Roman" w:hAnsi="Times New Roman"/>
        </w:rPr>
        <w:t xml:space="preserve"> Claimant had a burden of </w:t>
      </w:r>
      <w:r w:rsidR="00B050B4" w:rsidRPr="008C5D2C">
        <w:rPr>
          <w:rFonts w:ascii="Times New Roman" w:hAnsi="Times New Roman"/>
        </w:rPr>
        <w:t>laying</w:t>
      </w:r>
      <w:r w:rsidR="00880EBB">
        <w:rPr>
          <w:rFonts w:ascii="Times New Roman" w:hAnsi="Times New Roman"/>
        </w:rPr>
        <w:t>, before the court</w:t>
      </w:r>
      <w:r>
        <w:rPr>
          <w:rFonts w:ascii="Times New Roman" w:hAnsi="Times New Roman"/>
        </w:rPr>
        <w:t xml:space="preserve">, </w:t>
      </w:r>
      <w:r w:rsidRPr="008C5D2C">
        <w:rPr>
          <w:rFonts w:ascii="Times New Roman" w:hAnsi="Times New Roman"/>
        </w:rPr>
        <w:t>all</w:t>
      </w:r>
      <w:r w:rsidR="00B050B4" w:rsidRPr="008C5D2C">
        <w:rPr>
          <w:rFonts w:ascii="Times New Roman" w:hAnsi="Times New Roman"/>
        </w:rPr>
        <w:t xml:space="preserve"> the evidence that the centre pivot is a permanent fixture. He made hollow assertions that the centre pivot</w:t>
      </w:r>
      <w:r w:rsidR="00B61315" w:rsidRPr="008C5D2C">
        <w:rPr>
          <w:rFonts w:ascii="Times New Roman" w:hAnsi="Times New Roman"/>
        </w:rPr>
        <w:t xml:space="preserve"> is a permanent fixture.</w:t>
      </w:r>
      <w:r w:rsidR="00976FCC" w:rsidRPr="008C5D2C">
        <w:rPr>
          <w:rFonts w:ascii="Times New Roman" w:hAnsi="Times New Roman"/>
        </w:rPr>
        <w:t xml:space="preserve"> The Claimant ought to corroborate his case by tendering proof on the manner </w:t>
      </w:r>
      <w:r w:rsidR="00BD6973">
        <w:rPr>
          <w:rFonts w:ascii="Times New Roman" w:hAnsi="Times New Roman"/>
        </w:rPr>
        <w:t>in</w:t>
      </w:r>
      <w:r w:rsidR="00976FCC" w:rsidRPr="008C5D2C">
        <w:rPr>
          <w:rFonts w:ascii="Times New Roman" w:hAnsi="Times New Roman"/>
        </w:rPr>
        <w:t xml:space="preserve"> </w:t>
      </w:r>
      <w:r w:rsidR="00BD6973">
        <w:rPr>
          <w:rFonts w:ascii="Times New Roman" w:hAnsi="Times New Roman"/>
        </w:rPr>
        <w:t>which</w:t>
      </w:r>
      <w:r w:rsidR="00976FCC" w:rsidRPr="008C5D2C">
        <w:rPr>
          <w:rFonts w:ascii="Times New Roman" w:hAnsi="Times New Roman"/>
        </w:rPr>
        <w:t xml:space="preserve"> the ce</w:t>
      </w:r>
      <w:r w:rsidR="00A22AD9" w:rsidRPr="008C5D2C">
        <w:rPr>
          <w:rFonts w:ascii="Times New Roman" w:hAnsi="Times New Roman"/>
        </w:rPr>
        <w:t>n</w:t>
      </w:r>
      <w:r w:rsidR="00976FCC" w:rsidRPr="008C5D2C">
        <w:rPr>
          <w:rFonts w:ascii="Times New Roman" w:hAnsi="Times New Roman"/>
        </w:rPr>
        <w:t xml:space="preserve">tre pivot </w:t>
      </w:r>
      <w:r w:rsidR="008C5D2C" w:rsidRPr="008C5D2C">
        <w:rPr>
          <w:rFonts w:ascii="Times New Roman" w:hAnsi="Times New Roman"/>
        </w:rPr>
        <w:t>is annexed</w:t>
      </w:r>
      <w:r w:rsidR="00102DF5" w:rsidRPr="008C5D2C">
        <w:rPr>
          <w:rFonts w:ascii="Times New Roman" w:hAnsi="Times New Roman"/>
        </w:rPr>
        <w:t xml:space="preserve"> to the land</w:t>
      </w:r>
      <w:r w:rsidR="00976FCC" w:rsidRPr="008C5D2C">
        <w:rPr>
          <w:rFonts w:ascii="Times New Roman" w:hAnsi="Times New Roman"/>
        </w:rPr>
        <w:t xml:space="preserve">. There was also </w:t>
      </w:r>
      <w:r w:rsidR="00BD6973">
        <w:rPr>
          <w:rFonts w:ascii="Times New Roman" w:hAnsi="Times New Roman"/>
        </w:rPr>
        <w:t xml:space="preserve">a </w:t>
      </w:r>
      <w:r w:rsidR="00976FCC" w:rsidRPr="008C5D2C">
        <w:rPr>
          <w:rFonts w:ascii="Times New Roman" w:hAnsi="Times New Roman"/>
        </w:rPr>
        <w:t xml:space="preserve">need for the Claimant to adduce evidence on the intention </w:t>
      </w:r>
      <w:r w:rsidR="008C5D2C" w:rsidRPr="008C5D2C">
        <w:rPr>
          <w:rFonts w:ascii="Times New Roman" w:hAnsi="Times New Roman"/>
        </w:rPr>
        <w:t>of relevant</w:t>
      </w:r>
      <w:r w:rsidR="00976FCC" w:rsidRPr="008C5D2C">
        <w:rPr>
          <w:rFonts w:ascii="Times New Roman" w:hAnsi="Times New Roman"/>
        </w:rPr>
        <w:t xml:space="preserve"> persons at the time of installing the centre pivot. This </w:t>
      </w:r>
      <w:r w:rsidR="00967EBB" w:rsidRPr="008C5D2C">
        <w:rPr>
          <w:rFonts w:ascii="Times New Roman" w:hAnsi="Times New Roman"/>
        </w:rPr>
        <w:t xml:space="preserve">evidence </w:t>
      </w:r>
      <w:r w:rsidR="00976FCC" w:rsidRPr="008C5D2C">
        <w:rPr>
          <w:rFonts w:ascii="Times New Roman" w:hAnsi="Times New Roman"/>
        </w:rPr>
        <w:t>was going to help the court in determi</w:t>
      </w:r>
      <w:r w:rsidR="003E7CDB" w:rsidRPr="008C5D2C">
        <w:rPr>
          <w:rFonts w:ascii="Times New Roman" w:hAnsi="Times New Roman"/>
        </w:rPr>
        <w:t>ni</w:t>
      </w:r>
      <w:r w:rsidR="00976FCC" w:rsidRPr="008C5D2C">
        <w:rPr>
          <w:rFonts w:ascii="Times New Roman" w:hAnsi="Times New Roman"/>
        </w:rPr>
        <w:t>ng whether the centre pivot is a permanent fixture or otherwise.</w:t>
      </w:r>
      <w:r w:rsidR="003E7CDB" w:rsidRPr="008C5D2C">
        <w:rPr>
          <w:rFonts w:ascii="Times New Roman" w:hAnsi="Times New Roman"/>
        </w:rPr>
        <w:t xml:space="preserve"> Reference is also </w:t>
      </w:r>
      <w:r w:rsidR="00102DF5" w:rsidRPr="008C5D2C">
        <w:rPr>
          <w:rFonts w:ascii="Times New Roman" w:hAnsi="Times New Roman"/>
        </w:rPr>
        <w:t xml:space="preserve">made </w:t>
      </w:r>
      <w:r w:rsidR="003E7CDB" w:rsidRPr="008C5D2C">
        <w:rPr>
          <w:rFonts w:ascii="Times New Roman" w:hAnsi="Times New Roman"/>
        </w:rPr>
        <w:t xml:space="preserve">to the case of </w:t>
      </w:r>
      <w:r w:rsidR="003E7CDB" w:rsidRPr="00BD6973">
        <w:rPr>
          <w:rFonts w:ascii="Times New Roman" w:hAnsi="Times New Roman"/>
          <w:i/>
        </w:rPr>
        <w:t xml:space="preserve">Stooks </w:t>
      </w:r>
      <w:r w:rsidR="003E7CDB" w:rsidRPr="007E31EF">
        <w:rPr>
          <w:rFonts w:ascii="Times New Roman" w:hAnsi="Times New Roman"/>
        </w:rPr>
        <w:t>v</w:t>
      </w:r>
      <w:r w:rsidR="003E7CDB" w:rsidRPr="00BD6973">
        <w:rPr>
          <w:rFonts w:ascii="Times New Roman" w:hAnsi="Times New Roman"/>
          <w:i/>
        </w:rPr>
        <w:t xml:space="preserve"> Minister of Lands and Rural Settlement</w:t>
      </w:r>
      <w:r w:rsidR="003E7CDB" w:rsidRPr="008C5D2C">
        <w:rPr>
          <w:rFonts w:ascii="Times New Roman" w:hAnsi="Times New Roman"/>
        </w:rPr>
        <w:t xml:space="preserve"> </w:t>
      </w:r>
      <w:r w:rsidR="003E7CDB" w:rsidRPr="008C5D2C">
        <w:rPr>
          <w:rFonts w:ascii="Times New Roman" w:hAnsi="Times New Roman"/>
          <w:i/>
          <w:iCs/>
        </w:rPr>
        <w:t xml:space="preserve">supra </w:t>
      </w:r>
      <w:r w:rsidR="003E7CDB" w:rsidRPr="008C5D2C">
        <w:rPr>
          <w:rFonts w:ascii="Times New Roman" w:hAnsi="Times New Roman"/>
        </w:rPr>
        <w:t>where the court elegantly remarked as follows:</w:t>
      </w:r>
    </w:p>
    <w:p w:rsidR="003E7CDB" w:rsidRPr="007E31EF" w:rsidRDefault="003E7CDB" w:rsidP="007E31EF">
      <w:pPr>
        <w:spacing w:after="0" w:line="240" w:lineRule="auto"/>
        <w:ind w:left="720"/>
        <w:jc w:val="both"/>
        <w:rPr>
          <w:rFonts w:ascii="Times New Roman" w:hAnsi="Times New Roman"/>
          <w:sz w:val="22"/>
        </w:rPr>
      </w:pPr>
      <w:r w:rsidRPr="007E31EF">
        <w:rPr>
          <w:rFonts w:ascii="Times New Roman" w:hAnsi="Times New Roman"/>
          <w:i/>
          <w:iCs/>
          <w:sz w:val="22"/>
        </w:rPr>
        <w:t>“</w:t>
      </w:r>
      <w:r w:rsidRPr="007E31EF">
        <w:rPr>
          <w:rFonts w:ascii="Times New Roman" w:hAnsi="Times New Roman"/>
          <w:sz w:val="22"/>
        </w:rPr>
        <w:t>On that land the applicant affixed structures which are now the subject of this dispute. The nature, size and composition of the items must be considered together with the intention of the person who constructed them in order to determine whether they qualify as movable or immovable.</w:t>
      </w:r>
    </w:p>
    <w:p w:rsidR="003E7CDB" w:rsidRPr="007E31EF" w:rsidRDefault="003E7CDB" w:rsidP="007E31EF">
      <w:pPr>
        <w:spacing w:line="240" w:lineRule="auto"/>
        <w:ind w:left="720"/>
        <w:jc w:val="both"/>
        <w:rPr>
          <w:rFonts w:ascii="Times New Roman" w:hAnsi="Times New Roman"/>
          <w:sz w:val="22"/>
        </w:rPr>
      </w:pPr>
      <w:r w:rsidRPr="007E31EF">
        <w:rPr>
          <w:rFonts w:ascii="Times New Roman" w:hAnsi="Times New Roman"/>
          <w:sz w:val="22"/>
        </w:rPr>
        <w:t>The manner of their annexation or attachment to the ground or land is useful in determining under which category they fall. In constructing them the applicant could have dug them to the ground and poured concrete to make them permanently fixed to the ground. He did not. I</w:t>
      </w:r>
      <w:r w:rsidR="007E31EF">
        <w:rPr>
          <w:rFonts w:ascii="Times New Roman" w:hAnsi="Times New Roman"/>
          <w:sz w:val="22"/>
        </w:rPr>
        <w:t>nstead he used bolts and nuts.”</w:t>
      </w:r>
    </w:p>
    <w:p w:rsidR="007E31EF" w:rsidRDefault="007E31EF" w:rsidP="007E31EF">
      <w:pPr>
        <w:spacing w:line="360" w:lineRule="auto"/>
        <w:jc w:val="both"/>
        <w:rPr>
          <w:rFonts w:ascii="Times New Roman" w:hAnsi="Times New Roman"/>
        </w:rPr>
      </w:pPr>
      <w:r>
        <w:rPr>
          <w:rFonts w:ascii="Times New Roman" w:hAnsi="Times New Roman"/>
        </w:rPr>
        <w:tab/>
      </w:r>
      <w:r w:rsidR="00967EBB" w:rsidRPr="008C5D2C">
        <w:rPr>
          <w:rFonts w:ascii="Times New Roman" w:hAnsi="Times New Roman"/>
        </w:rPr>
        <w:t xml:space="preserve">Mr. </w:t>
      </w:r>
      <w:r w:rsidR="008C5D2C" w:rsidRPr="005B2626">
        <w:rPr>
          <w:rFonts w:ascii="Times New Roman" w:hAnsi="Times New Roman"/>
          <w:i/>
        </w:rPr>
        <w:t>Tazvitya</w:t>
      </w:r>
      <w:r w:rsidR="008C5D2C" w:rsidRPr="008C5D2C">
        <w:rPr>
          <w:rFonts w:ascii="Times New Roman" w:hAnsi="Times New Roman"/>
        </w:rPr>
        <w:t xml:space="preserve"> submitted</w:t>
      </w:r>
      <w:r w:rsidR="00967EBB" w:rsidRPr="008C5D2C">
        <w:rPr>
          <w:rFonts w:ascii="Times New Roman" w:hAnsi="Times New Roman"/>
        </w:rPr>
        <w:t xml:space="preserve"> that every centre pivot must be construed to be a permanent fixture. This submission, in my view, is a </w:t>
      </w:r>
      <w:r w:rsidR="008C5D2C" w:rsidRPr="008C5D2C">
        <w:rPr>
          <w:rFonts w:ascii="Times New Roman" w:hAnsi="Times New Roman"/>
        </w:rPr>
        <w:t>mere assumption</w:t>
      </w:r>
      <w:r w:rsidR="00967EBB" w:rsidRPr="008C5D2C">
        <w:rPr>
          <w:rFonts w:ascii="Times New Roman" w:hAnsi="Times New Roman"/>
        </w:rPr>
        <w:t xml:space="preserve"> which is not substantiated by any piece of evidence or </w:t>
      </w:r>
      <w:r w:rsidR="008C5D2C" w:rsidRPr="008C5D2C">
        <w:rPr>
          <w:rFonts w:ascii="Times New Roman" w:hAnsi="Times New Roman"/>
        </w:rPr>
        <w:t>research.</w:t>
      </w:r>
      <w:r w:rsidR="00967EBB" w:rsidRPr="008C5D2C">
        <w:rPr>
          <w:rFonts w:ascii="Times New Roman" w:hAnsi="Times New Roman"/>
        </w:rPr>
        <w:t xml:space="preserve"> </w:t>
      </w:r>
      <w:r w:rsidR="0040033B" w:rsidRPr="008C5D2C">
        <w:rPr>
          <w:rFonts w:ascii="Times New Roman" w:hAnsi="Times New Roman"/>
        </w:rPr>
        <w:t>In the absence of evidence in support of the allegation, I am unable to reach a conclusion that the centre pivot is</w:t>
      </w:r>
      <w:r w:rsidR="00C7764C" w:rsidRPr="008C5D2C">
        <w:rPr>
          <w:rFonts w:ascii="Times New Roman" w:hAnsi="Times New Roman"/>
        </w:rPr>
        <w:t xml:space="preserve"> a permanent</w:t>
      </w:r>
      <w:r w:rsidR="003E7CDB" w:rsidRPr="008C5D2C">
        <w:rPr>
          <w:rFonts w:ascii="Times New Roman" w:hAnsi="Times New Roman"/>
        </w:rPr>
        <w:t xml:space="preserve"> fixture</w:t>
      </w:r>
      <w:r w:rsidR="00C7764C" w:rsidRPr="008C5D2C">
        <w:rPr>
          <w:rFonts w:ascii="Times New Roman" w:hAnsi="Times New Roman"/>
        </w:rPr>
        <w:t>.</w:t>
      </w:r>
      <w:r w:rsidR="00DA600E" w:rsidRPr="008C5D2C">
        <w:rPr>
          <w:rFonts w:ascii="Times New Roman" w:hAnsi="Times New Roman"/>
        </w:rPr>
        <w:t xml:space="preserve"> Having been alerted</w:t>
      </w:r>
      <w:r w:rsidR="00C7764C" w:rsidRPr="008C5D2C">
        <w:rPr>
          <w:rFonts w:ascii="Times New Roman" w:hAnsi="Times New Roman"/>
        </w:rPr>
        <w:t xml:space="preserve"> </w:t>
      </w:r>
      <w:r w:rsidR="002D724E" w:rsidRPr="008C5D2C">
        <w:rPr>
          <w:rFonts w:ascii="Times New Roman" w:hAnsi="Times New Roman"/>
        </w:rPr>
        <w:t>by the Judgment Creditor through the opposing affidavit and Heads of Argument</w:t>
      </w:r>
      <w:r w:rsidR="00880EBB">
        <w:rPr>
          <w:rFonts w:ascii="Times New Roman" w:hAnsi="Times New Roman"/>
        </w:rPr>
        <w:t xml:space="preserve"> on the dispute of whether the centre pivot is a permanent fixture</w:t>
      </w:r>
      <w:r w:rsidR="002D724E" w:rsidRPr="008C5D2C">
        <w:rPr>
          <w:rFonts w:ascii="Times New Roman" w:hAnsi="Times New Roman"/>
        </w:rPr>
        <w:t xml:space="preserve">, the Claimant ought to have sought leave to supplement his evidence in order to corroborate </w:t>
      </w:r>
      <w:r w:rsidR="008C5D2C" w:rsidRPr="008C5D2C">
        <w:rPr>
          <w:rFonts w:ascii="Times New Roman" w:hAnsi="Times New Roman"/>
        </w:rPr>
        <w:t>his affirmation</w:t>
      </w:r>
      <w:r w:rsidR="002D724E" w:rsidRPr="008C5D2C">
        <w:rPr>
          <w:rFonts w:ascii="Times New Roman" w:hAnsi="Times New Roman"/>
        </w:rPr>
        <w:t>. Failure to make such application, according to my considered view,</w:t>
      </w:r>
      <w:r w:rsidR="00636E0B" w:rsidRPr="008C5D2C">
        <w:rPr>
          <w:rFonts w:ascii="Times New Roman" w:hAnsi="Times New Roman"/>
        </w:rPr>
        <w:t xml:space="preserve"> is an admission that there was </w:t>
      </w:r>
      <w:r w:rsidR="00910A34" w:rsidRPr="008C5D2C">
        <w:rPr>
          <w:rFonts w:ascii="Times New Roman" w:hAnsi="Times New Roman"/>
        </w:rPr>
        <w:t xml:space="preserve">no </w:t>
      </w:r>
      <w:r w:rsidR="00636E0B" w:rsidRPr="008C5D2C">
        <w:rPr>
          <w:rFonts w:ascii="Times New Roman" w:hAnsi="Times New Roman"/>
        </w:rPr>
        <w:t xml:space="preserve">additional evidence to </w:t>
      </w:r>
      <w:r w:rsidR="001F163C" w:rsidRPr="008C5D2C">
        <w:rPr>
          <w:rFonts w:ascii="Times New Roman" w:hAnsi="Times New Roman"/>
        </w:rPr>
        <w:t xml:space="preserve">back </w:t>
      </w:r>
      <w:r w:rsidR="00636E0B" w:rsidRPr="008C5D2C">
        <w:rPr>
          <w:rFonts w:ascii="Times New Roman" w:hAnsi="Times New Roman"/>
        </w:rPr>
        <w:t xml:space="preserve">the </w:t>
      </w:r>
      <w:r w:rsidR="00910A34" w:rsidRPr="008C5D2C">
        <w:rPr>
          <w:rFonts w:ascii="Times New Roman" w:hAnsi="Times New Roman"/>
        </w:rPr>
        <w:t xml:space="preserve">averment. </w:t>
      </w:r>
      <w:r w:rsidR="00C7764C" w:rsidRPr="008C5D2C">
        <w:rPr>
          <w:rFonts w:ascii="Times New Roman" w:hAnsi="Times New Roman"/>
        </w:rPr>
        <w:t xml:space="preserve">For </w:t>
      </w:r>
      <w:r w:rsidR="008C5D2C" w:rsidRPr="008C5D2C">
        <w:rPr>
          <w:rFonts w:ascii="Times New Roman" w:hAnsi="Times New Roman"/>
        </w:rPr>
        <w:t>these reasons</w:t>
      </w:r>
      <w:r w:rsidR="00C7764C" w:rsidRPr="008C5D2C">
        <w:rPr>
          <w:rFonts w:ascii="Times New Roman" w:hAnsi="Times New Roman"/>
        </w:rPr>
        <w:t>, the Claimant failed</w:t>
      </w:r>
      <w:r w:rsidR="001F163C" w:rsidRPr="008C5D2C">
        <w:rPr>
          <w:rFonts w:ascii="Times New Roman" w:hAnsi="Times New Roman"/>
        </w:rPr>
        <w:t xml:space="preserve"> </w:t>
      </w:r>
      <w:r w:rsidR="00C7764C" w:rsidRPr="008C5D2C">
        <w:rPr>
          <w:rFonts w:ascii="Times New Roman" w:hAnsi="Times New Roman"/>
        </w:rPr>
        <w:t xml:space="preserve">to prove ownership of the </w:t>
      </w:r>
      <w:r w:rsidR="00C7764C" w:rsidRPr="008C5D2C">
        <w:rPr>
          <w:rFonts w:ascii="Times New Roman" w:hAnsi="Times New Roman"/>
        </w:rPr>
        <w:lastRenderedPageBreak/>
        <w:t>centre pivot</w:t>
      </w:r>
      <w:r w:rsidR="001F163C" w:rsidRPr="008C5D2C">
        <w:rPr>
          <w:rFonts w:ascii="Times New Roman" w:hAnsi="Times New Roman"/>
        </w:rPr>
        <w:t xml:space="preserve"> on a balance of probability</w:t>
      </w:r>
      <w:r w:rsidR="00C7764C" w:rsidRPr="008C5D2C">
        <w:rPr>
          <w:rFonts w:ascii="Times New Roman" w:hAnsi="Times New Roman"/>
        </w:rPr>
        <w:t>.</w:t>
      </w:r>
      <w:r w:rsidR="00A16437" w:rsidRPr="008C5D2C">
        <w:rPr>
          <w:rFonts w:ascii="Times New Roman" w:hAnsi="Times New Roman"/>
        </w:rPr>
        <w:t xml:space="preserve"> Consequently, the claim must be dismissed. Costs ordinarily follow the outcome.</w:t>
      </w:r>
      <w:r w:rsidR="00434A2B" w:rsidRPr="008C5D2C">
        <w:rPr>
          <w:rFonts w:ascii="Times New Roman" w:hAnsi="Times New Roman"/>
        </w:rPr>
        <w:t xml:space="preserve"> I have not been persuaded to have a departure from this established principle. </w:t>
      </w:r>
      <w:r w:rsidR="00E9359A" w:rsidRPr="008C5D2C">
        <w:rPr>
          <w:rFonts w:ascii="Times New Roman" w:hAnsi="Times New Roman"/>
        </w:rPr>
        <w:t xml:space="preserve"> </w:t>
      </w:r>
      <w:r w:rsidR="003B021B" w:rsidRPr="008C5D2C">
        <w:rPr>
          <w:rFonts w:ascii="Times New Roman" w:hAnsi="Times New Roman"/>
        </w:rPr>
        <w:t>The Claimant must bear costs on an ordinary scale</w:t>
      </w:r>
      <w:r w:rsidR="008D2BA8" w:rsidRPr="008C5D2C">
        <w:rPr>
          <w:rFonts w:ascii="Times New Roman" w:hAnsi="Times New Roman"/>
        </w:rPr>
        <w:t xml:space="preserve"> which are reasonably sufficient, in my view</w:t>
      </w:r>
      <w:r w:rsidR="003B021B" w:rsidRPr="008C5D2C">
        <w:rPr>
          <w:rFonts w:ascii="Times New Roman" w:hAnsi="Times New Roman"/>
        </w:rPr>
        <w:t>.</w:t>
      </w:r>
      <w:r w:rsidR="00B92AB6" w:rsidRPr="008C5D2C">
        <w:rPr>
          <w:rFonts w:ascii="Times New Roman" w:hAnsi="Times New Roman"/>
        </w:rPr>
        <w:t xml:space="preserve"> In the result, it is ordered as follows:</w:t>
      </w:r>
    </w:p>
    <w:p w:rsidR="007E31EF" w:rsidRPr="007E31EF" w:rsidRDefault="00A400D2" w:rsidP="007E31EF">
      <w:pPr>
        <w:numPr>
          <w:ilvl w:val="0"/>
          <w:numId w:val="3"/>
        </w:numPr>
        <w:spacing w:after="0" w:line="360" w:lineRule="auto"/>
        <w:jc w:val="both"/>
        <w:rPr>
          <w:rFonts w:ascii="Times New Roman" w:hAnsi="Times New Roman"/>
        </w:rPr>
      </w:pPr>
      <w:r w:rsidRPr="008C5D2C">
        <w:rPr>
          <w:rFonts w:ascii="Times New Roman" w:hAnsi="Times New Roman"/>
        </w:rPr>
        <w:t>The Claimant’s claim to the property placed under attachment in execution of</w:t>
      </w:r>
      <w:r w:rsidR="007E31EF">
        <w:rPr>
          <w:rFonts w:ascii="Times New Roman" w:hAnsi="Times New Roman"/>
        </w:rPr>
        <w:t xml:space="preserve"> </w:t>
      </w:r>
      <w:r w:rsidRPr="007E31EF">
        <w:rPr>
          <w:rFonts w:ascii="Times New Roman" w:hAnsi="Times New Roman"/>
        </w:rPr>
        <w:t>judgment in HCHC</w:t>
      </w:r>
      <w:r w:rsidR="007E31EF" w:rsidRPr="007E31EF">
        <w:rPr>
          <w:rFonts w:ascii="Times New Roman" w:hAnsi="Times New Roman"/>
        </w:rPr>
        <w:t xml:space="preserve"> </w:t>
      </w:r>
      <w:r w:rsidRPr="007E31EF">
        <w:rPr>
          <w:rFonts w:ascii="Times New Roman" w:hAnsi="Times New Roman"/>
        </w:rPr>
        <w:t>55</w:t>
      </w:r>
      <w:r w:rsidR="007E31EF" w:rsidRPr="007E31EF">
        <w:rPr>
          <w:rFonts w:ascii="Times New Roman" w:hAnsi="Times New Roman"/>
        </w:rPr>
        <w:t>/24 be and is hereby dismissed.</w:t>
      </w:r>
    </w:p>
    <w:p w:rsidR="007E31EF" w:rsidRDefault="00A400D2" w:rsidP="007E31EF">
      <w:pPr>
        <w:numPr>
          <w:ilvl w:val="0"/>
          <w:numId w:val="3"/>
        </w:numPr>
        <w:spacing w:after="0" w:line="360" w:lineRule="auto"/>
        <w:jc w:val="both"/>
        <w:rPr>
          <w:rFonts w:ascii="Times New Roman" w:hAnsi="Times New Roman"/>
        </w:rPr>
      </w:pPr>
      <w:r w:rsidRPr="008C5D2C">
        <w:rPr>
          <w:rFonts w:ascii="Times New Roman" w:hAnsi="Times New Roman"/>
        </w:rPr>
        <w:t>The property attached in terms of the Notice of Seizure and Attachment dated 22</w:t>
      </w:r>
      <w:r w:rsidRPr="008C5D2C">
        <w:rPr>
          <w:rFonts w:ascii="Times New Roman" w:hAnsi="Times New Roman"/>
          <w:vertAlign w:val="superscript"/>
        </w:rPr>
        <w:t>nd</w:t>
      </w:r>
      <w:r w:rsidR="007E31EF">
        <w:rPr>
          <w:rFonts w:ascii="Times New Roman" w:hAnsi="Times New Roman"/>
        </w:rPr>
        <w:t xml:space="preserve"> of November 2024 issued by the a</w:t>
      </w:r>
      <w:r w:rsidRPr="007E31EF">
        <w:rPr>
          <w:rFonts w:ascii="Times New Roman" w:hAnsi="Times New Roman"/>
        </w:rPr>
        <w:t>pplicant be and is hereby declared executable.</w:t>
      </w:r>
    </w:p>
    <w:p w:rsidR="00A400D2" w:rsidRPr="007E31EF" w:rsidRDefault="00A400D2" w:rsidP="007E31EF">
      <w:pPr>
        <w:numPr>
          <w:ilvl w:val="0"/>
          <w:numId w:val="3"/>
        </w:numPr>
        <w:spacing w:line="360" w:lineRule="auto"/>
        <w:jc w:val="both"/>
        <w:rPr>
          <w:rFonts w:ascii="Times New Roman" w:hAnsi="Times New Roman"/>
        </w:rPr>
      </w:pPr>
      <w:r w:rsidRPr="007E31EF">
        <w:rPr>
          <w:rFonts w:ascii="Times New Roman" w:hAnsi="Times New Roman"/>
        </w:rPr>
        <w:t xml:space="preserve">The </w:t>
      </w:r>
      <w:r w:rsidR="008C5D2C" w:rsidRPr="007E31EF">
        <w:rPr>
          <w:rFonts w:ascii="Times New Roman" w:hAnsi="Times New Roman"/>
        </w:rPr>
        <w:t>Claimant shall</w:t>
      </w:r>
      <w:r w:rsidRPr="007E31EF">
        <w:rPr>
          <w:rFonts w:ascii="Times New Roman" w:hAnsi="Times New Roman"/>
        </w:rPr>
        <w:t xml:space="preserve"> p</w:t>
      </w:r>
      <w:r w:rsidR="007E31EF" w:rsidRPr="007E31EF">
        <w:rPr>
          <w:rFonts w:ascii="Times New Roman" w:hAnsi="Times New Roman"/>
        </w:rPr>
        <w:t>ay the Judgment Creditor’s and a</w:t>
      </w:r>
      <w:r w:rsidRPr="007E31EF">
        <w:rPr>
          <w:rFonts w:ascii="Times New Roman" w:hAnsi="Times New Roman"/>
        </w:rPr>
        <w:t>pplicant’s costs on an ordinary scale.</w:t>
      </w:r>
    </w:p>
    <w:p w:rsidR="005B2626" w:rsidRDefault="005B2626" w:rsidP="005B2626">
      <w:pPr>
        <w:pStyle w:val="ListParagraph"/>
        <w:spacing w:line="240" w:lineRule="auto"/>
        <w:jc w:val="both"/>
        <w:rPr>
          <w:rFonts w:ascii="Times New Roman" w:hAnsi="Times New Roman"/>
        </w:rPr>
      </w:pPr>
    </w:p>
    <w:p w:rsidR="005B2626" w:rsidRDefault="005B2626" w:rsidP="005B2626">
      <w:pPr>
        <w:pStyle w:val="ListParagraph"/>
        <w:spacing w:line="240" w:lineRule="auto"/>
        <w:jc w:val="both"/>
        <w:rPr>
          <w:rFonts w:ascii="Times New Roman" w:hAnsi="Times New Roman"/>
        </w:rPr>
      </w:pPr>
    </w:p>
    <w:p w:rsidR="005B2626" w:rsidRDefault="005B2626" w:rsidP="005B2626">
      <w:pPr>
        <w:pStyle w:val="ListParagraph"/>
        <w:spacing w:line="240" w:lineRule="auto"/>
        <w:jc w:val="both"/>
        <w:rPr>
          <w:rFonts w:ascii="Times New Roman" w:hAnsi="Times New Roman"/>
        </w:rPr>
      </w:pPr>
    </w:p>
    <w:p w:rsidR="005B2626" w:rsidRPr="008C5D2C" w:rsidRDefault="005B2626" w:rsidP="005B2626">
      <w:pPr>
        <w:pStyle w:val="ListParagraph"/>
        <w:spacing w:line="360" w:lineRule="auto"/>
        <w:ind w:left="0"/>
        <w:jc w:val="both"/>
        <w:rPr>
          <w:rFonts w:ascii="Times New Roman" w:hAnsi="Times New Roman"/>
        </w:rPr>
      </w:pPr>
      <w:r w:rsidRPr="005B2626">
        <w:rPr>
          <w:rFonts w:ascii="Times New Roman" w:hAnsi="Times New Roman"/>
          <w:b/>
          <w:smallCaps/>
        </w:rPr>
        <w:t>Deme J</w:t>
      </w:r>
      <w:r>
        <w:rPr>
          <w:rFonts w:ascii="Times New Roman" w:hAnsi="Times New Roman"/>
        </w:rPr>
        <w:t>: ………………………………………………</w:t>
      </w:r>
    </w:p>
    <w:p w:rsidR="00A400D2" w:rsidRPr="008C5D2C" w:rsidRDefault="00771E9B" w:rsidP="007E31EF">
      <w:pPr>
        <w:pStyle w:val="ListParagraph"/>
        <w:spacing w:after="0" w:line="240" w:lineRule="auto"/>
        <w:ind w:left="0"/>
        <w:jc w:val="both"/>
        <w:rPr>
          <w:rFonts w:ascii="Times New Roman" w:hAnsi="Times New Roman"/>
        </w:rPr>
      </w:pPr>
      <w:r w:rsidRPr="00505CA9">
        <w:rPr>
          <w:rFonts w:ascii="Times New Roman" w:hAnsi="Times New Roman"/>
          <w:i/>
        </w:rPr>
        <w:t xml:space="preserve">Muvingi and </w:t>
      </w:r>
      <w:r w:rsidR="008C5D2C" w:rsidRPr="00505CA9">
        <w:rPr>
          <w:rFonts w:ascii="Times New Roman" w:hAnsi="Times New Roman"/>
          <w:i/>
        </w:rPr>
        <w:t>Mugadza</w:t>
      </w:r>
      <w:r w:rsidR="007E31EF">
        <w:rPr>
          <w:rFonts w:ascii="Times New Roman" w:hAnsi="Times New Roman"/>
        </w:rPr>
        <w:t>, a</w:t>
      </w:r>
      <w:r w:rsidR="008C5D2C" w:rsidRPr="008C5D2C">
        <w:rPr>
          <w:rFonts w:ascii="Times New Roman" w:hAnsi="Times New Roman"/>
        </w:rPr>
        <w:t>pplicant’s</w:t>
      </w:r>
      <w:r w:rsidR="007E31EF">
        <w:rPr>
          <w:rFonts w:ascii="Times New Roman" w:hAnsi="Times New Roman"/>
        </w:rPr>
        <w:t xml:space="preserve"> legal practitioners</w:t>
      </w:r>
    </w:p>
    <w:p w:rsidR="00771E9B" w:rsidRPr="008C5D2C" w:rsidRDefault="00D15D11" w:rsidP="007E31EF">
      <w:pPr>
        <w:pStyle w:val="ListParagraph"/>
        <w:spacing w:after="0" w:line="240" w:lineRule="auto"/>
        <w:ind w:left="0"/>
        <w:jc w:val="both"/>
        <w:rPr>
          <w:rFonts w:ascii="Times New Roman" w:hAnsi="Times New Roman"/>
        </w:rPr>
      </w:pPr>
      <w:r w:rsidRPr="00505CA9">
        <w:rPr>
          <w:rFonts w:ascii="Times New Roman" w:hAnsi="Times New Roman"/>
          <w:i/>
        </w:rPr>
        <w:t>Bere Brothers Legal Practitioners</w:t>
      </w:r>
      <w:r w:rsidRPr="008C5D2C">
        <w:rPr>
          <w:rFonts w:ascii="Times New Roman" w:hAnsi="Times New Roman"/>
        </w:rPr>
        <w:t>,</w:t>
      </w:r>
      <w:r w:rsidR="007E31EF">
        <w:rPr>
          <w:rFonts w:ascii="Times New Roman" w:hAnsi="Times New Roman"/>
        </w:rPr>
        <w:t xml:space="preserve"> claimant’s legal practitioners</w:t>
      </w:r>
    </w:p>
    <w:p w:rsidR="00D15D11" w:rsidRPr="008C5D2C" w:rsidRDefault="00847406" w:rsidP="007E31EF">
      <w:pPr>
        <w:pStyle w:val="ListParagraph"/>
        <w:spacing w:after="0" w:line="240" w:lineRule="auto"/>
        <w:ind w:left="0"/>
        <w:jc w:val="both"/>
        <w:rPr>
          <w:rFonts w:ascii="Times New Roman" w:hAnsi="Times New Roman"/>
        </w:rPr>
      </w:pPr>
      <w:r w:rsidRPr="00505CA9">
        <w:rPr>
          <w:rFonts w:ascii="Times New Roman" w:hAnsi="Times New Roman"/>
          <w:i/>
        </w:rPr>
        <w:t>Kantor and Immerman</w:t>
      </w:r>
      <w:r w:rsidR="007E31EF">
        <w:rPr>
          <w:rFonts w:ascii="Times New Roman" w:hAnsi="Times New Roman"/>
        </w:rPr>
        <w:t>, j</w:t>
      </w:r>
      <w:r w:rsidRPr="008C5D2C">
        <w:rPr>
          <w:rFonts w:ascii="Times New Roman" w:hAnsi="Times New Roman"/>
        </w:rPr>
        <w:t>udgment</w:t>
      </w:r>
      <w:r w:rsidR="007E31EF">
        <w:rPr>
          <w:rFonts w:ascii="Times New Roman" w:hAnsi="Times New Roman"/>
        </w:rPr>
        <w:t xml:space="preserve"> creditor’s legal practitioners</w:t>
      </w:r>
    </w:p>
    <w:p w:rsidR="00A400D2" w:rsidRPr="008C5D2C" w:rsidRDefault="00A400D2" w:rsidP="008C5D2C">
      <w:pPr>
        <w:spacing w:line="360" w:lineRule="auto"/>
        <w:jc w:val="both"/>
        <w:rPr>
          <w:rFonts w:ascii="Times New Roman" w:hAnsi="Times New Roman"/>
        </w:rPr>
      </w:pPr>
    </w:p>
    <w:sectPr w:rsidR="00A400D2" w:rsidRPr="008C5D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52" w:rsidRDefault="00FF4952" w:rsidP="004F706F">
      <w:pPr>
        <w:spacing w:after="0" w:line="240" w:lineRule="auto"/>
      </w:pPr>
      <w:r>
        <w:separator/>
      </w:r>
    </w:p>
  </w:endnote>
  <w:endnote w:type="continuationSeparator" w:id="0">
    <w:p w:rsidR="00FF4952" w:rsidRDefault="00FF4952" w:rsidP="004F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52" w:rsidRDefault="00FF4952" w:rsidP="004F706F">
      <w:pPr>
        <w:spacing w:after="0" w:line="240" w:lineRule="auto"/>
      </w:pPr>
      <w:r>
        <w:separator/>
      </w:r>
    </w:p>
  </w:footnote>
  <w:footnote w:type="continuationSeparator" w:id="0">
    <w:p w:rsidR="00FF4952" w:rsidRDefault="00FF4952" w:rsidP="004F706F">
      <w:pPr>
        <w:spacing w:after="0" w:line="240" w:lineRule="auto"/>
      </w:pPr>
      <w:r>
        <w:continuationSeparator/>
      </w:r>
    </w:p>
  </w:footnote>
  <w:footnote w:id="1">
    <w:p w:rsidR="00497CD8" w:rsidRPr="004F0B38" w:rsidRDefault="00497CD8" w:rsidP="00497CD8">
      <w:pPr>
        <w:pStyle w:val="FootnoteText"/>
      </w:pPr>
      <w:r>
        <w:rPr>
          <w:rStyle w:val="FootnoteReference"/>
        </w:rPr>
        <w:footnoteRef/>
      </w:r>
      <w:r>
        <w:t xml:space="preserve"> </w:t>
      </w:r>
      <w:r>
        <w:rPr>
          <w:rFonts w:ascii="Times New Roman" w:eastAsia="Times New Roman" w:hAnsi="Times New Roman"/>
          <w:color w:val="000000"/>
        </w:rPr>
        <w:t>SC 8/21</w:t>
      </w:r>
    </w:p>
  </w:footnote>
  <w:footnote w:id="2">
    <w:p w:rsidR="004F706F" w:rsidRPr="007E31EF" w:rsidRDefault="004F706F">
      <w:pPr>
        <w:pStyle w:val="FootnoteText"/>
        <w:rPr>
          <w:rFonts w:cs="Calibri"/>
          <w:sz w:val="22"/>
          <w:szCs w:val="22"/>
        </w:rPr>
      </w:pPr>
      <w:r w:rsidRPr="007E31EF">
        <w:rPr>
          <w:rStyle w:val="FootnoteReference"/>
          <w:rFonts w:cs="Calibri"/>
          <w:sz w:val="22"/>
          <w:szCs w:val="22"/>
        </w:rPr>
        <w:footnoteRef/>
      </w:r>
      <w:r w:rsidRPr="007E31EF">
        <w:rPr>
          <w:rFonts w:cs="Calibri"/>
          <w:sz w:val="22"/>
          <w:szCs w:val="22"/>
        </w:rPr>
        <w:t xml:space="preserve"> HH265/23.</w:t>
      </w:r>
    </w:p>
  </w:footnote>
  <w:footnote w:id="3">
    <w:p w:rsidR="00F26D8D" w:rsidRPr="007E31EF" w:rsidRDefault="00F26D8D" w:rsidP="00F26D8D">
      <w:pPr>
        <w:pStyle w:val="FootnoteText"/>
        <w:rPr>
          <w:rFonts w:cs="Calibri"/>
          <w:sz w:val="22"/>
          <w:szCs w:val="22"/>
        </w:rPr>
      </w:pPr>
      <w:r w:rsidRPr="007E31EF">
        <w:rPr>
          <w:rStyle w:val="FootnoteReference"/>
          <w:rFonts w:cs="Calibri"/>
          <w:sz w:val="22"/>
          <w:szCs w:val="22"/>
        </w:rPr>
        <w:footnoteRef/>
      </w:r>
      <w:r w:rsidRPr="007E31EF">
        <w:rPr>
          <w:rFonts w:cs="Calibri"/>
          <w:sz w:val="22"/>
          <w:szCs w:val="22"/>
        </w:rPr>
        <w:t xml:space="preserve"> 1910 AD 258 at 272</w:t>
      </w:r>
    </w:p>
  </w:footnote>
  <w:footnote w:id="4">
    <w:p w:rsidR="00F26D8D" w:rsidRPr="007E31EF" w:rsidRDefault="00F26D8D" w:rsidP="00F26D8D">
      <w:pPr>
        <w:pStyle w:val="FootnoteText"/>
        <w:rPr>
          <w:rFonts w:cs="Calibri"/>
          <w:sz w:val="22"/>
          <w:szCs w:val="22"/>
        </w:rPr>
      </w:pPr>
      <w:r w:rsidRPr="007E31EF">
        <w:rPr>
          <w:rStyle w:val="FootnoteReference"/>
          <w:rFonts w:cs="Calibri"/>
          <w:sz w:val="22"/>
          <w:szCs w:val="22"/>
        </w:rPr>
        <w:footnoteRef/>
      </w:r>
      <w:r w:rsidRPr="007E31EF">
        <w:rPr>
          <w:rFonts w:cs="Calibri"/>
          <w:sz w:val="22"/>
          <w:szCs w:val="22"/>
        </w:rPr>
        <w:t xml:space="preserve"> SC8/17.</w:t>
      </w:r>
    </w:p>
  </w:footnote>
  <w:footnote w:id="5">
    <w:p w:rsidR="00145336" w:rsidRDefault="00145336">
      <w:pPr>
        <w:pStyle w:val="FootnoteText"/>
      </w:pPr>
      <w:r w:rsidRPr="007E31EF">
        <w:rPr>
          <w:rStyle w:val="FootnoteReference"/>
          <w:rFonts w:cs="Calibri"/>
          <w:sz w:val="22"/>
          <w:szCs w:val="22"/>
        </w:rPr>
        <w:footnoteRef/>
      </w:r>
      <w:r w:rsidRPr="007E31EF">
        <w:rPr>
          <w:rFonts w:cs="Calibri"/>
          <w:sz w:val="22"/>
          <w:szCs w:val="22"/>
        </w:rPr>
        <w:t xml:space="preserve"> HH436/15.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EF" w:rsidRDefault="007E31EF" w:rsidP="007E31EF">
    <w:pPr>
      <w:pStyle w:val="Header"/>
      <w:spacing w:after="0" w:line="240" w:lineRule="auto"/>
      <w:jc w:val="right"/>
      <w:rPr>
        <w:noProof/>
        <w:sz w:val="22"/>
      </w:rPr>
    </w:pPr>
    <w:r w:rsidRPr="007E31EF">
      <w:rPr>
        <w:sz w:val="22"/>
      </w:rPr>
      <w:fldChar w:fldCharType="begin"/>
    </w:r>
    <w:r w:rsidRPr="007E31EF">
      <w:rPr>
        <w:sz w:val="22"/>
      </w:rPr>
      <w:instrText xml:space="preserve"> PAGE   \* MERGEFORMAT </w:instrText>
    </w:r>
    <w:r w:rsidRPr="007E31EF">
      <w:rPr>
        <w:sz w:val="22"/>
      </w:rPr>
      <w:fldChar w:fldCharType="separate"/>
    </w:r>
    <w:r w:rsidR="00AA6C1A">
      <w:rPr>
        <w:noProof/>
        <w:sz w:val="22"/>
      </w:rPr>
      <w:t>1</w:t>
    </w:r>
    <w:r w:rsidRPr="007E31EF">
      <w:rPr>
        <w:noProof/>
        <w:sz w:val="22"/>
      </w:rPr>
      <w:fldChar w:fldCharType="end"/>
    </w:r>
  </w:p>
  <w:p w:rsidR="005B2626" w:rsidRPr="007E31EF" w:rsidRDefault="005B2626" w:rsidP="007E31EF">
    <w:pPr>
      <w:pStyle w:val="Header"/>
      <w:spacing w:after="0" w:line="240" w:lineRule="auto"/>
      <w:jc w:val="right"/>
      <w:rPr>
        <w:noProof/>
        <w:sz w:val="22"/>
      </w:rPr>
    </w:pPr>
    <w:r>
      <w:rPr>
        <w:noProof/>
        <w:sz w:val="22"/>
      </w:rPr>
      <w:t>HH 435 - 25</w:t>
    </w:r>
  </w:p>
  <w:p w:rsidR="007E31EF" w:rsidRPr="007E31EF" w:rsidRDefault="007E31EF" w:rsidP="007E31EF">
    <w:pPr>
      <w:pStyle w:val="Header"/>
      <w:spacing w:after="0" w:line="240" w:lineRule="auto"/>
      <w:jc w:val="right"/>
      <w:rPr>
        <w:sz w:val="22"/>
      </w:rPr>
    </w:pPr>
    <w:r>
      <w:rPr>
        <w:noProof/>
        <w:sz w:val="22"/>
      </w:rPr>
      <w:t>HCH 26</w:t>
    </w:r>
    <w:r w:rsidRPr="007E31EF">
      <w:rPr>
        <w:noProof/>
        <w:sz w:val="22"/>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9EF"/>
    <w:multiLevelType w:val="hybridMultilevel"/>
    <w:tmpl w:val="C98E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833B3"/>
    <w:multiLevelType w:val="hybridMultilevel"/>
    <w:tmpl w:val="750CB4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147A0F"/>
    <w:multiLevelType w:val="hybridMultilevel"/>
    <w:tmpl w:val="1E70FD58"/>
    <w:lvl w:ilvl="0" w:tplc="5CDE417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B6"/>
    <w:rsid w:val="00006C97"/>
    <w:rsid w:val="0001511F"/>
    <w:rsid w:val="00035968"/>
    <w:rsid w:val="0004084D"/>
    <w:rsid w:val="000C5FEE"/>
    <w:rsid w:val="00102DF5"/>
    <w:rsid w:val="00104BF6"/>
    <w:rsid w:val="00145336"/>
    <w:rsid w:val="0018007D"/>
    <w:rsid w:val="001A7D07"/>
    <w:rsid w:val="001F0D0E"/>
    <w:rsid w:val="001F163C"/>
    <w:rsid w:val="002421D5"/>
    <w:rsid w:val="00252673"/>
    <w:rsid w:val="00260E4D"/>
    <w:rsid w:val="002720AE"/>
    <w:rsid w:val="00297CF2"/>
    <w:rsid w:val="002A3D02"/>
    <w:rsid w:val="002C255D"/>
    <w:rsid w:val="002D0384"/>
    <w:rsid w:val="002D724E"/>
    <w:rsid w:val="00310280"/>
    <w:rsid w:val="00311085"/>
    <w:rsid w:val="00337970"/>
    <w:rsid w:val="00337B10"/>
    <w:rsid w:val="0036349B"/>
    <w:rsid w:val="003A6978"/>
    <w:rsid w:val="003B021B"/>
    <w:rsid w:val="003E7CDB"/>
    <w:rsid w:val="0040033B"/>
    <w:rsid w:val="00434A2B"/>
    <w:rsid w:val="004903F7"/>
    <w:rsid w:val="00497CD8"/>
    <w:rsid w:val="004B74FE"/>
    <w:rsid w:val="004C6BBC"/>
    <w:rsid w:val="004E237F"/>
    <w:rsid w:val="004F706F"/>
    <w:rsid w:val="00505CA9"/>
    <w:rsid w:val="005443E1"/>
    <w:rsid w:val="005B2626"/>
    <w:rsid w:val="00624360"/>
    <w:rsid w:val="00636E0B"/>
    <w:rsid w:val="0064034D"/>
    <w:rsid w:val="00661B2A"/>
    <w:rsid w:val="00683496"/>
    <w:rsid w:val="006840E0"/>
    <w:rsid w:val="006B47E7"/>
    <w:rsid w:val="006E056E"/>
    <w:rsid w:val="006E7AEA"/>
    <w:rsid w:val="00740905"/>
    <w:rsid w:val="0077032D"/>
    <w:rsid w:val="00771436"/>
    <w:rsid w:val="00771E9B"/>
    <w:rsid w:val="00773F02"/>
    <w:rsid w:val="007B3C13"/>
    <w:rsid w:val="007C410C"/>
    <w:rsid w:val="007E023F"/>
    <w:rsid w:val="007E1051"/>
    <w:rsid w:val="007E31EF"/>
    <w:rsid w:val="00806EBA"/>
    <w:rsid w:val="008138F0"/>
    <w:rsid w:val="00825A7C"/>
    <w:rsid w:val="00847406"/>
    <w:rsid w:val="00871454"/>
    <w:rsid w:val="00880EBB"/>
    <w:rsid w:val="008A2578"/>
    <w:rsid w:val="008C5D2C"/>
    <w:rsid w:val="008D2BA8"/>
    <w:rsid w:val="00910A34"/>
    <w:rsid w:val="00967EBB"/>
    <w:rsid w:val="009728A6"/>
    <w:rsid w:val="00976FCC"/>
    <w:rsid w:val="009A52AB"/>
    <w:rsid w:val="00A16437"/>
    <w:rsid w:val="00A22AD9"/>
    <w:rsid w:val="00A400D2"/>
    <w:rsid w:val="00A44E1A"/>
    <w:rsid w:val="00A549A0"/>
    <w:rsid w:val="00AA6C1A"/>
    <w:rsid w:val="00AC1C56"/>
    <w:rsid w:val="00AE1BA6"/>
    <w:rsid w:val="00B050B4"/>
    <w:rsid w:val="00B23BC2"/>
    <w:rsid w:val="00B27196"/>
    <w:rsid w:val="00B61315"/>
    <w:rsid w:val="00B92AB6"/>
    <w:rsid w:val="00B9597E"/>
    <w:rsid w:val="00BC0233"/>
    <w:rsid w:val="00BD6973"/>
    <w:rsid w:val="00BD7DB6"/>
    <w:rsid w:val="00C01FC7"/>
    <w:rsid w:val="00C45F9B"/>
    <w:rsid w:val="00C7764C"/>
    <w:rsid w:val="00C84FA7"/>
    <w:rsid w:val="00C91A5C"/>
    <w:rsid w:val="00CD3EC4"/>
    <w:rsid w:val="00CE10C4"/>
    <w:rsid w:val="00D11D3F"/>
    <w:rsid w:val="00D15D11"/>
    <w:rsid w:val="00D24D41"/>
    <w:rsid w:val="00D95883"/>
    <w:rsid w:val="00DA600E"/>
    <w:rsid w:val="00DD4985"/>
    <w:rsid w:val="00DE5673"/>
    <w:rsid w:val="00E9359A"/>
    <w:rsid w:val="00EA05B5"/>
    <w:rsid w:val="00EA4B0C"/>
    <w:rsid w:val="00F26D8D"/>
    <w:rsid w:val="00F5751D"/>
    <w:rsid w:val="00FD27D4"/>
    <w:rsid w:val="00FF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ABF8EF-0A0E-4E6E-A588-77A0BD06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BD7DB6"/>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BD7DB6"/>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BD7DB6"/>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D7DB6"/>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D7DB6"/>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D7DB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D7DB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D7DB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D7DB6"/>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7DB6"/>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BD7DB6"/>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BD7DB6"/>
    <w:rPr>
      <w:rFonts w:eastAsia="Times New Roman" w:cs="Times New Roman"/>
      <w:color w:val="2F5496"/>
      <w:sz w:val="28"/>
      <w:szCs w:val="28"/>
    </w:rPr>
  </w:style>
  <w:style w:type="character" w:customStyle="1" w:styleId="Heading4Char">
    <w:name w:val="Heading 4 Char"/>
    <w:link w:val="Heading4"/>
    <w:uiPriority w:val="9"/>
    <w:semiHidden/>
    <w:rsid w:val="00BD7DB6"/>
    <w:rPr>
      <w:rFonts w:eastAsia="Times New Roman" w:cs="Times New Roman"/>
      <w:i/>
      <w:iCs/>
      <w:color w:val="2F5496"/>
    </w:rPr>
  </w:style>
  <w:style w:type="character" w:customStyle="1" w:styleId="Heading5Char">
    <w:name w:val="Heading 5 Char"/>
    <w:link w:val="Heading5"/>
    <w:uiPriority w:val="9"/>
    <w:semiHidden/>
    <w:rsid w:val="00BD7DB6"/>
    <w:rPr>
      <w:rFonts w:eastAsia="Times New Roman" w:cs="Times New Roman"/>
      <w:color w:val="2F5496"/>
    </w:rPr>
  </w:style>
  <w:style w:type="character" w:customStyle="1" w:styleId="Heading6Char">
    <w:name w:val="Heading 6 Char"/>
    <w:link w:val="Heading6"/>
    <w:uiPriority w:val="9"/>
    <w:semiHidden/>
    <w:rsid w:val="00BD7DB6"/>
    <w:rPr>
      <w:rFonts w:eastAsia="Times New Roman" w:cs="Times New Roman"/>
      <w:i/>
      <w:iCs/>
      <w:color w:val="595959"/>
    </w:rPr>
  </w:style>
  <w:style w:type="character" w:customStyle="1" w:styleId="Heading7Char">
    <w:name w:val="Heading 7 Char"/>
    <w:link w:val="Heading7"/>
    <w:uiPriority w:val="9"/>
    <w:semiHidden/>
    <w:rsid w:val="00BD7DB6"/>
    <w:rPr>
      <w:rFonts w:eastAsia="Times New Roman" w:cs="Times New Roman"/>
      <w:color w:val="595959"/>
    </w:rPr>
  </w:style>
  <w:style w:type="character" w:customStyle="1" w:styleId="Heading8Char">
    <w:name w:val="Heading 8 Char"/>
    <w:link w:val="Heading8"/>
    <w:uiPriority w:val="9"/>
    <w:semiHidden/>
    <w:rsid w:val="00BD7DB6"/>
    <w:rPr>
      <w:rFonts w:eastAsia="Times New Roman" w:cs="Times New Roman"/>
      <w:i/>
      <w:iCs/>
      <w:color w:val="272727"/>
    </w:rPr>
  </w:style>
  <w:style w:type="character" w:customStyle="1" w:styleId="Heading9Char">
    <w:name w:val="Heading 9 Char"/>
    <w:link w:val="Heading9"/>
    <w:uiPriority w:val="9"/>
    <w:semiHidden/>
    <w:rsid w:val="00BD7DB6"/>
    <w:rPr>
      <w:rFonts w:eastAsia="Times New Roman" w:cs="Times New Roman"/>
      <w:color w:val="272727"/>
    </w:rPr>
  </w:style>
  <w:style w:type="paragraph" w:styleId="Title">
    <w:name w:val="Title"/>
    <w:basedOn w:val="Normal"/>
    <w:next w:val="Normal"/>
    <w:link w:val="TitleChar"/>
    <w:uiPriority w:val="10"/>
    <w:qFormat/>
    <w:rsid w:val="00BD7DB6"/>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D7DB6"/>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D7DB6"/>
    <w:pPr>
      <w:numPr>
        <w:ilvl w:val="1"/>
      </w:numPr>
    </w:pPr>
    <w:rPr>
      <w:rFonts w:eastAsia="Times New Roman"/>
      <w:color w:val="595959"/>
      <w:spacing w:val="15"/>
      <w:sz w:val="28"/>
      <w:szCs w:val="28"/>
    </w:rPr>
  </w:style>
  <w:style w:type="character" w:customStyle="1" w:styleId="SubtitleChar">
    <w:name w:val="Subtitle Char"/>
    <w:link w:val="Subtitle"/>
    <w:uiPriority w:val="11"/>
    <w:rsid w:val="00BD7DB6"/>
    <w:rPr>
      <w:rFonts w:eastAsia="Times New Roman" w:cs="Times New Roman"/>
      <w:color w:val="595959"/>
      <w:spacing w:val="15"/>
      <w:sz w:val="28"/>
      <w:szCs w:val="28"/>
    </w:rPr>
  </w:style>
  <w:style w:type="paragraph" w:styleId="Quote">
    <w:name w:val="Quote"/>
    <w:basedOn w:val="Normal"/>
    <w:next w:val="Normal"/>
    <w:link w:val="QuoteChar"/>
    <w:uiPriority w:val="29"/>
    <w:qFormat/>
    <w:rsid w:val="00BD7DB6"/>
    <w:pPr>
      <w:spacing w:before="160"/>
      <w:jc w:val="center"/>
    </w:pPr>
    <w:rPr>
      <w:i/>
      <w:iCs/>
      <w:color w:val="404040"/>
    </w:rPr>
  </w:style>
  <w:style w:type="character" w:customStyle="1" w:styleId="QuoteChar">
    <w:name w:val="Quote Char"/>
    <w:link w:val="Quote"/>
    <w:uiPriority w:val="29"/>
    <w:rsid w:val="00BD7DB6"/>
    <w:rPr>
      <w:i/>
      <w:iCs/>
      <w:color w:val="404040"/>
    </w:rPr>
  </w:style>
  <w:style w:type="paragraph" w:styleId="ListParagraph">
    <w:name w:val="List Paragraph"/>
    <w:basedOn w:val="Normal"/>
    <w:uiPriority w:val="34"/>
    <w:qFormat/>
    <w:rsid w:val="00BD7DB6"/>
    <w:pPr>
      <w:ind w:left="720"/>
      <w:contextualSpacing/>
    </w:pPr>
  </w:style>
  <w:style w:type="character" w:styleId="IntenseEmphasis">
    <w:name w:val="Intense Emphasis"/>
    <w:uiPriority w:val="21"/>
    <w:qFormat/>
    <w:rsid w:val="00BD7DB6"/>
    <w:rPr>
      <w:i/>
      <w:iCs/>
      <w:color w:val="2F5496"/>
    </w:rPr>
  </w:style>
  <w:style w:type="paragraph" w:styleId="IntenseQuote">
    <w:name w:val="Intense Quote"/>
    <w:basedOn w:val="Normal"/>
    <w:next w:val="Normal"/>
    <w:link w:val="IntenseQuoteChar"/>
    <w:uiPriority w:val="30"/>
    <w:qFormat/>
    <w:rsid w:val="00BD7DB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D7DB6"/>
    <w:rPr>
      <w:i/>
      <w:iCs/>
      <w:color w:val="2F5496"/>
    </w:rPr>
  </w:style>
  <w:style w:type="character" w:styleId="IntenseReference">
    <w:name w:val="Intense Reference"/>
    <w:uiPriority w:val="32"/>
    <w:qFormat/>
    <w:rsid w:val="00BD7DB6"/>
    <w:rPr>
      <w:b/>
      <w:bCs/>
      <w:smallCaps/>
      <w:color w:val="2F5496"/>
      <w:spacing w:val="5"/>
    </w:rPr>
  </w:style>
  <w:style w:type="paragraph" w:styleId="FootnoteText">
    <w:name w:val="footnote text"/>
    <w:basedOn w:val="Normal"/>
    <w:link w:val="FootnoteTextChar"/>
    <w:unhideWhenUsed/>
    <w:rsid w:val="004F706F"/>
    <w:rPr>
      <w:sz w:val="20"/>
      <w:szCs w:val="20"/>
    </w:rPr>
  </w:style>
  <w:style w:type="character" w:customStyle="1" w:styleId="FootnoteTextChar">
    <w:name w:val="Footnote Text Char"/>
    <w:link w:val="FootnoteText"/>
    <w:rsid w:val="004F706F"/>
    <w:rPr>
      <w:kern w:val="2"/>
    </w:rPr>
  </w:style>
  <w:style w:type="character" w:styleId="FootnoteReference">
    <w:name w:val="footnote reference"/>
    <w:unhideWhenUsed/>
    <w:rsid w:val="004F706F"/>
    <w:rPr>
      <w:vertAlign w:val="superscript"/>
    </w:rPr>
  </w:style>
  <w:style w:type="paragraph" w:styleId="Header">
    <w:name w:val="header"/>
    <w:basedOn w:val="Normal"/>
    <w:link w:val="HeaderChar"/>
    <w:uiPriority w:val="99"/>
    <w:unhideWhenUsed/>
    <w:rsid w:val="007E31EF"/>
    <w:pPr>
      <w:tabs>
        <w:tab w:val="center" w:pos="4680"/>
        <w:tab w:val="right" w:pos="9360"/>
      </w:tabs>
    </w:pPr>
  </w:style>
  <w:style w:type="character" w:customStyle="1" w:styleId="HeaderChar">
    <w:name w:val="Header Char"/>
    <w:link w:val="Header"/>
    <w:uiPriority w:val="99"/>
    <w:rsid w:val="007E31EF"/>
    <w:rPr>
      <w:kern w:val="2"/>
      <w:sz w:val="24"/>
      <w:szCs w:val="24"/>
    </w:rPr>
  </w:style>
  <w:style w:type="paragraph" w:styleId="Footer">
    <w:name w:val="footer"/>
    <w:basedOn w:val="Normal"/>
    <w:link w:val="FooterChar"/>
    <w:uiPriority w:val="99"/>
    <w:unhideWhenUsed/>
    <w:rsid w:val="007E31EF"/>
    <w:pPr>
      <w:tabs>
        <w:tab w:val="center" w:pos="4680"/>
        <w:tab w:val="right" w:pos="9360"/>
      </w:tabs>
    </w:pPr>
  </w:style>
  <w:style w:type="character" w:customStyle="1" w:styleId="FooterChar">
    <w:name w:val="Footer Char"/>
    <w:link w:val="Footer"/>
    <w:uiPriority w:val="99"/>
    <w:rsid w:val="007E31E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F55F-81AA-49CF-B83C-46B7A65F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dcterms:created xsi:type="dcterms:W3CDTF">2025-07-25T11:23:00Z</dcterms:created>
  <dcterms:modified xsi:type="dcterms:W3CDTF">2025-07-25T11:23:00Z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8b7fda16-22f6-4feb-bcb2-21c814da9a8e</vt:lpwstr>
  </property>
</Properties>
</file>