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5E501" w14:textId="6B49DF51" w:rsidR="00020EF3" w:rsidRDefault="00233897" w:rsidP="00936229">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SHERIFF FOR ZIMBABWE</w:t>
      </w:r>
    </w:p>
    <w:p w14:paraId="0C090C42" w14:textId="478C20C3" w:rsidR="00233897" w:rsidRDefault="00936229" w:rsidP="00936229">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233897">
        <w:rPr>
          <w:rFonts w:ascii="Times New Roman" w:hAnsi="Times New Roman" w:cs="Times New Roman"/>
          <w:sz w:val="24"/>
          <w:szCs w:val="24"/>
          <w:lang w:val="en-US"/>
        </w:rPr>
        <w:t>nd</w:t>
      </w:r>
    </w:p>
    <w:p w14:paraId="3EB69625" w14:textId="7B911703" w:rsidR="00233897" w:rsidRDefault="00233897" w:rsidP="00936229">
      <w:pPr>
        <w:spacing w:after="0"/>
        <w:rPr>
          <w:rFonts w:ascii="Times New Roman" w:hAnsi="Times New Roman" w:cs="Times New Roman"/>
          <w:sz w:val="24"/>
          <w:szCs w:val="24"/>
          <w:lang w:val="en-US"/>
        </w:rPr>
      </w:pPr>
      <w:r>
        <w:rPr>
          <w:rFonts w:ascii="Times New Roman" w:hAnsi="Times New Roman" w:cs="Times New Roman"/>
          <w:sz w:val="24"/>
          <w:szCs w:val="24"/>
          <w:lang w:val="en-US"/>
        </w:rPr>
        <w:t>GOLD BELT ZIMBABWE (PVT) LTD</w:t>
      </w:r>
    </w:p>
    <w:p w14:paraId="082CDB7C" w14:textId="39926571" w:rsidR="00233897" w:rsidRDefault="00936229" w:rsidP="00936229">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233897">
        <w:rPr>
          <w:rFonts w:ascii="Times New Roman" w:hAnsi="Times New Roman" w:cs="Times New Roman"/>
          <w:sz w:val="24"/>
          <w:szCs w:val="24"/>
          <w:lang w:val="en-US"/>
        </w:rPr>
        <w:t>nd</w:t>
      </w:r>
    </w:p>
    <w:p w14:paraId="360917A4" w14:textId="58AB4B68" w:rsidR="00233897" w:rsidRDefault="00233897" w:rsidP="00936229">
      <w:pPr>
        <w:spacing w:after="0"/>
        <w:rPr>
          <w:rFonts w:ascii="Times New Roman" w:hAnsi="Times New Roman" w:cs="Times New Roman"/>
          <w:sz w:val="24"/>
          <w:szCs w:val="24"/>
          <w:lang w:val="en-US"/>
        </w:rPr>
      </w:pPr>
      <w:r>
        <w:rPr>
          <w:rFonts w:ascii="Times New Roman" w:hAnsi="Times New Roman" w:cs="Times New Roman"/>
          <w:sz w:val="24"/>
          <w:szCs w:val="24"/>
          <w:lang w:val="en-US"/>
        </w:rPr>
        <w:t>CBZ BANK LIMITED</w:t>
      </w:r>
    </w:p>
    <w:p w14:paraId="3E78BE6E" w14:textId="392E6026" w:rsidR="00233897" w:rsidRDefault="00233897" w:rsidP="00936229">
      <w:pPr>
        <w:spacing w:after="0"/>
        <w:rPr>
          <w:rFonts w:ascii="Times New Roman" w:hAnsi="Times New Roman" w:cs="Times New Roman"/>
          <w:sz w:val="24"/>
          <w:szCs w:val="24"/>
          <w:lang w:val="en-US"/>
        </w:rPr>
      </w:pPr>
    </w:p>
    <w:p w14:paraId="432B51A5" w14:textId="6FE7F77D" w:rsidR="00233897" w:rsidRDefault="00233897" w:rsidP="00936229">
      <w:pPr>
        <w:spacing w:after="0"/>
        <w:rPr>
          <w:rFonts w:ascii="Times New Roman" w:hAnsi="Times New Roman" w:cs="Times New Roman"/>
          <w:sz w:val="24"/>
          <w:szCs w:val="24"/>
          <w:lang w:val="en-US"/>
        </w:rPr>
      </w:pPr>
    </w:p>
    <w:p w14:paraId="310E5A5E" w14:textId="48B2A310" w:rsidR="00233897" w:rsidRDefault="00233897" w:rsidP="00936229">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8266652" w14:textId="02BBC2A5" w:rsidR="00233897" w:rsidRDefault="00233897" w:rsidP="00936229">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7826E1A5" w14:textId="0AD5AC2F" w:rsidR="00233897" w:rsidRDefault="00233897" w:rsidP="00936229">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27 October 2021 and 2</w:t>
      </w:r>
      <w:r w:rsidR="003E4D11">
        <w:rPr>
          <w:rFonts w:ascii="Times New Roman" w:hAnsi="Times New Roman" w:cs="Times New Roman"/>
          <w:sz w:val="24"/>
          <w:szCs w:val="24"/>
          <w:lang w:val="en-US"/>
        </w:rPr>
        <w:t>4</w:t>
      </w:r>
      <w:r>
        <w:rPr>
          <w:rFonts w:ascii="Times New Roman" w:hAnsi="Times New Roman" w:cs="Times New Roman"/>
          <w:sz w:val="24"/>
          <w:szCs w:val="24"/>
          <w:lang w:val="en-US"/>
        </w:rPr>
        <w:t xml:space="preserve"> November 20</w:t>
      </w:r>
      <w:r w:rsidR="00B354FC">
        <w:rPr>
          <w:rFonts w:ascii="Times New Roman" w:hAnsi="Times New Roman" w:cs="Times New Roman"/>
          <w:sz w:val="24"/>
          <w:szCs w:val="24"/>
          <w:lang w:val="en-US"/>
        </w:rPr>
        <w:t>2</w:t>
      </w:r>
      <w:r>
        <w:rPr>
          <w:rFonts w:ascii="Times New Roman" w:hAnsi="Times New Roman" w:cs="Times New Roman"/>
          <w:sz w:val="24"/>
          <w:szCs w:val="24"/>
          <w:lang w:val="en-US"/>
        </w:rPr>
        <w:t>2</w:t>
      </w:r>
    </w:p>
    <w:p w14:paraId="464E996D" w14:textId="5060CC3B" w:rsidR="00233897" w:rsidRDefault="00233897" w:rsidP="00936229">
      <w:pPr>
        <w:spacing w:after="0"/>
        <w:rPr>
          <w:rFonts w:ascii="Times New Roman" w:hAnsi="Times New Roman" w:cs="Times New Roman"/>
          <w:sz w:val="24"/>
          <w:szCs w:val="24"/>
          <w:lang w:val="en-US"/>
        </w:rPr>
      </w:pPr>
    </w:p>
    <w:p w14:paraId="2C87C0E9" w14:textId="6F007D70" w:rsidR="00233897" w:rsidRDefault="00233897" w:rsidP="00936229">
      <w:pPr>
        <w:spacing w:after="0"/>
        <w:rPr>
          <w:rFonts w:ascii="Times New Roman" w:hAnsi="Times New Roman" w:cs="Times New Roman"/>
          <w:sz w:val="24"/>
          <w:szCs w:val="24"/>
          <w:lang w:val="en-US"/>
        </w:rPr>
      </w:pPr>
    </w:p>
    <w:p w14:paraId="00D926E1" w14:textId="51FCDA43" w:rsidR="00233897" w:rsidRPr="00233897" w:rsidRDefault="00233897" w:rsidP="00936229">
      <w:pPr>
        <w:spacing w:after="0"/>
        <w:rPr>
          <w:rFonts w:ascii="Times New Roman" w:hAnsi="Times New Roman" w:cs="Times New Roman"/>
          <w:b/>
          <w:bCs/>
          <w:sz w:val="24"/>
          <w:szCs w:val="24"/>
          <w:lang w:val="en-US"/>
        </w:rPr>
      </w:pPr>
      <w:r w:rsidRPr="00233897">
        <w:rPr>
          <w:rFonts w:ascii="Times New Roman" w:hAnsi="Times New Roman" w:cs="Times New Roman"/>
          <w:b/>
          <w:bCs/>
          <w:sz w:val="24"/>
          <w:szCs w:val="24"/>
          <w:lang w:val="en-US"/>
        </w:rPr>
        <w:t>Opposed Court Application</w:t>
      </w:r>
    </w:p>
    <w:p w14:paraId="5770FD93" w14:textId="24BCE1C5" w:rsidR="00233897" w:rsidRDefault="00233897" w:rsidP="00936229">
      <w:pPr>
        <w:spacing w:after="0"/>
        <w:rPr>
          <w:rFonts w:ascii="Times New Roman" w:hAnsi="Times New Roman" w:cs="Times New Roman"/>
          <w:sz w:val="24"/>
          <w:szCs w:val="24"/>
          <w:lang w:val="en-US"/>
        </w:rPr>
      </w:pPr>
    </w:p>
    <w:p w14:paraId="7D2E1595" w14:textId="6BFEFF38" w:rsidR="00233897" w:rsidRDefault="00233897" w:rsidP="00936229">
      <w:pPr>
        <w:spacing w:after="0"/>
        <w:rPr>
          <w:rFonts w:ascii="Times New Roman" w:hAnsi="Times New Roman" w:cs="Times New Roman"/>
          <w:sz w:val="24"/>
          <w:szCs w:val="24"/>
          <w:lang w:val="en-US"/>
        </w:rPr>
      </w:pPr>
    </w:p>
    <w:p w14:paraId="748412C9" w14:textId="1A915F2E" w:rsidR="00233897" w:rsidRDefault="00233897" w:rsidP="00936229">
      <w:pPr>
        <w:spacing w:after="0"/>
        <w:rPr>
          <w:rFonts w:ascii="Times New Roman" w:hAnsi="Times New Roman" w:cs="Times New Roman"/>
          <w:sz w:val="24"/>
          <w:szCs w:val="24"/>
          <w:lang w:val="en-US"/>
        </w:rPr>
      </w:pPr>
      <w:r w:rsidRPr="00233897">
        <w:rPr>
          <w:rFonts w:ascii="Times New Roman" w:hAnsi="Times New Roman" w:cs="Times New Roman"/>
          <w:i/>
          <w:iCs/>
          <w:sz w:val="24"/>
          <w:szCs w:val="24"/>
          <w:lang w:val="en-US"/>
        </w:rPr>
        <w:t>N Chiota</w:t>
      </w:r>
      <w:r>
        <w:rPr>
          <w:rFonts w:ascii="Times New Roman" w:hAnsi="Times New Roman" w:cs="Times New Roman"/>
          <w:sz w:val="24"/>
          <w:szCs w:val="24"/>
          <w:lang w:val="en-US"/>
        </w:rPr>
        <w:t>, for the applicant</w:t>
      </w:r>
    </w:p>
    <w:p w14:paraId="55FD2E24" w14:textId="3E72E9C5" w:rsidR="00233897" w:rsidRDefault="00233897" w:rsidP="00936229">
      <w:pPr>
        <w:spacing w:after="0"/>
        <w:rPr>
          <w:rFonts w:ascii="Times New Roman" w:hAnsi="Times New Roman" w:cs="Times New Roman"/>
          <w:sz w:val="24"/>
          <w:szCs w:val="24"/>
          <w:lang w:val="en-US"/>
        </w:rPr>
      </w:pPr>
      <w:r w:rsidRPr="00233897">
        <w:rPr>
          <w:rFonts w:ascii="Times New Roman" w:hAnsi="Times New Roman" w:cs="Times New Roman"/>
          <w:i/>
          <w:iCs/>
          <w:sz w:val="24"/>
          <w:szCs w:val="24"/>
          <w:lang w:val="en-US"/>
        </w:rPr>
        <w:t>P Tichaona</w:t>
      </w:r>
      <w:r>
        <w:rPr>
          <w:rFonts w:ascii="Times New Roman" w:hAnsi="Times New Roman" w:cs="Times New Roman"/>
          <w:sz w:val="24"/>
          <w:szCs w:val="24"/>
          <w:lang w:val="en-US"/>
        </w:rPr>
        <w:t>, for the claimant</w:t>
      </w:r>
    </w:p>
    <w:p w14:paraId="597F0C46" w14:textId="6C4E234A" w:rsidR="00233897" w:rsidRDefault="00233897" w:rsidP="00936229">
      <w:pPr>
        <w:spacing w:after="0"/>
        <w:rPr>
          <w:rFonts w:ascii="Times New Roman" w:hAnsi="Times New Roman" w:cs="Times New Roman"/>
          <w:sz w:val="24"/>
          <w:szCs w:val="24"/>
          <w:lang w:val="en-US"/>
        </w:rPr>
      </w:pPr>
      <w:r w:rsidRPr="00233897">
        <w:rPr>
          <w:rFonts w:ascii="Times New Roman" w:hAnsi="Times New Roman" w:cs="Times New Roman"/>
          <w:i/>
          <w:iCs/>
          <w:sz w:val="24"/>
          <w:szCs w:val="24"/>
          <w:lang w:val="en-US"/>
        </w:rPr>
        <w:t>M A Musona</w:t>
      </w:r>
      <w:r>
        <w:rPr>
          <w:rFonts w:ascii="Times New Roman" w:hAnsi="Times New Roman" w:cs="Times New Roman"/>
          <w:sz w:val="24"/>
          <w:szCs w:val="24"/>
          <w:lang w:val="en-US"/>
        </w:rPr>
        <w:t>, for judgment creditor</w:t>
      </w:r>
    </w:p>
    <w:p w14:paraId="0CACBDC1" w14:textId="59F84FEE" w:rsidR="00233897" w:rsidRDefault="00233897" w:rsidP="00936229">
      <w:pPr>
        <w:spacing w:after="0"/>
        <w:rPr>
          <w:rFonts w:ascii="Times New Roman" w:hAnsi="Times New Roman" w:cs="Times New Roman"/>
          <w:sz w:val="24"/>
          <w:szCs w:val="24"/>
          <w:lang w:val="en-US"/>
        </w:rPr>
      </w:pPr>
    </w:p>
    <w:p w14:paraId="261F4DDB" w14:textId="19FA8FB8" w:rsidR="00233897" w:rsidRDefault="00233897" w:rsidP="00936229">
      <w:pPr>
        <w:spacing w:after="0"/>
        <w:rPr>
          <w:rFonts w:ascii="Times New Roman" w:hAnsi="Times New Roman" w:cs="Times New Roman"/>
          <w:sz w:val="24"/>
          <w:szCs w:val="24"/>
          <w:lang w:val="en-US"/>
        </w:rPr>
      </w:pPr>
    </w:p>
    <w:p w14:paraId="3C68526C" w14:textId="34F80D45" w:rsidR="00233897" w:rsidRDefault="00233897" w:rsidP="009362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 xml:space="preserve">The background to this application is that the judgment creditor obtained judgment against five defendants jointly and severally the one paying the other to be absolved in case no. HC 11281/17 on 31 October 2019 per </w:t>
      </w:r>
      <w:r w:rsidRPr="00936229">
        <w:rPr>
          <w:rFonts w:ascii="Times New Roman" w:hAnsi="Times New Roman" w:cs="Times New Roman"/>
          <w:smallCaps/>
          <w:sz w:val="24"/>
          <w:szCs w:val="24"/>
          <w:lang w:val="en-US"/>
        </w:rPr>
        <w:t>Tsanga J</w:t>
      </w:r>
      <w:r>
        <w:rPr>
          <w:rFonts w:ascii="Times New Roman" w:hAnsi="Times New Roman" w:cs="Times New Roman"/>
          <w:sz w:val="24"/>
          <w:szCs w:val="24"/>
          <w:lang w:val="en-US"/>
        </w:rPr>
        <w:t xml:space="preserve"> for payment of the sum of US$3</w:t>
      </w:r>
      <w:r w:rsidR="00936229">
        <w:rPr>
          <w:rFonts w:ascii="Times New Roman" w:hAnsi="Times New Roman" w:cs="Times New Roman"/>
          <w:sz w:val="24"/>
          <w:szCs w:val="24"/>
          <w:lang w:val="en-US"/>
        </w:rPr>
        <w:t> </w:t>
      </w:r>
      <w:r>
        <w:rPr>
          <w:rFonts w:ascii="Times New Roman" w:hAnsi="Times New Roman" w:cs="Times New Roman"/>
          <w:sz w:val="24"/>
          <w:szCs w:val="24"/>
          <w:lang w:val="en-US"/>
        </w:rPr>
        <w:t>632 984.41.  The five defendants in the order of the judgment listed first to fifth respectively were Chi</w:t>
      </w:r>
      <w:r w:rsidR="00936229">
        <w:rPr>
          <w:rFonts w:ascii="Times New Roman" w:hAnsi="Times New Roman" w:cs="Times New Roman"/>
          <w:sz w:val="24"/>
          <w:szCs w:val="24"/>
          <w:lang w:val="en-US"/>
        </w:rPr>
        <w:t>l</w:t>
      </w:r>
      <w:r>
        <w:rPr>
          <w:rFonts w:ascii="Times New Roman" w:hAnsi="Times New Roman" w:cs="Times New Roman"/>
          <w:sz w:val="24"/>
          <w:szCs w:val="24"/>
          <w:lang w:val="en-US"/>
        </w:rPr>
        <w:t>ruff Consultants (Private) Limited, Gift Madhlayo, Lucy Madhlayo, Nikkel Investments (Pvt) Ltd and Impala Properties (Private) Limited</w:t>
      </w:r>
      <w:r w:rsidR="000661FD">
        <w:rPr>
          <w:rFonts w:ascii="Times New Roman" w:hAnsi="Times New Roman" w:cs="Times New Roman"/>
          <w:sz w:val="24"/>
          <w:szCs w:val="24"/>
          <w:lang w:val="en-US"/>
        </w:rPr>
        <w:t xml:space="preserve">.  </w:t>
      </w:r>
      <w:r w:rsidR="003E4D11">
        <w:rPr>
          <w:rFonts w:ascii="Times New Roman" w:hAnsi="Times New Roman" w:cs="Times New Roman"/>
          <w:sz w:val="24"/>
          <w:szCs w:val="24"/>
          <w:lang w:val="en-US"/>
        </w:rPr>
        <w:t>Four</w:t>
      </w:r>
      <w:r w:rsidR="000661FD">
        <w:rPr>
          <w:rFonts w:ascii="Times New Roman" w:hAnsi="Times New Roman" w:cs="Times New Roman"/>
          <w:sz w:val="24"/>
          <w:szCs w:val="24"/>
          <w:lang w:val="en-US"/>
        </w:rPr>
        <w:t xml:space="preserve"> immovable properties were declared specifically executable to satisfy the judgment debt.  The properties are in the judgment order described as:</w:t>
      </w:r>
    </w:p>
    <w:p w14:paraId="75E403F5" w14:textId="5BF626A6" w:rsidR="000661FD" w:rsidRPr="000965B0" w:rsidRDefault="000661FD" w:rsidP="000965B0">
      <w:pPr>
        <w:spacing w:after="0" w:line="240" w:lineRule="auto"/>
        <w:ind w:left="720"/>
        <w:jc w:val="both"/>
        <w:rPr>
          <w:rFonts w:ascii="Times New Roman" w:hAnsi="Times New Roman" w:cs="Times New Roman"/>
          <w:lang w:val="en-US"/>
        </w:rPr>
      </w:pPr>
      <w:r w:rsidRPr="000965B0">
        <w:rPr>
          <w:rFonts w:ascii="Times New Roman" w:hAnsi="Times New Roman" w:cs="Times New Roman"/>
          <w:lang w:val="en-US"/>
        </w:rPr>
        <w:t>“(a)  The remainder of Lot 3 of Su</w:t>
      </w:r>
      <w:r w:rsidR="000965B0">
        <w:rPr>
          <w:rFonts w:ascii="Times New Roman" w:hAnsi="Times New Roman" w:cs="Times New Roman"/>
          <w:lang w:val="en-US"/>
        </w:rPr>
        <w:t>s</w:t>
      </w:r>
      <w:r w:rsidRPr="000965B0">
        <w:rPr>
          <w:rFonts w:ascii="Times New Roman" w:hAnsi="Times New Roman" w:cs="Times New Roman"/>
          <w:lang w:val="en-US"/>
        </w:rPr>
        <w:t>urumba of Chinaka of Juliasdale measuring 13 8754 hectares and held under Deed of Transfer No. 4233/92 dated 28 July 1992 and registered in the name of the 4</w:t>
      </w:r>
      <w:r w:rsidRPr="000965B0">
        <w:rPr>
          <w:rFonts w:ascii="Times New Roman" w:hAnsi="Times New Roman" w:cs="Times New Roman"/>
          <w:vertAlign w:val="superscript"/>
          <w:lang w:val="en-US"/>
        </w:rPr>
        <w:t>th</w:t>
      </w:r>
      <w:r w:rsidRPr="000965B0">
        <w:rPr>
          <w:rFonts w:ascii="Times New Roman" w:hAnsi="Times New Roman" w:cs="Times New Roman"/>
          <w:lang w:val="en-US"/>
        </w:rPr>
        <w:t xml:space="preserve"> defendant.”</w:t>
      </w:r>
    </w:p>
    <w:p w14:paraId="043EDD4B" w14:textId="6BDF75EB" w:rsidR="000661FD" w:rsidRPr="000965B0" w:rsidRDefault="000661FD" w:rsidP="000965B0">
      <w:pPr>
        <w:spacing w:after="0" w:line="240" w:lineRule="auto"/>
        <w:ind w:left="720"/>
        <w:jc w:val="both"/>
        <w:rPr>
          <w:rFonts w:ascii="Times New Roman" w:hAnsi="Times New Roman" w:cs="Times New Roman"/>
          <w:lang w:val="en-US"/>
        </w:rPr>
      </w:pPr>
      <w:r w:rsidRPr="000965B0">
        <w:rPr>
          <w:rFonts w:ascii="Times New Roman" w:hAnsi="Times New Roman" w:cs="Times New Roman"/>
          <w:lang w:val="en-US"/>
        </w:rPr>
        <w:t>“(b)  Lot 3 of subdivision E of Fernhill measuring 3.1797 hectares and held under Deed of Transfer no. 8487/72 dated 19 December 1972 and registered in the name of the 5</w:t>
      </w:r>
      <w:r w:rsidRPr="000965B0">
        <w:rPr>
          <w:rFonts w:ascii="Times New Roman" w:hAnsi="Times New Roman" w:cs="Times New Roman"/>
          <w:vertAlign w:val="superscript"/>
          <w:lang w:val="en-US"/>
        </w:rPr>
        <w:t>th</w:t>
      </w:r>
      <w:r w:rsidRPr="000965B0">
        <w:rPr>
          <w:rFonts w:ascii="Times New Roman" w:hAnsi="Times New Roman" w:cs="Times New Roman"/>
          <w:lang w:val="en-US"/>
        </w:rPr>
        <w:t xml:space="preserve"> defendant.”</w:t>
      </w:r>
    </w:p>
    <w:p w14:paraId="76BB985A" w14:textId="22203845" w:rsidR="000661FD" w:rsidRPr="000965B0" w:rsidRDefault="000661FD" w:rsidP="000965B0">
      <w:pPr>
        <w:spacing w:after="0" w:line="240" w:lineRule="auto"/>
        <w:ind w:left="720"/>
        <w:jc w:val="both"/>
        <w:rPr>
          <w:rFonts w:ascii="Times New Roman" w:hAnsi="Times New Roman" w:cs="Times New Roman"/>
          <w:lang w:val="en-US"/>
        </w:rPr>
      </w:pPr>
      <w:r w:rsidRPr="000965B0">
        <w:rPr>
          <w:rFonts w:ascii="Times New Roman" w:hAnsi="Times New Roman" w:cs="Times New Roman"/>
          <w:lang w:val="en-US"/>
        </w:rPr>
        <w:t>“(c)  Lot 4 portion of subdivision E parties of Fernhill measuring 1562 square metres and held under Deed of Transfer no. 4662/81 dated 28 July 1981 and registered in the name of the 5</w:t>
      </w:r>
      <w:r w:rsidRPr="000965B0">
        <w:rPr>
          <w:rFonts w:ascii="Times New Roman" w:hAnsi="Times New Roman" w:cs="Times New Roman"/>
          <w:vertAlign w:val="superscript"/>
          <w:lang w:val="en-US"/>
        </w:rPr>
        <w:t>th</w:t>
      </w:r>
      <w:r w:rsidRPr="000965B0">
        <w:rPr>
          <w:rFonts w:ascii="Times New Roman" w:hAnsi="Times New Roman" w:cs="Times New Roman"/>
          <w:lang w:val="en-US"/>
        </w:rPr>
        <w:t xml:space="preserve"> defendant.”</w:t>
      </w:r>
    </w:p>
    <w:p w14:paraId="491B6A69" w14:textId="05F7D66B" w:rsidR="000661FD" w:rsidRDefault="000661FD" w:rsidP="000965B0">
      <w:pPr>
        <w:spacing w:after="0" w:line="240" w:lineRule="auto"/>
        <w:ind w:left="720"/>
        <w:jc w:val="both"/>
        <w:rPr>
          <w:rFonts w:ascii="Times New Roman" w:hAnsi="Times New Roman" w:cs="Times New Roman"/>
          <w:lang w:val="en-US"/>
        </w:rPr>
      </w:pPr>
      <w:r w:rsidRPr="000965B0">
        <w:rPr>
          <w:rFonts w:ascii="Times New Roman" w:hAnsi="Times New Roman" w:cs="Times New Roman"/>
          <w:lang w:val="en-US"/>
        </w:rPr>
        <w:t>“(d)</w:t>
      </w:r>
      <w:r w:rsidRPr="000965B0">
        <w:rPr>
          <w:rFonts w:ascii="Times New Roman" w:hAnsi="Times New Roman" w:cs="Times New Roman"/>
          <w:lang w:val="en-US"/>
        </w:rPr>
        <w:tab/>
        <w:t>Lot 6 of subdivision E of Fernhill held under Deed of Transfer No. 4702/57 dated 31 August 1957 and registered in the name of RG Denton (Pvt) Ltd.”</w:t>
      </w:r>
    </w:p>
    <w:p w14:paraId="0FE988D0" w14:textId="77777777" w:rsidR="000965B0" w:rsidRPr="000965B0" w:rsidRDefault="000965B0" w:rsidP="000965B0">
      <w:pPr>
        <w:spacing w:after="0" w:line="240" w:lineRule="auto"/>
        <w:ind w:left="720"/>
        <w:jc w:val="both"/>
        <w:rPr>
          <w:rFonts w:ascii="Times New Roman" w:hAnsi="Times New Roman" w:cs="Times New Roman"/>
          <w:lang w:val="en-US"/>
        </w:rPr>
      </w:pPr>
    </w:p>
    <w:p w14:paraId="4AD31818" w14:textId="795D6576" w:rsidR="000661FD" w:rsidRDefault="000661FD"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Subsequent to obtaining the judgement, the judgment creditor caused by way of a writ of execution against immovable property, the attachment into execution by the applicant of the four properties aforesaid.  Following the attachment of the properties on 10 December 20219, the claimant laid claim to the four properties.</w:t>
      </w:r>
      <w:r w:rsidR="00AE5BB1">
        <w:rPr>
          <w:rFonts w:ascii="Times New Roman" w:hAnsi="Times New Roman" w:cs="Times New Roman"/>
          <w:sz w:val="24"/>
          <w:szCs w:val="24"/>
          <w:lang w:val="en-US"/>
        </w:rPr>
        <w:t xml:space="preserve">  It sought that the properties be not executed upon </w:t>
      </w:r>
      <w:r w:rsidR="00AE5BB1">
        <w:rPr>
          <w:rFonts w:ascii="Times New Roman" w:hAnsi="Times New Roman" w:cs="Times New Roman"/>
          <w:sz w:val="24"/>
          <w:szCs w:val="24"/>
          <w:lang w:val="en-US"/>
        </w:rPr>
        <w:lastRenderedPageBreak/>
        <w:t xml:space="preserve">because they belonged to the applicant who claimed to have purchased and paid </w:t>
      </w:r>
      <w:r w:rsidR="00026A3B">
        <w:rPr>
          <w:rFonts w:ascii="Times New Roman" w:hAnsi="Times New Roman" w:cs="Times New Roman"/>
          <w:sz w:val="24"/>
          <w:szCs w:val="24"/>
          <w:lang w:val="en-US"/>
        </w:rPr>
        <w:t>for them on 19 November 2019.  The judgment creditor was not amenable to agree to the claimant’s claim.  The applicant was therefore faced with an adverse claim made by the claimant.  The applicant in seeking to have the adverse claim determined by the court filed this interpleader application in terms of order 30 r 205A of the High Court Rules, 1971, then in force.</w:t>
      </w:r>
    </w:p>
    <w:p w14:paraId="45287A48" w14:textId="5E9391B5" w:rsidR="00026A3B" w:rsidRDefault="00026A3B"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issue before the court in this application is whether or not the claimant has made a case for the removal from execution of the property concerned.  The claimant averred in the affidavit of claim </w:t>
      </w:r>
      <w:r w:rsidR="003E4D11">
        <w:rPr>
          <w:rFonts w:ascii="Times New Roman" w:hAnsi="Times New Roman" w:cs="Times New Roman"/>
          <w:sz w:val="24"/>
          <w:szCs w:val="24"/>
          <w:lang w:val="en-US"/>
        </w:rPr>
        <w:t xml:space="preserve">delivered </w:t>
      </w:r>
      <w:r>
        <w:rPr>
          <w:rFonts w:ascii="Times New Roman" w:hAnsi="Times New Roman" w:cs="Times New Roman"/>
          <w:sz w:val="24"/>
          <w:szCs w:val="24"/>
          <w:lang w:val="en-US"/>
        </w:rPr>
        <w:t xml:space="preserve">on the applicant with a sale of agreement attached </w:t>
      </w:r>
      <w:r w:rsidR="003E4D11">
        <w:rPr>
          <w:rFonts w:ascii="Times New Roman" w:hAnsi="Times New Roman" w:cs="Times New Roman"/>
          <w:sz w:val="24"/>
          <w:szCs w:val="24"/>
          <w:lang w:val="en-US"/>
        </w:rPr>
        <w:t xml:space="preserve">thereto </w:t>
      </w:r>
      <w:r>
        <w:rPr>
          <w:rFonts w:ascii="Times New Roman" w:hAnsi="Times New Roman" w:cs="Times New Roman"/>
          <w:sz w:val="24"/>
          <w:szCs w:val="24"/>
          <w:lang w:val="en-US"/>
        </w:rPr>
        <w:t>that it purchased the properties in question.</w:t>
      </w:r>
    </w:p>
    <w:p w14:paraId="408B9D9A" w14:textId="77777777" w:rsidR="00026A3B" w:rsidRDefault="00026A3B"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para(s) 7, 8 and 9 of the affidavit aforesaid, the claimant’s representative, KM Muganhiri stated:</w:t>
      </w:r>
    </w:p>
    <w:p w14:paraId="67D24CB4" w14:textId="77777777" w:rsidR="00026A3B" w:rsidRDefault="00026A3B" w:rsidP="00936229">
      <w:pPr>
        <w:spacing w:after="0"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I purchased the aforementioned property from the judgment debtor, after a debt securitization scheme and the debentures were issued after such an arrangement.  I attach hereto marked as Annexure “F” a copy of the agreement of sale.</w:t>
      </w:r>
    </w:p>
    <w:p w14:paraId="5296CB9E" w14:textId="136C27D0" w:rsidR="00026A3B" w:rsidRDefault="00026A3B" w:rsidP="00936229">
      <w:pPr>
        <w:spacing w:after="0"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 xml:space="preserve">In the circumstances, I submit that the property attached should not be sold in execution to pay off and settle debts of the judgment debtor since I was not involved in this legal dispute leading to the issuance of a writ upon which the execution was carried out. </w:t>
      </w:r>
    </w:p>
    <w:p w14:paraId="374009F7" w14:textId="5E49B008" w:rsidR="00026A3B" w:rsidRDefault="00026A3B" w:rsidP="00936229">
      <w:pPr>
        <w:spacing w:after="0"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I therefore pray that the property herein described be released so that I can enjoy peaceful and undisturbed possession, ownership and use of it.”</w:t>
      </w:r>
    </w:p>
    <w:p w14:paraId="4BF31698" w14:textId="77777777" w:rsidR="003E4D11" w:rsidRDefault="003E4D11" w:rsidP="00936229">
      <w:pPr>
        <w:spacing w:after="0" w:line="240" w:lineRule="auto"/>
        <w:ind w:left="1440" w:hanging="720"/>
        <w:jc w:val="both"/>
        <w:rPr>
          <w:rFonts w:ascii="Times New Roman" w:hAnsi="Times New Roman" w:cs="Times New Roman"/>
          <w:sz w:val="24"/>
          <w:szCs w:val="24"/>
          <w:lang w:val="en-US"/>
        </w:rPr>
      </w:pPr>
    </w:p>
    <w:p w14:paraId="642A3792" w14:textId="63817B20" w:rsidR="00026A3B" w:rsidRDefault="00026A3B"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sale agreement referred to record</w:t>
      </w:r>
      <w:r w:rsidR="003E4D11">
        <w:rPr>
          <w:rFonts w:ascii="Times New Roman" w:hAnsi="Times New Roman" w:cs="Times New Roman"/>
          <w:sz w:val="24"/>
          <w:szCs w:val="24"/>
          <w:lang w:val="en-US"/>
        </w:rPr>
        <w:t>ed</w:t>
      </w:r>
      <w:r>
        <w:rPr>
          <w:rFonts w:ascii="Times New Roman" w:hAnsi="Times New Roman" w:cs="Times New Roman"/>
          <w:sz w:val="24"/>
          <w:szCs w:val="24"/>
          <w:lang w:val="en-US"/>
        </w:rPr>
        <w:t xml:space="preserve"> the seller as Omega Architects (Pvt) Ltd and the purchaser </w:t>
      </w:r>
      <w:r w:rsidR="003E4D11">
        <w:rPr>
          <w:rFonts w:ascii="Times New Roman" w:hAnsi="Times New Roman" w:cs="Times New Roman"/>
          <w:sz w:val="24"/>
          <w:szCs w:val="24"/>
          <w:lang w:val="en-US"/>
        </w:rPr>
        <w:t>a</w:t>
      </w:r>
      <w:r>
        <w:rPr>
          <w:rFonts w:ascii="Times New Roman" w:hAnsi="Times New Roman" w:cs="Times New Roman"/>
          <w:sz w:val="24"/>
          <w:szCs w:val="24"/>
          <w:lang w:val="en-US"/>
        </w:rPr>
        <w:t xml:space="preserve">s the claimant herein.  The seller is described as the “beneficial owners” of the </w:t>
      </w:r>
      <w:r w:rsidR="000A52AD">
        <w:rPr>
          <w:rFonts w:ascii="Times New Roman" w:hAnsi="Times New Roman" w:cs="Times New Roman"/>
          <w:sz w:val="24"/>
          <w:szCs w:val="24"/>
          <w:lang w:val="en-US"/>
        </w:rPr>
        <w:t xml:space="preserve">first, fourth and fifth defendants in the main case HC 11280/17.  The agreement does not state the </w:t>
      </w:r>
      <w:r w:rsidR="000A52AD" w:rsidRPr="000A52AD">
        <w:rPr>
          <w:rFonts w:ascii="Times New Roman" w:hAnsi="Times New Roman" w:cs="Times New Roman"/>
          <w:i/>
          <w:iCs/>
          <w:sz w:val="24"/>
          <w:szCs w:val="24"/>
          <w:lang w:val="en-US"/>
        </w:rPr>
        <w:t>locus standi</w:t>
      </w:r>
      <w:r w:rsidR="000A52AD">
        <w:rPr>
          <w:rFonts w:ascii="Times New Roman" w:hAnsi="Times New Roman" w:cs="Times New Roman"/>
          <w:sz w:val="24"/>
          <w:szCs w:val="24"/>
          <w:lang w:val="en-US"/>
        </w:rPr>
        <w:t xml:space="preserve"> of the beneficial owner</w:t>
      </w:r>
      <w:r w:rsidR="003E4D11">
        <w:rPr>
          <w:rFonts w:ascii="Times New Roman" w:hAnsi="Times New Roman" w:cs="Times New Roman"/>
          <w:sz w:val="24"/>
          <w:szCs w:val="24"/>
          <w:lang w:val="en-US"/>
        </w:rPr>
        <w:t>s</w:t>
      </w:r>
      <w:r w:rsidR="000A52AD">
        <w:rPr>
          <w:rFonts w:ascii="Times New Roman" w:hAnsi="Times New Roman" w:cs="Times New Roman"/>
          <w:sz w:val="24"/>
          <w:szCs w:val="24"/>
          <w:lang w:val="en-US"/>
        </w:rPr>
        <w:t xml:space="preserve"> to dispose of the properties when the holders of the property are registered corporates under the Companies Act, as it was called.  The properties were sold for the sum of USD$600 000.00.  The sale agreement was entered on 19 November 2019 after the court had already declared the properties specially executable on 31 October 2019 under case no. H</w:t>
      </w:r>
      <w:r w:rsidR="003E4D11">
        <w:rPr>
          <w:rFonts w:ascii="Times New Roman" w:hAnsi="Times New Roman" w:cs="Times New Roman"/>
          <w:sz w:val="24"/>
          <w:szCs w:val="24"/>
          <w:lang w:val="en-US"/>
        </w:rPr>
        <w:t>C</w:t>
      </w:r>
      <w:r w:rsidR="000A52AD">
        <w:rPr>
          <w:rFonts w:ascii="Times New Roman" w:hAnsi="Times New Roman" w:cs="Times New Roman"/>
          <w:sz w:val="24"/>
          <w:szCs w:val="24"/>
          <w:lang w:val="en-US"/>
        </w:rPr>
        <w:t xml:space="preserve"> 11280/17.</w:t>
      </w:r>
      <w:r w:rsidR="003E4D11">
        <w:rPr>
          <w:rFonts w:ascii="Times New Roman" w:hAnsi="Times New Roman" w:cs="Times New Roman"/>
          <w:sz w:val="24"/>
          <w:szCs w:val="24"/>
          <w:lang w:val="en-US"/>
        </w:rPr>
        <w:t xml:space="preserve">  In that regard, the judgment preceded the sale.</w:t>
      </w:r>
    </w:p>
    <w:p w14:paraId="01203B97" w14:textId="5146480E" w:rsidR="000A52AD" w:rsidRDefault="000A52AD"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its opposing affidavit to the interpleader application proper, the claimant averred that it concluded a sale agreement with a company called Omega Architects (Pvt) Ltd.  The company is said to have been operating</w:t>
      </w:r>
      <w:r w:rsidR="003E4D11">
        <w:rPr>
          <w:rFonts w:ascii="Times New Roman" w:hAnsi="Times New Roman" w:cs="Times New Roman"/>
          <w:sz w:val="24"/>
          <w:szCs w:val="24"/>
          <w:lang w:val="en-US"/>
        </w:rPr>
        <w:t xml:space="preserve"> </w:t>
      </w:r>
      <w:r>
        <w:rPr>
          <w:rFonts w:ascii="Times New Roman" w:hAnsi="Times New Roman" w:cs="Times New Roman"/>
          <w:sz w:val="24"/>
          <w:szCs w:val="24"/>
          <w:lang w:val="en-US"/>
        </w:rPr>
        <w:t>two hotels in Juliasdale and Mutare</w:t>
      </w:r>
      <w:r w:rsidR="003E4D11">
        <w:rPr>
          <w:rFonts w:ascii="Times New Roman" w:hAnsi="Times New Roman" w:cs="Times New Roman"/>
          <w:sz w:val="24"/>
          <w:szCs w:val="24"/>
          <w:lang w:val="en-US"/>
        </w:rPr>
        <w:t xml:space="preserve"> whilst selling them at the same time</w:t>
      </w:r>
      <w:r>
        <w:rPr>
          <w:rFonts w:ascii="Times New Roman" w:hAnsi="Times New Roman" w:cs="Times New Roman"/>
          <w:sz w:val="24"/>
          <w:szCs w:val="24"/>
          <w:lang w:val="en-US"/>
        </w:rPr>
        <w:t>.   The claimant was interested in venturing into tourism business.  The parties agreed upon a debt swap arrangement whereby the claimant would pay the sellers offshore debts from money realized from the purchasers</w:t>
      </w:r>
      <w:r w:rsidR="006753CC">
        <w:rPr>
          <w:rFonts w:ascii="Times New Roman" w:hAnsi="Times New Roman" w:cs="Times New Roman"/>
          <w:sz w:val="24"/>
          <w:szCs w:val="24"/>
          <w:lang w:val="en-US"/>
        </w:rPr>
        <w:t>’</w:t>
      </w:r>
      <w:r>
        <w:rPr>
          <w:rFonts w:ascii="Times New Roman" w:hAnsi="Times New Roman" w:cs="Times New Roman"/>
          <w:sz w:val="24"/>
          <w:szCs w:val="24"/>
          <w:lang w:val="en-US"/>
        </w:rPr>
        <w:t xml:space="preserve"> operations in DRC and Sudan.  The claimant </w:t>
      </w:r>
      <w:r>
        <w:rPr>
          <w:rFonts w:ascii="Times New Roman" w:hAnsi="Times New Roman" w:cs="Times New Roman"/>
          <w:sz w:val="24"/>
          <w:szCs w:val="24"/>
          <w:lang w:val="en-US"/>
        </w:rPr>
        <w:lastRenderedPageBreak/>
        <w:t>averred that it then took possession of the two hotels and was running them presumably at the time of the attachment.</w:t>
      </w:r>
    </w:p>
    <w:p w14:paraId="5A98C305" w14:textId="75FF75DB" w:rsidR="000A52AD" w:rsidRDefault="000A52AD"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claimant averred that it was in the process of registering transfer of the properties in its name.  The claimant contended that it had cleared payment of outstanding rates and conveyancing documents had been drawn up but awaited signature</w:t>
      </w:r>
      <w:r w:rsidR="003E4D11">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transacting parties.  The capital gains certificate was outstanding so contended the claimant because the tax authorities wanted to do their own valuation of the properties.</w:t>
      </w:r>
    </w:p>
    <w:p w14:paraId="161421B6" w14:textId="7D5705EB" w:rsidR="000A52AD" w:rsidRDefault="000A52AD"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judgment creditor opposed the application.  It averred that the claimant had in case no. HC 1686/20 lost another interpleader application seeking to save the </w:t>
      </w:r>
      <w:r w:rsidR="003E4D11">
        <w:rPr>
          <w:rFonts w:ascii="Times New Roman" w:hAnsi="Times New Roman" w:cs="Times New Roman"/>
          <w:sz w:val="24"/>
          <w:szCs w:val="24"/>
          <w:lang w:val="en-US"/>
        </w:rPr>
        <w:t xml:space="preserve">same </w:t>
      </w:r>
      <w:r>
        <w:rPr>
          <w:rFonts w:ascii="Times New Roman" w:hAnsi="Times New Roman" w:cs="Times New Roman"/>
          <w:sz w:val="24"/>
          <w:szCs w:val="24"/>
          <w:lang w:val="en-US"/>
        </w:rPr>
        <w:t>properties from execution.  Th</w:t>
      </w:r>
      <w:r w:rsidR="003E4D11">
        <w:rPr>
          <w:rFonts w:ascii="Times New Roman" w:hAnsi="Times New Roman" w:cs="Times New Roman"/>
          <w:sz w:val="24"/>
          <w:szCs w:val="24"/>
          <w:lang w:val="en-US"/>
        </w:rPr>
        <w:t>at</w:t>
      </w:r>
      <w:r>
        <w:rPr>
          <w:rFonts w:ascii="Times New Roman" w:hAnsi="Times New Roman" w:cs="Times New Roman"/>
          <w:sz w:val="24"/>
          <w:szCs w:val="24"/>
          <w:lang w:val="en-US"/>
        </w:rPr>
        <w:t xml:space="preserve"> application failed.  I have considered the record in case no. HC 1686/20.  The applicant herein filed an interple</w:t>
      </w:r>
      <w:r w:rsidR="003E4D11">
        <w:rPr>
          <w:rFonts w:ascii="Times New Roman" w:hAnsi="Times New Roman" w:cs="Times New Roman"/>
          <w:sz w:val="24"/>
          <w:szCs w:val="24"/>
          <w:lang w:val="en-US"/>
        </w:rPr>
        <w:t>a</w:t>
      </w:r>
      <w:r>
        <w:rPr>
          <w:rFonts w:ascii="Times New Roman" w:hAnsi="Times New Roman" w:cs="Times New Roman"/>
          <w:sz w:val="24"/>
          <w:szCs w:val="24"/>
          <w:lang w:val="en-US"/>
        </w:rPr>
        <w:t xml:space="preserve">der following </w:t>
      </w:r>
      <w:r w:rsidR="00F00B78">
        <w:rPr>
          <w:rFonts w:ascii="Times New Roman" w:hAnsi="Times New Roman" w:cs="Times New Roman"/>
          <w:sz w:val="24"/>
          <w:szCs w:val="24"/>
          <w:lang w:val="en-US"/>
        </w:rPr>
        <w:t xml:space="preserve">attachment of the same properties pursuant to judgment in HC 1280/17.  The </w:t>
      </w:r>
      <w:r w:rsidR="003E4D11">
        <w:rPr>
          <w:rFonts w:ascii="Times New Roman" w:hAnsi="Times New Roman" w:cs="Times New Roman"/>
          <w:sz w:val="24"/>
          <w:szCs w:val="24"/>
          <w:lang w:val="en-US"/>
        </w:rPr>
        <w:t xml:space="preserve">same claimant </w:t>
      </w:r>
      <w:r w:rsidR="00D61AE3">
        <w:rPr>
          <w:rFonts w:ascii="Times New Roman" w:hAnsi="Times New Roman" w:cs="Times New Roman"/>
          <w:sz w:val="24"/>
          <w:szCs w:val="24"/>
          <w:lang w:val="en-US"/>
        </w:rPr>
        <w:t xml:space="preserve">herein had challenged the attachment.   The </w:t>
      </w:r>
      <w:r w:rsidR="00F00B78">
        <w:rPr>
          <w:rFonts w:ascii="Times New Roman" w:hAnsi="Times New Roman" w:cs="Times New Roman"/>
          <w:sz w:val="24"/>
          <w:szCs w:val="24"/>
          <w:lang w:val="en-US"/>
        </w:rPr>
        <w:t xml:space="preserve">parties are the same as herein.   </w:t>
      </w:r>
      <w:r w:rsidR="00F00B78" w:rsidRPr="00F00B78">
        <w:rPr>
          <w:rFonts w:ascii="Times New Roman" w:hAnsi="Times New Roman" w:cs="Times New Roman"/>
          <w:smallCaps/>
          <w:sz w:val="24"/>
          <w:szCs w:val="24"/>
          <w:lang w:val="en-US"/>
        </w:rPr>
        <w:t>Zhou J</w:t>
      </w:r>
      <w:r w:rsidR="00F00B78">
        <w:rPr>
          <w:rFonts w:ascii="Times New Roman" w:hAnsi="Times New Roman" w:cs="Times New Roman"/>
          <w:sz w:val="24"/>
          <w:szCs w:val="24"/>
          <w:lang w:val="en-US"/>
        </w:rPr>
        <w:t xml:space="preserve"> made an order as follows:</w:t>
      </w:r>
    </w:p>
    <w:p w14:paraId="7C24F9C3" w14:textId="7B923839" w:rsidR="00F00B78" w:rsidRPr="006753CC" w:rsidRDefault="00F00B78" w:rsidP="006753CC">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6753CC">
        <w:rPr>
          <w:rFonts w:ascii="Times New Roman" w:hAnsi="Times New Roman" w:cs="Times New Roman"/>
          <w:lang w:val="en-US"/>
        </w:rPr>
        <w:t>IT IS ORDERED THAT:</w:t>
      </w:r>
    </w:p>
    <w:p w14:paraId="3383ED7A" w14:textId="7390DFE9" w:rsidR="00F00B78" w:rsidRPr="006753CC" w:rsidRDefault="00F00B78" w:rsidP="006753CC">
      <w:pPr>
        <w:pStyle w:val="ListParagraph"/>
        <w:numPr>
          <w:ilvl w:val="0"/>
          <w:numId w:val="1"/>
        </w:numPr>
        <w:spacing w:after="0" w:line="240" w:lineRule="auto"/>
        <w:jc w:val="both"/>
        <w:rPr>
          <w:rFonts w:ascii="Times New Roman" w:hAnsi="Times New Roman" w:cs="Times New Roman"/>
          <w:lang w:val="en-US"/>
        </w:rPr>
      </w:pPr>
      <w:r w:rsidRPr="006753CC">
        <w:rPr>
          <w:rFonts w:ascii="Times New Roman" w:hAnsi="Times New Roman" w:cs="Times New Roman"/>
          <w:lang w:val="en-US"/>
        </w:rPr>
        <w:t>The claimant’s claim to all the property which was attached in terms of the Notice of Attachment dated 10 December 2019 in execution of the order in case no. HC 1280/17 be and is hereby dismissed.</w:t>
      </w:r>
    </w:p>
    <w:p w14:paraId="32A1258A" w14:textId="2914AC39" w:rsidR="00F00B78" w:rsidRPr="006753CC" w:rsidRDefault="00F00B78" w:rsidP="006753CC">
      <w:pPr>
        <w:pStyle w:val="ListParagraph"/>
        <w:numPr>
          <w:ilvl w:val="0"/>
          <w:numId w:val="1"/>
        </w:numPr>
        <w:spacing w:after="0" w:line="240" w:lineRule="auto"/>
        <w:jc w:val="both"/>
        <w:rPr>
          <w:rFonts w:ascii="Times New Roman" w:hAnsi="Times New Roman" w:cs="Times New Roman"/>
          <w:lang w:val="en-US"/>
        </w:rPr>
      </w:pPr>
      <w:r w:rsidRPr="006753CC">
        <w:rPr>
          <w:rFonts w:ascii="Times New Roman" w:hAnsi="Times New Roman" w:cs="Times New Roman"/>
          <w:lang w:val="en-US"/>
        </w:rPr>
        <w:t>The property attached in terms of the Notice of Attachment dated 10 December 2019 issued by the applicant is hereby declared executable.</w:t>
      </w:r>
    </w:p>
    <w:p w14:paraId="191FC068" w14:textId="5CF6EBC2" w:rsidR="00F00B78" w:rsidRDefault="00F00B78" w:rsidP="006753CC">
      <w:pPr>
        <w:pStyle w:val="ListParagraph"/>
        <w:numPr>
          <w:ilvl w:val="0"/>
          <w:numId w:val="1"/>
        </w:numPr>
        <w:spacing w:after="0" w:line="240" w:lineRule="auto"/>
        <w:jc w:val="both"/>
        <w:rPr>
          <w:rFonts w:ascii="Times New Roman" w:hAnsi="Times New Roman" w:cs="Times New Roman"/>
          <w:lang w:val="en-US"/>
        </w:rPr>
      </w:pPr>
      <w:r w:rsidRPr="006753CC">
        <w:rPr>
          <w:rFonts w:ascii="Times New Roman" w:hAnsi="Times New Roman" w:cs="Times New Roman"/>
          <w:lang w:val="en-US"/>
        </w:rPr>
        <w:t>The claimant shall pay the judgment creditor’s and applicant’s costs on the attorney-client scale.”</w:t>
      </w:r>
    </w:p>
    <w:p w14:paraId="07BF56B5" w14:textId="77777777" w:rsidR="006753CC" w:rsidRPr="006753CC" w:rsidRDefault="006753CC" w:rsidP="006753CC">
      <w:pPr>
        <w:pStyle w:val="ListParagraph"/>
        <w:spacing w:after="0" w:line="240" w:lineRule="auto"/>
        <w:ind w:left="1080"/>
        <w:jc w:val="both"/>
        <w:rPr>
          <w:rFonts w:ascii="Times New Roman" w:hAnsi="Times New Roman" w:cs="Times New Roman"/>
          <w:lang w:val="en-US"/>
        </w:rPr>
      </w:pPr>
    </w:p>
    <w:p w14:paraId="16ACB262" w14:textId="65DF5BDA" w:rsidR="00F00B78" w:rsidRDefault="00F00B78"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record HC 1686/20, the claimant noted an appeal No. SC 420/20 to the Supreme Court against the judgment of Zhou J.  The appeal was deemed to have lapsed and abandoned in terms of</w:t>
      </w:r>
      <w:r w:rsidR="006753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 17(11) of the Supreme Court Rules </w:t>
      </w:r>
      <w:r w:rsidR="00D61AE3">
        <w:rPr>
          <w:rFonts w:ascii="Times New Roman" w:hAnsi="Times New Roman" w:cs="Times New Roman"/>
          <w:sz w:val="24"/>
          <w:szCs w:val="24"/>
          <w:lang w:val="en-US"/>
        </w:rPr>
        <w:t>o</w:t>
      </w:r>
      <w:r>
        <w:rPr>
          <w:rFonts w:ascii="Times New Roman" w:hAnsi="Times New Roman" w:cs="Times New Roman"/>
          <w:sz w:val="24"/>
          <w:szCs w:val="24"/>
          <w:lang w:val="en-US"/>
        </w:rPr>
        <w:t>n account of the claimant’s failure, as appellant, to inspect the record of proceedings.  The claimant did no</w:t>
      </w:r>
      <w:r w:rsidR="00D61AE3">
        <w:rPr>
          <w:rFonts w:ascii="Times New Roman" w:hAnsi="Times New Roman" w:cs="Times New Roman"/>
          <w:sz w:val="24"/>
          <w:szCs w:val="24"/>
          <w:lang w:val="en-US"/>
        </w:rPr>
        <w:t>t in this application</w:t>
      </w:r>
      <w:r>
        <w:rPr>
          <w:rFonts w:ascii="Times New Roman" w:hAnsi="Times New Roman" w:cs="Times New Roman"/>
          <w:sz w:val="24"/>
          <w:szCs w:val="24"/>
          <w:lang w:val="en-US"/>
        </w:rPr>
        <w:t xml:space="preserve"> make the material disclosure that it had already had its claim to stop execution dismissed.  The judgment creditor pointed out that in the failed case no. HC 1686/20 the claimant did not disclose the existence of the agreement of sale </w:t>
      </w:r>
      <w:r w:rsidR="00D61AE3">
        <w:rPr>
          <w:rFonts w:ascii="Times New Roman" w:hAnsi="Times New Roman" w:cs="Times New Roman"/>
          <w:sz w:val="24"/>
          <w:szCs w:val="24"/>
          <w:lang w:val="en-US"/>
        </w:rPr>
        <w:t xml:space="preserve">which it relies </w:t>
      </w:r>
      <w:r>
        <w:rPr>
          <w:rFonts w:ascii="Times New Roman" w:hAnsi="Times New Roman" w:cs="Times New Roman"/>
          <w:sz w:val="24"/>
          <w:szCs w:val="24"/>
          <w:lang w:val="en-US"/>
        </w:rPr>
        <w:t>upon in the current application</w:t>
      </w:r>
      <w:r w:rsidR="00D61AE3">
        <w:rPr>
          <w:rFonts w:ascii="Times New Roman" w:hAnsi="Times New Roman" w:cs="Times New Roman"/>
          <w:sz w:val="24"/>
          <w:szCs w:val="24"/>
          <w:lang w:val="en-US"/>
        </w:rPr>
        <w:t xml:space="preserve"> to challenge the attachment</w:t>
      </w:r>
      <w:r>
        <w:rPr>
          <w:rFonts w:ascii="Times New Roman" w:hAnsi="Times New Roman" w:cs="Times New Roman"/>
          <w:sz w:val="24"/>
          <w:szCs w:val="24"/>
          <w:lang w:val="en-US"/>
        </w:rPr>
        <w:t>.</w:t>
      </w:r>
    </w:p>
    <w:p w14:paraId="6C9A2BA8" w14:textId="77777777" w:rsidR="00D61AE3" w:rsidRDefault="00F00B78"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Significantly in the opposing affidavit in case no. HC 1686/20 the claimant stated that it had realized that the property was under judicial attachment.  It appears to me that this is where the problem starts for the claimant.  The judgment of this court in HC 1280/19 ordered that the four properties be speci</w:t>
      </w:r>
      <w:r w:rsidR="004101B5">
        <w:rPr>
          <w:rFonts w:ascii="Times New Roman" w:hAnsi="Times New Roman" w:cs="Times New Roman"/>
          <w:sz w:val="24"/>
          <w:szCs w:val="24"/>
          <w:lang w:val="en-US"/>
        </w:rPr>
        <w:t xml:space="preserve">ally executable.  That order stands.  In my view as long as that order remains extant as it does, then the judgment creditor is entitled to execute or enforce it.  </w:t>
      </w:r>
      <w:r w:rsidR="004101B5">
        <w:rPr>
          <w:rFonts w:ascii="Times New Roman" w:hAnsi="Times New Roman" w:cs="Times New Roman"/>
          <w:sz w:val="24"/>
          <w:szCs w:val="24"/>
          <w:lang w:val="en-US"/>
        </w:rPr>
        <w:lastRenderedPageBreak/>
        <w:t xml:space="preserve">Interpleader proceedings in such circumstances are a misnomer because the court order is clear that the properties in question be executed upon.  </w:t>
      </w:r>
    </w:p>
    <w:p w14:paraId="4B04ADEB" w14:textId="037263B0" w:rsidR="00F00B78" w:rsidRDefault="004101B5"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Interpleader proceedings are not available for </w:t>
      </w:r>
      <w:r w:rsidR="006753C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purpose of varying or rescinding or correcting a judgment.  By asking the court to order that the properties are not executable then </w:t>
      </w:r>
      <w:r w:rsidR="00FE3E7C">
        <w:rPr>
          <w:rFonts w:ascii="Times New Roman" w:hAnsi="Times New Roman" w:cs="Times New Roman"/>
          <w:sz w:val="24"/>
          <w:szCs w:val="24"/>
          <w:lang w:val="en-US"/>
        </w:rPr>
        <w:t xml:space="preserve">were </w:t>
      </w:r>
      <w:r>
        <w:rPr>
          <w:rFonts w:ascii="Times New Roman" w:hAnsi="Times New Roman" w:cs="Times New Roman"/>
          <w:sz w:val="24"/>
          <w:szCs w:val="24"/>
          <w:lang w:val="en-US"/>
        </w:rPr>
        <w:t>the court to do so</w:t>
      </w:r>
      <w:r w:rsidR="00FE3E7C">
        <w:rPr>
          <w:rFonts w:ascii="Times New Roman" w:hAnsi="Times New Roman" w:cs="Times New Roman"/>
          <w:sz w:val="24"/>
          <w:szCs w:val="24"/>
          <w:lang w:val="en-US"/>
        </w:rPr>
        <w:t>,</w:t>
      </w:r>
      <w:r>
        <w:rPr>
          <w:rFonts w:ascii="Times New Roman" w:hAnsi="Times New Roman" w:cs="Times New Roman"/>
          <w:sz w:val="24"/>
          <w:szCs w:val="24"/>
          <w:lang w:val="en-US"/>
        </w:rPr>
        <w:t xml:space="preserve"> two conflicting judgments issued by the same court which are mutually destructive would exist side by side which is untenable.  The situation would have been otherwise had a court judgment no</w:t>
      </w:r>
      <w:r w:rsidR="006753CC">
        <w:rPr>
          <w:rFonts w:ascii="Times New Roman" w:hAnsi="Times New Roman" w:cs="Times New Roman"/>
          <w:sz w:val="24"/>
          <w:szCs w:val="24"/>
          <w:lang w:val="en-US"/>
        </w:rPr>
        <w:t>t</w:t>
      </w:r>
      <w:r>
        <w:rPr>
          <w:rFonts w:ascii="Times New Roman" w:hAnsi="Times New Roman" w:cs="Times New Roman"/>
          <w:sz w:val="24"/>
          <w:szCs w:val="24"/>
          <w:lang w:val="en-US"/>
        </w:rPr>
        <w:t xml:space="preserve"> declared t</w:t>
      </w:r>
      <w:r w:rsidR="006753CC">
        <w:rPr>
          <w:rFonts w:ascii="Times New Roman" w:hAnsi="Times New Roman" w:cs="Times New Roman"/>
          <w:sz w:val="24"/>
          <w:szCs w:val="24"/>
          <w:lang w:val="en-US"/>
        </w:rPr>
        <w:t>he</w:t>
      </w:r>
      <w:r>
        <w:rPr>
          <w:rFonts w:ascii="Times New Roman" w:hAnsi="Times New Roman" w:cs="Times New Roman"/>
          <w:sz w:val="24"/>
          <w:szCs w:val="24"/>
          <w:lang w:val="en-US"/>
        </w:rPr>
        <w:t xml:space="preserve"> properties specially executable and the attachment related </w:t>
      </w:r>
      <w:r w:rsidR="00FE3E7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other properties whose </w:t>
      </w:r>
      <w:r w:rsidR="00FE3E7C">
        <w:rPr>
          <w:rFonts w:ascii="Times New Roman" w:hAnsi="Times New Roman" w:cs="Times New Roman"/>
          <w:sz w:val="24"/>
          <w:szCs w:val="24"/>
          <w:lang w:val="en-US"/>
        </w:rPr>
        <w:t>execution</w:t>
      </w:r>
      <w:r>
        <w:rPr>
          <w:rFonts w:ascii="Times New Roman" w:hAnsi="Times New Roman" w:cs="Times New Roman"/>
          <w:sz w:val="24"/>
          <w:szCs w:val="24"/>
          <w:lang w:val="en-US"/>
        </w:rPr>
        <w:t xml:space="preserve"> had not been declared by the court.  The rules of court are clear on how an interested party affected adversely by a judgment in which the affected person was not a party may </w:t>
      </w:r>
      <w:r w:rsidR="006753CC">
        <w:rPr>
          <w:rFonts w:ascii="Times New Roman" w:hAnsi="Times New Roman" w:cs="Times New Roman"/>
          <w:sz w:val="24"/>
          <w:szCs w:val="24"/>
          <w:lang w:val="en-US"/>
        </w:rPr>
        <w:t xml:space="preserve">apply to have it </w:t>
      </w:r>
      <w:r>
        <w:rPr>
          <w:rFonts w:ascii="Times New Roman" w:hAnsi="Times New Roman" w:cs="Times New Roman"/>
          <w:sz w:val="24"/>
          <w:szCs w:val="24"/>
          <w:lang w:val="en-US"/>
        </w:rPr>
        <w:t>set aside, varied or corrected.  The interpleader procedure i</w:t>
      </w:r>
      <w:r w:rsidR="006753CC">
        <w:rPr>
          <w:rFonts w:ascii="Times New Roman" w:hAnsi="Times New Roman" w:cs="Times New Roman"/>
          <w:sz w:val="24"/>
          <w:szCs w:val="24"/>
          <w:lang w:val="en-US"/>
        </w:rPr>
        <w:t>s</w:t>
      </w:r>
      <w:r>
        <w:rPr>
          <w:rFonts w:ascii="Times New Roman" w:hAnsi="Times New Roman" w:cs="Times New Roman"/>
          <w:sz w:val="24"/>
          <w:szCs w:val="24"/>
          <w:lang w:val="en-US"/>
        </w:rPr>
        <w:t xml:space="preserve"> not the appropriate procedure for that purpose.  It follows from my analysis that the interpleader was really unnecessary because the court order is clear that the properties were declared </w:t>
      </w:r>
      <w:r w:rsidR="006B38C0">
        <w:rPr>
          <w:rFonts w:ascii="Times New Roman" w:hAnsi="Times New Roman" w:cs="Times New Roman"/>
          <w:sz w:val="24"/>
          <w:szCs w:val="24"/>
          <w:lang w:val="en-US"/>
        </w:rPr>
        <w:t xml:space="preserve">to be specially executable.  The </w:t>
      </w:r>
      <w:r w:rsidR="00FE3E7C">
        <w:rPr>
          <w:rFonts w:ascii="Times New Roman" w:hAnsi="Times New Roman" w:cs="Times New Roman"/>
          <w:sz w:val="24"/>
          <w:szCs w:val="24"/>
          <w:lang w:val="en-US"/>
        </w:rPr>
        <w:t xml:space="preserve">challenge to the </w:t>
      </w:r>
      <w:r w:rsidR="006B38C0">
        <w:rPr>
          <w:rFonts w:ascii="Times New Roman" w:hAnsi="Times New Roman" w:cs="Times New Roman"/>
          <w:sz w:val="24"/>
          <w:szCs w:val="24"/>
          <w:lang w:val="en-US"/>
        </w:rPr>
        <w:t xml:space="preserve">sale of the property declared executable </w:t>
      </w:r>
      <w:r w:rsidR="00FE3E7C">
        <w:rPr>
          <w:rFonts w:ascii="Times New Roman" w:hAnsi="Times New Roman" w:cs="Times New Roman"/>
          <w:sz w:val="24"/>
          <w:szCs w:val="24"/>
          <w:lang w:val="en-US"/>
        </w:rPr>
        <w:t xml:space="preserve">by interpleader procedure, if granted, </w:t>
      </w:r>
      <w:r w:rsidR="006B38C0">
        <w:rPr>
          <w:rFonts w:ascii="Times New Roman" w:hAnsi="Times New Roman" w:cs="Times New Roman"/>
          <w:sz w:val="24"/>
          <w:szCs w:val="24"/>
          <w:lang w:val="en-US"/>
        </w:rPr>
        <w:t xml:space="preserve">would in my view amount to defeating an extant court order.  At best the claimant </w:t>
      </w:r>
      <w:r w:rsidR="000F491E">
        <w:rPr>
          <w:rFonts w:ascii="Times New Roman" w:hAnsi="Times New Roman" w:cs="Times New Roman"/>
          <w:sz w:val="24"/>
          <w:szCs w:val="24"/>
          <w:lang w:val="en-US"/>
        </w:rPr>
        <w:t xml:space="preserve">if advised </w:t>
      </w:r>
      <w:r w:rsidR="006B38C0">
        <w:rPr>
          <w:rFonts w:ascii="Times New Roman" w:hAnsi="Times New Roman" w:cs="Times New Roman"/>
          <w:sz w:val="24"/>
          <w:szCs w:val="24"/>
          <w:lang w:val="en-US"/>
        </w:rPr>
        <w:t xml:space="preserve">could have bought the property upon its execution </w:t>
      </w:r>
      <w:r w:rsidR="006753CC">
        <w:rPr>
          <w:rFonts w:ascii="Times New Roman" w:hAnsi="Times New Roman" w:cs="Times New Roman"/>
          <w:sz w:val="24"/>
          <w:szCs w:val="24"/>
          <w:lang w:val="en-US"/>
        </w:rPr>
        <w:t xml:space="preserve">as an auction buyer </w:t>
      </w:r>
      <w:r w:rsidR="006B38C0">
        <w:rPr>
          <w:rFonts w:ascii="Times New Roman" w:hAnsi="Times New Roman" w:cs="Times New Roman"/>
          <w:sz w:val="24"/>
          <w:szCs w:val="24"/>
          <w:lang w:val="en-US"/>
        </w:rPr>
        <w:t xml:space="preserve">and not before as happened.  To seek an order that the properties declared specially executable be not executed upon would amount to rescinding the order in case no. </w:t>
      </w:r>
      <w:r w:rsidR="000F491E">
        <w:rPr>
          <w:rFonts w:ascii="Times New Roman" w:hAnsi="Times New Roman" w:cs="Times New Roman"/>
          <w:sz w:val="24"/>
          <w:szCs w:val="24"/>
          <w:lang w:val="en-US"/>
        </w:rPr>
        <w:t xml:space="preserve">HC </w:t>
      </w:r>
      <w:r w:rsidR="006B38C0">
        <w:rPr>
          <w:rFonts w:ascii="Times New Roman" w:hAnsi="Times New Roman" w:cs="Times New Roman"/>
          <w:sz w:val="24"/>
          <w:szCs w:val="24"/>
          <w:lang w:val="en-US"/>
        </w:rPr>
        <w:t>1280/19 through the back door.</w:t>
      </w:r>
    </w:p>
    <w:p w14:paraId="698E0F6F" w14:textId="6AAA5D07" w:rsidR="006B38C0" w:rsidRDefault="006B38C0"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event that I am wrong in holding that the interpleader is not a competent procedure to adopt in the circumstances of the case, I would still find that the claimant’s claim has no merit.  In the first instance there was a material non-disclosure of the judgment of </w:t>
      </w:r>
      <w:r w:rsidRPr="000F491E">
        <w:rPr>
          <w:rFonts w:ascii="Times New Roman" w:hAnsi="Times New Roman" w:cs="Times New Roman"/>
          <w:smallCaps/>
          <w:sz w:val="24"/>
          <w:szCs w:val="24"/>
          <w:lang w:val="en-US"/>
        </w:rPr>
        <w:t>Zhou</w:t>
      </w:r>
      <w:r w:rsidR="000F491E">
        <w:rPr>
          <w:rFonts w:ascii="Times New Roman" w:hAnsi="Times New Roman" w:cs="Times New Roman"/>
          <w:smallCaps/>
          <w:sz w:val="24"/>
          <w:szCs w:val="24"/>
          <w:lang w:val="en-US"/>
        </w:rPr>
        <w:t> </w:t>
      </w:r>
      <w:r w:rsidRPr="000F491E">
        <w:rPr>
          <w:rFonts w:ascii="Times New Roman" w:hAnsi="Times New Roman" w:cs="Times New Roman"/>
          <w:smallCaps/>
          <w:sz w:val="24"/>
          <w:szCs w:val="24"/>
          <w:lang w:val="en-US"/>
        </w:rPr>
        <w:t xml:space="preserve">J </w:t>
      </w:r>
      <w:r>
        <w:rPr>
          <w:rFonts w:ascii="Times New Roman" w:hAnsi="Times New Roman" w:cs="Times New Roman"/>
          <w:sz w:val="24"/>
          <w:szCs w:val="24"/>
          <w:lang w:val="en-US"/>
        </w:rPr>
        <w:t>in which the four properties remained declared specially executable.  There was a further non-disclosure of an appeal noted against the judgment aforesaid and the abandonment and lapsing of the appeal.  Court</w:t>
      </w:r>
      <w:r w:rsidR="000F491E">
        <w:rPr>
          <w:rFonts w:ascii="Times New Roman" w:hAnsi="Times New Roman" w:cs="Times New Roman"/>
          <w:sz w:val="24"/>
          <w:szCs w:val="24"/>
          <w:lang w:val="en-US"/>
        </w:rPr>
        <w:t>s</w:t>
      </w:r>
      <w:r>
        <w:rPr>
          <w:rFonts w:ascii="Times New Roman" w:hAnsi="Times New Roman" w:cs="Times New Roman"/>
          <w:sz w:val="24"/>
          <w:szCs w:val="24"/>
          <w:lang w:val="en-US"/>
        </w:rPr>
        <w:t xml:space="preserve"> frown upon non-disclosure of material facts by litigants.  In the case of </w:t>
      </w:r>
      <w:r w:rsidRPr="006D35EA">
        <w:rPr>
          <w:rFonts w:ascii="Times New Roman" w:hAnsi="Times New Roman" w:cs="Times New Roman"/>
          <w:i/>
          <w:iCs/>
          <w:sz w:val="24"/>
          <w:szCs w:val="24"/>
          <w:lang w:val="en-US"/>
        </w:rPr>
        <w:t>National Social Security Authority</w:t>
      </w:r>
      <w:r>
        <w:rPr>
          <w:rFonts w:ascii="Times New Roman" w:hAnsi="Times New Roman" w:cs="Times New Roman"/>
          <w:sz w:val="24"/>
          <w:szCs w:val="24"/>
          <w:lang w:val="en-US"/>
        </w:rPr>
        <w:t xml:space="preserve"> v </w:t>
      </w:r>
      <w:r w:rsidRPr="006D35EA">
        <w:rPr>
          <w:rFonts w:ascii="Times New Roman" w:hAnsi="Times New Roman" w:cs="Times New Roman"/>
          <w:i/>
          <w:iCs/>
          <w:sz w:val="24"/>
          <w:szCs w:val="24"/>
          <w:lang w:val="en-US"/>
        </w:rPr>
        <w:t>Capital Bank Corporation and 3 Ors</w:t>
      </w:r>
      <w:r>
        <w:rPr>
          <w:rFonts w:ascii="Times New Roman" w:hAnsi="Times New Roman" w:cs="Times New Roman"/>
          <w:sz w:val="24"/>
          <w:szCs w:val="24"/>
          <w:lang w:val="en-US"/>
        </w:rPr>
        <w:t xml:space="preserve"> HH 6</w:t>
      </w:r>
      <w:r w:rsidR="006D35EA">
        <w:rPr>
          <w:rFonts w:ascii="Times New Roman" w:hAnsi="Times New Roman" w:cs="Times New Roman"/>
          <w:sz w:val="24"/>
          <w:szCs w:val="24"/>
          <w:lang w:val="en-US"/>
        </w:rPr>
        <w:t xml:space="preserve">/2019 </w:t>
      </w:r>
      <w:r w:rsidR="006D35EA" w:rsidRPr="006D35EA">
        <w:rPr>
          <w:rFonts w:ascii="Times New Roman" w:hAnsi="Times New Roman" w:cs="Times New Roman"/>
          <w:smallCaps/>
          <w:sz w:val="24"/>
          <w:szCs w:val="24"/>
          <w:lang w:val="en-US"/>
        </w:rPr>
        <w:t>Manzunzu J</w:t>
      </w:r>
      <w:r w:rsidR="006D35EA">
        <w:rPr>
          <w:rFonts w:ascii="Times New Roman" w:hAnsi="Times New Roman" w:cs="Times New Roman"/>
          <w:sz w:val="24"/>
          <w:szCs w:val="24"/>
          <w:lang w:val="en-US"/>
        </w:rPr>
        <w:t xml:space="preserve"> stated at p 3 of the cyclostyled judgment:</w:t>
      </w:r>
    </w:p>
    <w:p w14:paraId="127219E9" w14:textId="3566B0D0" w:rsidR="006D35EA" w:rsidRPr="006D35EA" w:rsidRDefault="006D35EA" w:rsidP="00936229">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6D35EA">
        <w:rPr>
          <w:rFonts w:ascii="Times New Roman" w:hAnsi="Times New Roman" w:cs="Times New Roman"/>
          <w:b/>
          <w:bCs/>
          <w:lang w:val="en-US"/>
        </w:rPr>
        <w:t>Non-disclosure of material facts</w:t>
      </w:r>
    </w:p>
    <w:p w14:paraId="3F99FC4C" w14:textId="0A85E227" w:rsidR="006D35EA" w:rsidRPr="006D35EA" w:rsidRDefault="006D35EA" w:rsidP="00936229">
      <w:pPr>
        <w:spacing w:after="0" w:line="240" w:lineRule="auto"/>
        <w:ind w:left="720"/>
        <w:jc w:val="both"/>
        <w:rPr>
          <w:rFonts w:ascii="Times New Roman" w:hAnsi="Times New Roman" w:cs="Times New Roman"/>
          <w:lang w:val="en-US"/>
        </w:rPr>
      </w:pPr>
      <w:r w:rsidRPr="006D35EA">
        <w:rPr>
          <w:rFonts w:ascii="Times New Roman" w:hAnsi="Times New Roman" w:cs="Times New Roman"/>
          <w:lang w:val="en-US"/>
        </w:rPr>
        <w:t>It is expected that those who bring matters on urgency have a duty to disclose all the material facts including those they consider infavourable to their case.  This is for the simple reason that the court must be put in the full picture of the facts in order to do justice to the full picture of the facts in order to do justice to the parties.  More often than not courts lean in favour of parties who are honest than dishonest ones.  Dishonesty may either be by commission or omission.”</w:t>
      </w:r>
    </w:p>
    <w:p w14:paraId="4D41A7AB" w14:textId="666B63D2" w:rsidR="006D35EA" w:rsidRDefault="006D35EA"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same point was made in the case of </w:t>
      </w:r>
      <w:r w:rsidRPr="006D35EA">
        <w:rPr>
          <w:rFonts w:ascii="Times New Roman" w:hAnsi="Times New Roman" w:cs="Times New Roman"/>
          <w:i/>
          <w:iCs/>
          <w:sz w:val="24"/>
          <w:szCs w:val="24"/>
          <w:lang w:val="en-US"/>
        </w:rPr>
        <w:t>Central (Pvt) Ltd</w:t>
      </w:r>
      <w:r>
        <w:rPr>
          <w:rFonts w:ascii="Times New Roman" w:hAnsi="Times New Roman" w:cs="Times New Roman"/>
          <w:sz w:val="24"/>
          <w:szCs w:val="24"/>
          <w:lang w:val="en-US"/>
        </w:rPr>
        <w:t xml:space="preserve"> v </w:t>
      </w:r>
      <w:r w:rsidRPr="006D35EA">
        <w:rPr>
          <w:rFonts w:ascii="Times New Roman" w:hAnsi="Times New Roman" w:cs="Times New Roman"/>
          <w:i/>
          <w:iCs/>
          <w:sz w:val="24"/>
          <w:szCs w:val="24"/>
          <w:lang w:val="en-US"/>
        </w:rPr>
        <w:t>Pralene Moyas &amp; Anor</w:t>
      </w:r>
      <w:r>
        <w:rPr>
          <w:rFonts w:ascii="Times New Roman" w:hAnsi="Times New Roman" w:cs="Times New Roman"/>
          <w:sz w:val="24"/>
          <w:szCs w:val="24"/>
          <w:lang w:val="en-US"/>
        </w:rPr>
        <w:t xml:space="preserve"> HH 57/12 again a case quoted by </w:t>
      </w:r>
      <w:r w:rsidRPr="006D35EA">
        <w:rPr>
          <w:rFonts w:ascii="Times New Roman" w:hAnsi="Times New Roman" w:cs="Times New Roman"/>
          <w:smallCaps/>
          <w:sz w:val="24"/>
          <w:szCs w:val="24"/>
          <w:lang w:val="en-US"/>
        </w:rPr>
        <w:t>Manzunzu J</w:t>
      </w:r>
      <w:r>
        <w:rPr>
          <w:rFonts w:ascii="Times New Roman" w:hAnsi="Times New Roman" w:cs="Times New Roman"/>
          <w:sz w:val="24"/>
          <w:szCs w:val="24"/>
          <w:lang w:val="en-US"/>
        </w:rPr>
        <w:t xml:space="preserve"> (supra) where it is stated:</w:t>
      </w:r>
    </w:p>
    <w:p w14:paraId="40E157BD" w14:textId="6165E188" w:rsidR="006D35EA" w:rsidRDefault="006D35EA" w:rsidP="00936229">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lastRenderedPageBreak/>
        <w:t>“</w:t>
      </w:r>
      <w:r w:rsidRPr="006D35EA">
        <w:rPr>
          <w:rFonts w:ascii="Times New Roman" w:hAnsi="Times New Roman" w:cs="Times New Roman"/>
          <w:lang w:val="en-US"/>
        </w:rPr>
        <w:t>It is the accepted position that courts detest frown on those litigants or legal practitioners who desire to derive the sympathy of the court be deliberately withholding vital information which has a bearing on the matter that the court is called upon to determine.”</w:t>
      </w:r>
    </w:p>
    <w:p w14:paraId="1C8A0BE1" w14:textId="77777777" w:rsidR="00B160AA" w:rsidRPr="006D35EA" w:rsidRDefault="00B160AA" w:rsidP="00936229">
      <w:pPr>
        <w:spacing w:after="0" w:line="240" w:lineRule="auto"/>
        <w:ind w:left="720"/>
        <w:jc w:val="both"/>
        <w:rPr>
          <w:rFonts w:ascii="Times New Roman" w:hAnsi="Times New Roman" w:cs="Times New Roman"/>
          <w:lang w:val="en-US"/>
        </w:rPr>
      </w:pPr>
    </w:p>
    <w:p w14:paraId="1E029480" w14:textId="6B9B61E1" w:rsidR="006D35EA" w:rsidRDefault="006D35EA"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issue was again dealt with by </w:t>
      </w:r>
      <w:r w:rsidRPr="006D35EA">
        <w:rPr>
          <w:rFonts w:ascii="Times New Roman" w:hAnsi="Times New Roman" w:cs="Times New Roman"/>
          <w:smallCaps/>
          <w:sz w:val="24"/>
          <w:szCs w:val="24"/>
          <w:lang w:val="en-US"/>
        </w:rPr>
        <w:t>Kabasa J</w:t>
      </w:r>
      <w:r>
        <w:rPr>
          <w:rFonts w:ascii="Times New Roman" w:hAnsi="Times New Roman" w:cs="Times New Roman"/>
          <w:sz w:val="24"/>
          <w:szCs w:val="24"/>
          <w:lang w:val="en-US"/>
        </w:rPr>
        <w:t xml:space="preserve"> in the case of </w:t>
      </w:r>
      <w:r w:rsidRPr="006D35EA">
        <w:rPr>
          <w:rFonts w:ascii="Times New Roman" w:hAnsi="Times New Roman" w:cs="Times New Roman"/>
          <w:i/>
          <w:iCs/>
          <w:sz w:val="24"/>
          <w:szCs w:val="24"/>
          <w:lang w:val="en-US"/>
        </w:rPr>
        <w:t>Robert Njanji</w:t>
      </w:r>
      <w:r>
        <w:rPr>
          <w:rFonts w:ascii="Times New Roman" w:hAnsi="Times New Roman" w:cs="Times New Roman"/>
          <w:sz w:val="24"/>
          <w:szCs w:val="24"/>
          <w:lang w:val="en-US"/>
        </w:rPr>
        <w:t xml:space="preserve"> v </w:t>
      </w:r>
      <w:r w:rsidRPr="006D35EA">
        <w:rPr>
          <w:rFonts w:ascii="Times New Roman" w:hAnsi="Times New Roman" w:cs="Times New Roman"/>
          <w:i/>
          <w:iCs/>
          <w:sz w:val="24"/>
          <w:szCs w:val="24"/>
          <w:lang w:val="en-US"/>
        </w:rPr>
        <w:t>Knee Bongani Sanbo and 4 Ors</w:t>
      </w:r>
      <w:r>
        <w:rPr>
          <w:rFonts w:ascii="Times New Roman" w:hAnsi="Times New Roman" w:cs="Times New Roman"/>
          <w:sz w:val="24"/>
          <w:szCs w:val="24"/>
          <w:lang w:val="en-US"/>
        </w:rPr>
        <w:t xml:space="preserve"> HB 113/22 in an opposed application.  The learned </w:t>
      </w:r>
      <w:r w:rsidR="00732C26">
        <w:rPr>
          <w:rFonts w:ascii="Times New Roman" w:hAnsi="Times New Roman" w:cs="Times New Roman"/>
          <w:sz w:val="24"/>
          <w:szCs w:val="24"/>
          <w:lang w:val="en-US"/>
        </w:rPr>
        <w:t>j</w:t>
      </w:r>
      <w:r>
        <w:rPr>
          <w:rFonts w:ascii="Times New Roman" w:hAnsi="Times New Roman" w:cs="Times New Roman"/>
          <w:sz w:val="24"/>
          <w:szCs w:val="24"/>
          <w:lang w:val="en-US"/>
        </w:rPr>
        <w:t>udge quoted with approval.  The remarks of Ndou J in the case of Anabas Services (Pvt) Ltd Minister of Health and Ors HB 88/03 wherein the learned judge stated:</w:t>
      </w:r>
    </w:p>
    <w:p w14:paraId="4306DCD0" w14:textId="67F95685" w:rsidR="00732C26" w:rsidRDefault="00732C26" w:rsidP="000F491E">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0F491E">
        <w:rPr>
          <w:rFonts w:ascii="Times New Roman" w:hAnsi="Times New Roman" w:cs="Times New Roman"/>
          <w:lang w:val="en-US"/>
        </w:rPr>
        <w:t xml:space="preserve">The courts should in my view always frown on an order whether </w:t>
      </w:r>
      <w:r w:rsidRPr="000F491E">
        <w:rPr>
          <w:rFonts w:ascii="Times New Roman" w:hAnsi="Times New Roman" w:cs="Times New Roman"/>
          <w:i/>
          <w:iCs/>
          <w:lang w:val="en-US"/>
        </w:rPr>
        <w:t>exparte</w:t>
      </w:r>
      <w:r w:rsidRPr="000F491E">
        <w:rPr>
          <w:rFonts w:ascii="Times New Roman" w:hAnsi="Times New Roman" w:cs="Times New Roman"/>
          <w:lang w:val="en-US"/>
        </w:rPr>
        <w:t xml:space="preserve"> or not, sought </w:t>
      </w:r>
      <w:r w:rsidR="000F491E">
        <w:rPr>
          <w:rFonts w:ascii="Times New Roman" w:hAnsi="Times New Roman" w:cs="Times New Roman"/>
          <w:lang w:val="en-US"/>
        </w:rPr>
        <w:t xml:space="preserve">on </w:t>
      </w:r>
      <w:r w:rsidRPr="000F491E">
        <w:rPr>
          <w:rFonts w:ascii="Times New Roman" w:hAnsi="Times New Roman" w:cs="Times New Roman"/>
          <w:lang w:val="en-US"/>
        </w:rPr>
        <w:t xml:space="preserve">incomplete information.  It should discourage material non-disclosure, </w:t>
      </w:r>
      <w:r w:rsidRPr="000F491E">
        <w:rPr>
          <w:rFonts w:ascii="Times New Roman" w:hAnsi="Times New Roman" w:cs="Times New Roman"/>
          <w:i/>
          <w:iCs/>
          <w:lang w:val="en-US"/>
        </w:rPr>
        <w:t>mala fides</w:t>
      </w:r>
      <w:r w:rsidRPr="000F491E">
        <w:rPr>
          <w:rFonts w:ascii="Times New Roman" w:hAnsi="Times New Roman" w:cs="Times New Roman"/>
          <w:lang w:val="en-US"/>
        </w:rPr>
        <w:t xml:space="preserve"> and dishonesty.  They may, depending on the circumstances of the case make adverse or punitive orders as a </w:t>
      </w:r>
      <w:r w:rsidR="000F491E">
        <w:rPr>
          <w:rFonts w:ascii="Times New Roman" w:hAnsi="Times New Roman" w:cs="Times New Roman"/>
          <w:lang w:val="en-US"/>
        </w:rPr>
        <w:t>s</w:t>
      </w:r>
      <w:r w:rsidRPr="000F491E">
        <w:rPr>
          <w:rFonts w:ascii="Times New Roman" w:hAnsi="Times New Roman" w:cs="Times New Roman"/>
          <w:lang w:val="en-US"/>
        </w:rPr>
        <w:t xml:space="preserve">eal of or </w:t>
      </w:r>
      <w:r w:rsidRPr="000F491E">
        <w:rPr>
          <w:rFonts w:ascii="Times New Roman" w:hAnsi="Times New Roman" w:cs="Times New Roman"/>
          <w:i/>
          <w:iCs/>
          <w:lang w:val="en-US"/>
        </w:rPr>
        <w:t>mala fides</w:t>
      </w:r>
      <w:r w:rsidRPr="000F491E">
        <w:rPr>
          <w:rFonts w:ascii="Times New Roman" w:hAnsi="Times New Roman" w:cs="Times New Roman"/>
          <w:lang w:val="en-US"/>
        </w:rPr>
        <w:t xml:space="preserve"> or dishonesty on the part of litigants.”</w:t>
      </w:r>
    </w:p>
    <w:p w14:paraId="16AF68C9" w14:textId="77777777" w:rsidR="000F491E" w:rsidRPr="000F491E" w:rsidRDefault="000F491E" w:rsidP="000F491E">
      <w:pPr>
        <w:spacing w:after="0" w:line="240" w:lineRule="auto"/>
        <w:ind w:left="720"/>
        <w:jc w:val="both"/>
        <w:rPr>
          <w:rFonts w:ascii="Times New Roman" w:hAnsi="Times New Roman" w:cs="Times New Roman"/>
          <w:lang w:val="en-US"/>
        </w:rPr>
      </w:pPr>
    </w:p>
    <w:p w14:paraId="6E4D126B" w14:textId="6354E374" w:rsidR="006D35EA" w:rsidRDefault="00732C26" w:rsidP="00936229">
      <w:pPr>
        <w:spacing w:after="0" w:line="360" w:lineRule="auto"/>
        <w:ind w:firstLine="720"/>
        <w:jc w:val="both"/>
        <w:rPr>
          <w:rFonts w:ascii="Times New Roman" w:hAnsi="Times New Roman" w:cs="Times New Roman"/>
          <w:sz w:val="24"/>
          <w:szCs w:val="24"/>
          <w:lang w:val="en-US"/>
        </w:rPr>
      </w:pPr>
      <w:r w:rsidRPr="00732C26">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the claimant </w:t>
      </w:r>
      <w:r w:rsidR="006753CC">
        <w:rPr>
          <w:rFonts w:ascii="Times New Roman" w:hAnsi="Times New Roman" w:cs="Times New Roman"/>
          <w:sz w:val="24"/>
          <w:szCs w:val="24"/>
          <w:lang w:val="en-US"/>
        </w:rPr>
        <w:t xml:space="preserve">first </w:t>
      </w:r>
      <w:r>
        <w:rPr>
          <w:rFonts w:ascii="Times New Roman" w:hAnsi="Times New Roman" w:cs="Times New Roman"/>
          <w:sz w:val="24"/>
          <w:szCs w:val="24"/>
          <w:lang w:val="en-US"/>
        </w:rPr>
        <w:t>used legal practitioners Messrs Zimudzi and Associates</w:t>
      </w:r>
      <w:r w:rsidR="006753CC">
        <w:rPr>
          <w:rFonts w:ascii="Times New Roman" w:hAnsi="Times New Roman" w:cs="Times New Roman"/>
          <w:sz w:val="24"/>
          <w:szCs w:val="24"/>
          <w:lang w:val="en-US"/>
        </w:rPr>
        <w:t xml:space="preserve"> in case no</w:t>
      </w:r>
      <w:r w:rsidR="000F491E">
        <w:rPr>
          <w:rFonts w:ascii="Times New Roman" w:hAnsi="Times New Roman" w:cs="Times New Roman"/>
          <w:sz w:val="24"/>
          <w:szCs w:val="24"/>
          <w:lang w:val="en-US"/>
        </w:rPr>
        <w:t>.</w:t>
      </w:r>
      <w:r w:rsidR="006753CC">
        <w:rPr>
          <w:rFonts w:ascii="Times New Roman" w:hAnsi="Times New Roman" w:cs="Times New Roman"/>
          <w:sz w:val="24"/>
          <w:szCs w:val="24"/>
          <w:lang w:val="en-US"/>
        </w:rPr>
        <w:t xml:space="preserve"> HC 1686/20</w:t>
      </w:r>
      <w:r w:rsidR="000F491E">
        <w:rPr>
          <w:rFonts w:ascii="Times New Roman" w:hAnsi="Times New Roman" w:cs="Times New Roman"/>
          <w:sz w:val="24"/>
          <w:szCs w:val="24"/>
          <w:lang w:val="en-US"/>
        </w:rPr>
        <w:t xml:space="preserve"> I</w:t>
      </w:r>
      <w:r>
        <w:rPr>
          <w:rFonts w:ascii="Times New Roman" w:hAnsi="Times New Roman" w:cs="Times New Roman"/>
          <w:sz w:val="24"/>
          <w:szCs w:val="24"/>
          <w:lang w:val="en-US"/>
        </w:rPr>
        <w:t xml:space="preserve">n this application it used different legal practitioners L T Muringani Attorneys.  In </w:t>
      </w:r>
      <w:r w:rsidR="000F491E">
        <w:rPr>
          <w:rFonts w:ascii="Times New Roman" w:hAnsi="Times New Roman" w:cs="Times New Roman"/>
          <w:sz w:val="24"/>
          <w:szCs w:val="24"/>
          <w:lang w:val="en-US"/>
        </w:rPr>
        <w:t xml:space="preserve">both </w:t>
      </w:r>
      <w:r>
        <w:rPr>
          <w:rFonts w:ascii="Times New Roman" w:hAnsi="Times New Roman" w:cs="Times New Roman"/>
          <w:sz w:val="24"/>
          <w:szCs w:val="24"/>
          <w:lang w:val="en-US"/>
        </w:rPr>
        <w:t xml:space="preserve">instances the subject matter is the same, being to claim and save from execution the same four properties.  The effect of the order of </w:t>
      </w:r>
      <w:r w:rsidRPr="00732C26">
        <w:rPr>
          <w:rFonts w:ascii="Times New Roman" w:hAnsi="Times New Roman" w:cs="Times New Roman"/>
          <w:smallCaps/>
          <w:sz w:val="24"/>
          <w:szCs w:val="24"/>
          <w:lang w:val="en-US"/>
        </w:rPr>
        <w:t>Zhou J</w:t>
      </w:r>
      <w:r>
        <w:rPr>
          <w:rFonts w:ascii="Times New Roman" w:hAnsi="Times New Roman" w:cs="Times New Roman"/>
          <w:sz w:val="24"/>
          <w:szCs w:val="24"/>
          <w:lang w:val="en-US"/>
        </w:rPr>
        <w:t xml:space="preserve"> was that two judgments of the court made orders that the properties are specially executable.  The non-disclosure </w:t>
      </w:r>
      <w:r w:rsidR="000F491E">
        <w:rPr>
          <w:rFonts w:ascii="Times New Roman" w:hAnsi="Times New Roman" w:cs="Times New Roman"/>
          <w:sz w:val="24"/>
          <w:szCs w:val="24"/>
          <w:lang w:val="en-US"/>
        </w:rPr>
        <w:t xml:space="preserve">of </w:t>
      </w:r>
      <w:r w:rsidR="000F491E" w:rsidRPr="000F491E">
        <w:rPr>
          <w:rFonts w:ascii="Times New Roman" w:hAnsi="Times New Roman" w:cs="Times New Roman"/>
          <w:smallCaps/>
          <w:sz w:val="24"/>
          <w:szCs w:val="24"/>
          <w:lang w:val="en-US"/>
        </w:rPr>
        <w:t>Zhou J</w:t>
      </w:r>
      <w:r w:rsidR="000F491E">
        <w:rPr>
          <w:rFonts w:ascii="Times New Roman" w:hAnsi="Times New Roman" w:cs="Times New Roman"/>
          <w:sz w:val="24"/>
          <w:szCs w:val="24"/>
          <w:lang w:val="en-US"/>
        </w:rPr>
        <w:t xml:space="preserve">’s judgment </w:t>
      </w:r>
      <w:r>
        <w:rPr>
          <w:rFonts w:ascii="Times New Roman" w:hAnsi="Times New Roman" w:cs="Times New Roman"/>
          <w:sz w:val="24"/>
          <w:szCs w:val="24"/>
          <w:lang w:val="en-US"/>
        </w:rPr>
        <w:t xml:space="preserve">herein is material because assuming that </w:t>
      </w:r>
      <w:r w:rsidR="000F491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execution ordered by </w:t>
      </w:r>
      <w:r w:rsidRPr="000F491E">
        <w:rPr>
          <w:rFonts w:ascii="Times New Roman" w:hAnsi="Times New Roman" w:cs="Times New Roman"/>
          <w:smallCaps/>
          <w:sz w:val="24"/>
          <w:szCs w:val="24"/>
          <w:lang w:val="en-US"/>
        </w:rPr>
        <w:t>Tsanga</w:t>
      </w:r>
      <w:r w:rsidR="006753CC">
        <w:rPr>
          <w:rFonts w:ascii="Times New Roman" w:hAnsi="Times New Roman" w:cs="Times New Roman"/>
          <w:smallCaps/>
          <w:sz w:val="24"/>
          <w:szCs w:val="24"/>
          <w:lang w:val="en-US"/>
        </w:rPr>
        <w:t> </w:t>
      </w:r>
      <w:r w:rsidRPr="000F491E">
        <w:rPr>
          <w:rFonts w:ascii="Times New Roman" w:hAnsi="Times New Roman" w:cs="Times New Roman"/>
          <w:smallCaps/>
          <w:sz w:val="24"/>
          <w:szCs w:val="24"/>
          <w:lang w:val="en-US"/>
        </w:rPr>
        <w:t>J</w:t>
      </w:r>
      <w:r>
        <w:rPr>
          <w:rFonts w:ascii="Times New Roman" w:hAnsi="Times New Roman" w:cs="Times New Roman"/>
          <w:sz w:val="24"/>
          <w:szCs w:val="24"/>
          <w:lang w:val="en-US"/>
        </w:rPr>
        <w:t xml:space="preserve"> was varied, what would happen to the subsequent judgment of </w:t>
      </w:r>
      <w:r w:rsidRPr="000F491E">
        <w:rPr>
          <w:rFonts w:ascii="Times New Roman" w:hAnsi="Times New Roman" w:cs="Times New Roman"/>
          <w:smallCaps/>
          <w:sz w:val="24"/>
          <w:szCs w:val="24"/>
          <w:lang w:val="en-US"/>
        </w:rPr>
        <w:t>Zhou J</w:t>
      </w:r>
      <w:r>
        <w:rPr>
          <w:rFonts w:ascii="Times New Roman" w:hAnsi="Times New Roman" w:cs="Times New Roman"/>
          <w:sz w:val="24"/>
          <w:szCs w:val="24"/>
          <w:lang w:val="en-US"/>
        </w:rPr>
        <w:t xml:space="preserve"> ordering the same </w:t>
      </w:r>
      <w:r w:rsidR="000F491E">
        <w:rPr>
          <w:rFonts w:ascii="Times New Roman" w:hAnsi="Times New Roman" w:cs="Times New Roman"/>
          <w:sz w:val="24"/>
          <w:szCs w:val="24"/>
          <w:lang w:val="en-US"/>
        </w:rPr>
        <w:t>relief</w:t>
      </w:r>
      <w:r>
        <w:rPr>
          <w:rFonts w:ascii="Times New Roman" w:hAnsi="Times New Roman" w:cs="Times New Roman"/>
          <w:sz w:val="24"/>
          <w:szCs w:val="24"/>
          <w:lang w:val="en-US"/>
        </w:rPr>
        <w:t xml:space="preserve">.  It would remain extant unless set aside.  It was in my view the duty of </w:t>
      </w:r>
      <w:r w:rsidR="00B160AA">
        <w:rPr>
          <w:rFonts w:ascii="Times New Roman" w:hAnsi="Times New Roman" w:cs="Times New Roman"/>
          <w:sz w:val="24"/>
          <w:szCs w:val="24"/>
          <w:lang w:val="en-US"/>
        </w:rPr>
        <w:t xml:space="preserve">the applicant and its </w:t>
      </w:r>
      <w:r>
        <w:rPr>
          <w:rFonts w:ascii="Times New Roman" w:hAnsi="Times New Roman" w:cs="Times New Roman"/>
          <w:sz w:val="24"/>
          <w:szCs w:val="24"/>
          <w:lang w:val="en-US"/>
        </w:rPr>
        <w:t>counsel to make the disclosure</w:t>
      </w:r>
      <w:r w:rsidR="00B160AA">
        <w:rPr>
          <w:rFonts w:ascii="Times New Roman" w:hAnsi="Times New Roman" w:cs="Times New Roman"/>
          <w:sz w:val="24"/>
          <w:szCs w:val="24"/>
          <w:lang w:val="en-US"/>
        </w:rPr>
        <w:t>.  I</w:t>
      </w:r>
      <w:r>
        <w:rPr>
          <w:rFonts w:ascii="Times New Roman" w:hAnsi="Times New Roman" w:cs="Times New Roman"/>
          <w:sz w:val="24"/>
          <w:szCs w:val="24"/>
          <w:lang w:val="en-US"/>
        </w:rPr>
        <w:t xml:space="preserve">n failing to do so, counsel failed whether by design or inadvertently to discharge his or her professional duty.  I will assume in counsel’s favour that the claimant did not make disclosure of the previous application.  I want to assume so because no counsel worth his or </w:t>
      </w:r>
      <w:r w:rsidR="003A1F9A">
        <w:rPr>
          <w:rFonts w:ascii="Times New Roman" w:hAnsi="Times New Roman" w:cs="Times New Roman"/>
          <w:sz w:val="24"/>
          <w:szCs w:val="24"/>
          <w:lang w:val="en-US"/>
        </w:rPr>
        <w:t xml:space="preserve">her </w:t>
      </w:r>
      <w:r>
        <w:rPr>
          <w:rFonts w:ascii="Times New Roman" w:hAnsi="Times New Roman" w:cs="Times New Roman"/>
          <w:sz w:val="24"/>
          <w:szCs w:val="24"/>
          <w:lang w:val="en-US"/>
        </w:rPr>
        <w:t>honour would fail or choose to hide th</w:t>
      </w:r>
      <w:r w:rsidR="003A1F9A">
        <w:rPr>
          <w:rFonts w:ascii="Times New Roman" w:hAnsi="Times New Roman" w:cs="Times New Roman"/>
          <w:sz w:val="24"/>
          <w:szCs w:val="24"/>
          <w:lang w:val="en-US"/>
        </w:rPr>
        <w:t>is</w:t>
      </w:r>
      <w:r>
        <w:rPr>
          <w:rFonts w:ascii="Times New Roman" w:hAnsi="Times New Roman" w:cs="Times New Roman"/>
          <w:sz w:val="24"/>
          <w:szCs w:val="24"/>
          <w:lang w:val="en-US"/>
        </w:rPr>
        <w:t xml:space="preserve"> fact.  The other point is that the properties could not legally have been sold for as long as they had been de</w:t>
      </w:r>
      <w:r w:rsidR="003A1F9A">
        <w:rPr>
          <w:rFonts w:ascii="Times New Roman" w:hAnsi="Times New Roman" w:cs="Times New Roman"/>
          <w:sz w:val="24"/>
          <w:szCs w:val="24"/>
          <w:lang w:val="en-US"/>
        </w:rPr>
        <w:t>clared to be</w:t>
      </w:r>
      <w:r>
        <w:rPr>
          <w:rFonts w:ascii="Times New Roman" w:hAnsi="Times New Roman" w:cs="Times New Roman"/>
          <w:sz w:val="24"/>
          <w:szCs w:val="24"/>
          <w:lang w:val="en-US"/>
        </w:rPr>
        <w:t xml:space="preserve"> specially executable and the court order </w:t>
      </w:r>
      <w:r w:rsidR="00015373">
        <w:rPr>
          <w:rFonts w:ascii="Times New Roman" w:hAnsi="Times New Roman" w:cs="Times New Roman"/>
          <w:sz w:val="24"/>
          <w:szCs w:val="24"/>
          <w:lang w:val="en-US"/>
        </w:rPr>
        <w:t xml:space="preserve">being still extant.  The real rights in the properties to date reside in the first, fourth and fifth defendants in case no. HC 11280/17.  Transfer to the claimant even if the sale was valid has not passed.  There is a material </w:t>
      </w:r>
      <w:r w:rsidR="006753CC">
        <w:rPr>
          <w:rFonts w:ascii="Times New Roman" w:hAnsi="Times New Roman" w:cs="Times New Roman"/>
          <w:sz w:val="24"/>
          <w:szCs w:val="24"/>
          <w:lang w:val="en-US"/>
        </w:rPr>
        <w:t>non-</w:t>
      </w:r>
      <w:r w:rsidR="00015373">
        <w:rPr>
          <w:rFonts w:ascii="Times New Roman" w:hAnsi="Times New Roman" w:cs="Times New Roman"/>
          <w:sz w:val="24"/>
          <w:szCs w:val="24"/>
          <w:lang w:val="en-US"/>
        </w:rPr>
        <w:t>joinder of the holders of title deeds to the properties in question.  The claimant has described them as dishonesty in its papers.  However, that alone would not divest them of real rights which they hold over the properties which rights the claimant seeks to also claim.</w:t>
      </w:r>
    </w:p>
    <w:p w14:paraId="5991EC92" w14:textId="77777777" w:rsidR="00D517CC" w:rsidRDefault="00015373"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in this matter was ill-conceived and mischievous.  The court should not continue to be called to determine cases which have been completed without the litigant who petitions the court laying a sound legal basis to seek the court’s intervention.  The court ruled </w:t>
      </w:r>
      <w:r>
        <w:rPr>
          <w:rFonts w:ascii="Times New Roman" w:hAnsi="Times New Roman" w:cs="Times New Roman"/>
          <w:sz w:val="24"/>
          <w:szCs w:val="24"/>
          <w:lang w:val="en-US"/>
        </w:rPr>
        <w:lastRenderedPageBreak/>
        <w:t>not once but twice that the properties are specially executable.  Th</w:t>
      </w:r>
      <w:r w:rsidR="003A1F9A">
        <w:rPr>
          <w:rFonts w:ascii="Times New Roman" w:hAnsi="Times New Roman" w:cs="Times New Roman"/>
          <w:sz w:val="24"/>
          <w:szCs w:val="24"/>
          <w:lang w:val="en-US"/>
        </w:rPr>
        <w:t>ose</w:t>
      </w:r>
      <w:r>
        <w:rPr>
          <w:rFonts w:ascii="Times New Roman" w:hAnsi="Times New Roman" w:cs="Times New Roman"/>
          <w:sz w:val="24"/>
          <w:szCs w:val="24"/>
          <w:lang w:val="en-US"/>
        </w:rPr>
        <w:t xml:space="preserve"> judgment</w:t>
      </w:r>
      <w:r w:rsidR="003A1F9A">
        <w:rPr>
          <w:rFonts w:ascii="Times New Roman" w:hAnsi="Times New Roman" w:cs="Times New Roman"/>
          <w:sz w:val="24"/>
          <w:szCs w:val="24"/>
          <w:lang w:val="en-US"/>
        </w:rPr>
        <w:t>s</w:t>
      </w:r>
      <w:r>
        <w:rPr>
          <w:rFonts w:ascii="Times New Roman" w:hAnsi="Times New Roman" w:cs="Times New Roman"/>
          <w:sz w:val="24"/>
          <w:szCs w:val="24"/>
          <w:lang w:val="en-US"/>
        </w:rPr>
        <w:t xml:space="preserve"> should be set aside</w:t>
      </w:r>
      <w:r w:rsidR="00277B44">
        <w:rPr>
          <w:rFonts w:ascii="Times New Roman" w:hAnsi="Times New Roman" w:cs="Times New Roman"/>
          <w:sz w:val="24"/>
          <w:szCs w:val="24"/>
          <w:lang w:val="en-US"/>
        </w:rPr>
        <w:t xml:space="preserve"> first</w:t>
      </w:r>
    </w:p>
    <w:p w14:paraId="3655BF22" w14:textId="7802B278" w:rsidR="00015373" w:rsidRDefault="00015373"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Without that happening that is the end of the matter.  The judgment</w:t>
      </w:r>
      <w:r w:rsidR="003A1F9A">
        <w:rPr>
          <w:rFonts w:ascii="Times New Roman" w:hAnsi="Times New Roman" w:cs="Times New Roman"/>
          <w:sz w:val="24"/>
          <w:szCs w:val="24"/>
          <w:lang w:val="en-US"/>
        </w:rPr>
        <w:t>s</w:t>
      </w:r>
      <w:r>
        <w:rPr>
          <w:rFonts w:ascii="Times New Roman" w:hAnsi="Times New Roman" w:cs="Times New Roman"/>
          <w:sz w:val="24"/>
          <w:szCs w:val="24"/>
          <w:lang w:val="en-US"/>
        </w:rPr>
        <w:t xml:space="preserve"> will be enforceable.  The claimant thinks that the court can be hood winked by </w:t>
      </w:r>
      <w:r w:rsidR="003A1F9A">
        <w:rPr>
          <w:rFonts w:ascii="Times New Roman" w:hAnsi="Times New Roman" w:cs="Times New Roman"/>
          <w:sz w:val="24"/>
          <w:szCs w:val="24"/>
          <w:lang w:val="en-US"/>
        </w:rPr>
        <w:t>the</w:t>
      </w:r>
      <w:r>
        <w:rPr>
          <w:rFonts w:ascii="Times New Roman" w:hAnsi="Times New Roman" w:cs="Times New Roman"/>
          <w:sz w:val="24"/>
          <w:szCs w:val="24"/>
          <w:lang w:val="en-US"/>
        </w:rPr>
        <w:t xml:space="preserve"> material </w:t>
      </w:r>
      <w:r w:rsidR="003A1F9A">
        <w:rPr>
          <w:rFonts w:ascii="Times New Roman" w:hAnsi="Times New Roman" w:cs="Times New Roman"/>
          <w:sz w:val="24"/>
          <w:szCs w:val="24"/>
          <w:lang w:val="en-US"/>
        </w:rPr>
        <w:t>non-</w:t>
      </w:r>
      <w:r>
        <w:rPr>
          <w:rFonts w:ascii="Times New Roman" w:hAnsi="Times New Roman" w:cs="Times New Roman"/>
          <w:sz w:val="24"/>
          <w:szCs w:val="24"/>
          <w:lang w:val="en-US"/>
        </w:rPr>
        <w:t xml:space="preserve">disclosure of the existence of the judgment of </w:t>
      </w:r>
      <w:r w:rsidRPr="003A1F9A">
        <w:rPr>
          <w:rFonts w:ascii="Times New Roman" w:hAnsi="Times New Roman" w:cs="Times New Roman"/>
          <w:smallCaps/>
          <w:sz w:val="24"/>
          <w:szCs w:val="24"/>
          <w:lang w:val="en-US"/>
        </w:rPr>
        <w:t>Zhou J</w:t>
      </w:r>
      <w:r>
        <w:rPr>
          <w:rFonts w:ascii="Times New Roman" w:hAnsi="Times New Roman" w:cs="Times New Roman"/>
          <w:sz w:val="24"/>
          <w:szCs w:val="24"/>
          <w:lang w:val="en-US"/>
        </w:rPr>
        <w:t xml:space="preserve">.  </w:t>
      </w:r>
      <w:r w:rsidR="003A1F9A">
        <w:rPr>
          <w:rFonts w:ascii="Times New Roman" w:hAnsi="Times New Roman" w:cs="Times New Roman"/>
          <w:sz w:val="24"/>
          <w:szCs w:val="24"/>
          <w:lang w:val="en-US"/>
        </w:rPr>
        <w:t>T</w:t>
      </w:r>
      <w:r>
        <w:rPr>
          <w:rFonts w:ascii="Times New Roman" w:hAnsi="Times New Roman" w:cs="Times New Roman"/>
          <w:sz w:val="24"/>
          <w:szCs w:val="24"/>
          <w:lang w:val="en-US"/>
        </w:rPr>
        <w:t>he non-disclosure is to be deprecated.</w:t>
      </w:r>
    </w:p>
    <w:p w14:paraId="2BBB5A16" w14:textId="1246FA79" w:rsidR="00015373" w:rsidRDefault="00015373"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costs the applicant and the judgment creditor have claimed costs on the scale of legal practitioner and client.  The case of </w:t>
      </w:r>
      <w:r w:rsidRPr="00015373">
        <w:rPr>
          <w:rFonts w:ascii="Times New Roman" w:hAnsi="Times New Roman" w:cs="Times New Roman"/>
          <w:i/>
          <w:iCs/>
          <w:sz w:val="24"/>
          <w:szCs w:val="24"/>
          <w:lang w:val="en-US"/>
        </w:rPr>
        <w:t>Mudzur</w:t>
      </w:r>
      <w:r w:rsidR="003A1F9A">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v </w:t>
      </w:r>
      <w:r w:rsidRPr="00015373">
        <w:rPr>
          <w:rFonts w:ascii="Times New Roman" w:hAnsi="Times New Roman" w:cs="Times New Roman"/>
          <w:i/>
          <w:iCs/>
          <w:sz w:val="24"/>
          <w:szCs w:val="24"/>
          <w:lang w:val="en-US"/>
        </w:rPr>
        <w:t>Municipality of Chinhoyi and Anor</w:t>
      </w:r>
      <w:r>
        <w:rPr>
          <w:rFonts w:ascii="Times New Roman" w:hAnsi="Times New Roman" w:cs="Times New Roman"/>
          <w:sz w:val="24"/>
          <w:szCs w:val="24"/>
          <w:lang w:val="en-US"/>
        </w:rPr>
        <w:t xml:space="preserve"> 1986(1) ZLR 12 (HC) quoted in the applicant’s heads of argument is apposite.  The court stated at p 17 as follows:</w:t>
      </w:r>
    </w:p>
    <w:p w14:paraId="577A33EE" w14:textId="5D0CEC9A" w:rsidR="00015373" w:rsidRPr="003A1F9A" w:rsidRDefault="00015373" w:rsidP="003A1F9A">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3A1F9A">
        <w:rPr>
          <w:rFonts w:ascii="Times New Roman" w:hAnsi="Times New Roman" w:cs="Times New Roman"/>
          <w:lang w:val="en-US"/>
        </w:rPr>
        <w:t>The basis of such an award is, in my view, that the litigant’s conduct is amounted to an abuse of the court process and his actions have thereby brought about additional and unwarranted expense to the other party.”</w:t>
      </w:r>
    </w:p>
    <w:p w14:paraId="53DDC07D" w14:textId="77777777" w:rsidR="003A1F9A" w:rsidRPr="003A1F9A" w:rsidRDefault="003A1F9A" w:rsidP="003A1F9A">
      <w:pPr>
        <w:spacing w:after="0" w:line="240" w:lineRule="auto"/>
        <w:ind w:left="720"/>
        <w:jc w:val="both"/>
        <w:rPr>
          <w:rFonts w:ascii="Times New Roman" w:hAnsi="Times New Roman" w:cs="Times New Roman"/>
          <w:lang w:val="en-US"/>
        </w:rPr>
      </w:pPr>
    </w:p>
    <w:p w14:paraId="63ED0BC5" w14:textId="1CB65B9C" w:rsidR="00015373" w:rsidRDefault="00015373"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have already described the conduct of the claimant in not disclosing the previously decided matter as deceitful and deplorable.  The punitive costs which the courts are slow to award are deserved in this case and will in the exercise of the court’s judicious discretion be ordered.</w:t>
      </w:r>
    </w:p>
    <w:p w14:paraId="1AE5288C" w14:textId="30F15505" w:rsidR="00936229" w:rsidRDefault="00936229" w:rsidP="009362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Resultantly, the application is disposed of as follows:</w:t>
      </w:r>
    </w:p>
    <w:p w14:paraId="35578093" w14:textId="7333D48F" w:rsidR="00936229" w:rsidRDefault="00936229" w:rsidP="00936229">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claimant’s claim to all the </w:t>
      </w:r>
      <w:r w:rsidR="003A1F9A">
        <w:rPr>
          <w:rFonts w:ascii="Times New Roman" w:hAnsi="Times New Roman" w:cs="Times New Roman"/>
          <w:sz w:val="24"/>
          <w:szCs w:val="24"/>
          <w:lang w:val="en-US"/>
        </w:rPr>
        <w:t xml:space="preserve">four </w:t>
      </w:r>
      <w:r>
        <w:rPr>
          <w:rFonts w:ascii="Times New Roman" w:hAnsi="Times New Roman" w:cs="Times New Roman"/>
          <w:sz w:val="24"/>
          <w:szCs w:val="24"/>
          <w:lang w:val="en-US"/>
        </w:rPr>
        <w:t>propert</w:t>
      </w:r>
      <w:r w:rsidR="003A1F9A">
        <w:rPr>
          <w:rFonts w:ascii="Times New Roman" w:hAnsi="Times New Roman" w:cs="Times New Roman"/>
          <w:sz w:val="24"/>
          <w:szCs w:val="24"/>
          <w:lang w:val="en-US"/>
        </w:rPr>
        <w:t>ies</w:t>
      </w:r>
      <w:r>
        <w:rPr>
          <w:rFonts w:ascii="Times New Roman" w:hAnsi="Times New Roman" w:cs="Times New Roman"/>
          <w:sz w:val="24"/>
          <w:szCs w:val="24"/>
          <w:lang w:val="en-US"/>
        </w:rPr>
        <w:t xml:space="preserve"> which w</w:t>
      </w:r>
      <w:r w:rsidR="003A1F9A">
        <w:rPr>
          <w:rFonts w:ascii="Times New Roman" w:hAnsi="Times New Roman" w:cs="Times New Roman"/>
          <w:sz w:val="24"/>
          <w:szCs w:val="24"/>
          <w:lang w:val="en-US"/>
        </w:rPr>
        <w:t>ere</w:t>
      </w:r>
      <w:r>
        <w:rPr>
          <w:rFonts w:ascii="Times New Roman" w:hAnsi="Times New Roman" w:cs="Times New Roman"/>
          <w:sz w:val="24"/>
          <w:szCs w:val="24"/>
          <w:lang w:val="en-US"/>
        </w:rPr>
        <w:t xml:space="preserve"> listed in the Notices of Attachment dated 10 December 2019, </w:t>
      </w:r>
      <w:r w:rsidR="003A1F9A">
        <w:rPr>
          <w:rFonts w:ascii="Times New Roman" w:hAnsi="Times New Roman" w:cs="Times New Roman"/>
          <w:sz w:val="24"/>
          <w:szCs w:val="24"/>
          <w:lang w:val="en-US"/>
        </w:rPr>
        <w:t>and</w:t>
      </w:r>
      <w:r>
        <w:rPr>
          <w:rFonts w:ascii="Times New Roman" w:hAnsi="Times New Roman" w:cs="Times New Roman"/>
          <w:sz w:val="24"/>
          <w:szCs w:val="24"/>
          <w:lang w:val="en-US"/>
        </w:rPr>
        <w:t xml:space="preserve"> placed under attachment in execution of the order in case no. HC 11280/17 be and is hereby dismissed.</w:t>
      </w:r>
    </w:p>
    <w:p w14:paraId="22CA4588" w14:textId="4B6E5241" w:rsidR="00936229" w:rsidRDefault="00936229" w:rsidP="00936229">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abovementioned propert</w:t>
      </w:r>
      <w:r w:rsidR="003A1F9A">
        <w:rPr>
          <w:rFonts w:ascii="Times New Roman" w:hAnsi="Times New Roman" w:cs="Times New Roman"/>
          <w:sz w:val="24"/>
          <w:szCs w:val="24"/>
          <w:lang w:val="en-US"/>
        </w:rPr>
        <w:t>ies</w:t>
      </w:r>
      <w:r>
        <w:rPr>
          <w:rFonts w:ascii="Times New Roman" w:hAnsi="Times New Roman" w:cs="Times New Roman"/>
          <w:sz w:val="24"/>
          <w:szCs w:val="24"/>
          <w:lang w:val="en-US"/>
        </w:rPr>
        <w:t xml:space="preserve"> attached in terms of Notices of Attachment dated 10 December 2019 issued </w:t>
      </w:r>
      <w:r w:rsidR="003A1F9A">
        <w:rPr>
          <w:rFonts w:ascii="Times New Roman" w:hAnsi="Times New Roman" w:cs="Times New Roman"/>
          <w:sz w:val="24"/>
          <w:szCs w:val="24"/>
          <w:lang w:val="en-US"/>
        </w:rPr>
        <w:t xml:space="preserve">at the instance of </w:t>
      </w:r>
      <w:r>
        <w:rPr>
          <w:rFonts w:ascii="Times New Roman" w:hAnsi="Times New Roman" w:cs="Times New Roman"/>
          <w:sz w:val="24"/>
          <w:szCs w:val="24"/>
          <w:lang w:val="en-US"/>
        </w:rPr>
        <w:t xml:space="preserve">the applicant </w:t>
      </w:r>
      <w:r w:rsidR="00FB4F4B">
        <w:rPr>
          <w:rFonts w:ascii="Times New Roman" w:hAnsi="Times New Roman" w:cs="Times New Roman"/>
          <w:sz w:val="24"/>
          <w:szCs w:val="24"/>
          <w:lang w:val="en-US"/>
        </w:rPr>
        <w:t>are</w:t>
      </w:r>
      <w:r>
        <w:rPr>
          <w:rFonts w:ascii="Times New Roman" w:hAnsi="Times New Roman" w:cs="Times New Roman"/>
          <w:sz w:val="24"/>
          <w:szCs w:val="24"/>
          <w:lang w:val="en-US"/>
        </w:rPr>
        <w:t xml:space="preserve"> hereby declared </w:t>
      </w:r>
      <w:r w:rsidR="00FB4F4B">
        <w:rPr>
          <w:rFonts w:ascii="Times New Roman" w:hAnsi="Times New Roman" w:cs="Times New Roman"/>
          <w:sz w:val="24"/>
          <w:szCs w:val="24"/>
          <w:lang w:val="en-US"/>
        </w:rPr>
        <w:t xml:space="preserve">specially </w:t>
      </w:r>
      <w:r>
        <w:rPr>
          <w:rFonts w:ascii="Times New Roman" w:hAnsi="Times New Roman" w:cs="Times New Roman"/>
          <w:sz w:val="24"/>
          <w:szCs w:val="24"/>
          <w:lang w:val="en-US"/>
        </w:rPr>
        <w:t>executable.</w:t>
      </w:r>
    </w:p>
    <w:p w14:paraId="3AF4AC82" w14:textId="6535C869" w:rsidR="00936229" w:rsidRDefault="00936229" w:rsidP="00936229">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claimant is to pay the judgment creditor and applicant’s costs on the scale of legal practitioner and client.</w:t>
      </w:r>
    </w:p>
    <w:p w14:paraId="5B56416E" w14:textId="4B453CE8" w:rsidR="00936229" w:rsidRDefault="00936229" w:rsidP="00936229">
      <w:pPr>
        <w:spacing w:after="0" w:line="360" w:lineRule="auto"/>
        <w:jc w:val="both"/>
        <w:rPr>
          <w:rFonts w:ascii="Times New Roman" w:hAnsi="Times New Roman" w:cs="Times New Roman"/>
          <w:sz w:val="24"/>
          <w:szCs w:val="24"/>
          <w:lang w:val="en-US"/>
        </w:rPr>
      </w:pPr>
    </w:p>
    <w:p w14:paraId="3A3E634D" w14:textId="7735B817" w:rsidR="00936229" w:rsidRDefault="00936229" w:rsidP="00936229">
      <w:pPr>
        <w:spacing w:after="0" w:line="360" w:lineRule="auto"/>
        <w:jc w:val="both"/>
        <w:rPr>
          <w:rFonts w:ascii="Times New Roman" w:hAnsi="Times New Roman" w:cs="Times New Roman"/>
          <w:sz w:val="24"/>
          <w:szCs w:val="24"/>
          <w:lang w:val="en-US"/>
        </w:rPr>
      </w:pPr>
    </w:p>
    <w:p w14:paraId="62E43A12" w14:textId="77777777" w:rsidR="00936229" w:rsidRDefault="00936229" w:rsidP="00936229">
      <w:pPr>
        <w:spacing w:after="0" w:line="360" w:lineRule="auto"/>
        <w:jc w:val="both"/>
        <w:rPr>
          <w:rFonts w:ascii="Times New Roman" w:hAnsi="Times New Roman" w:cs="Times New Roman"/>
          <w:sz w:val="24"/>
          <w:szCs w:val="24"/>
          <w:lang w:val="en-US"/>
        </w:rPr>
      </w:pPr>
    </w:p>
    <w:p w14:paraId="3A481E2A" w14:textId="1C98A650" w:rsidR="00936229" w:rsidRDefault="00936229" w:rsidP="00936229">
      <w:pPr>
        <w:spacing w:after="0" w:line="360" w:lineRule="auto"/>
        <w:jc w:val="both"/>
        <w:rPr>
          <w:rFonts w:ascii="Times New Roman" w:hAnsi="Times New Roman" w:cs="Times New Roman"/>
          <w:sz w:val="24"/>
          <w:szCs w:val="24"/>
          <w:lang w:val="en-US"/>
        </w:rPr>
      </w:pPr>
    </w:p>
    <w:p w14:paraId="2731073B" w14:textId="77777777" w:rsidR="00936229" w:rsidRDefault="00936229" w:rsidP="00936229">
      <w:pPr>
        <w:spacing w:after="0" w:line="360" w:lineRule="auto"/>
        <w:jc w:val="both"/>
        <w:rPr>
          <w:rFonts w:ascii="Times New Roman" w:hAnsi="Times New Roman" w:cs="Times New Roman"/>
          <w:sz w:val="24"/>
          <w:szCs w:val="24"/>
          <w:lang w:val="en-US"/>
        </w:rPr>
      </w:pPr>
    </w:p>
    <w:p w14:paraId="2A2EDC6E" w14:textId="203ED0DE" w:rsidR="00936229" w:rsidRDefault="00936229" w:rsidP="00936229">
      <w:pPr>
        <w:spacing w:after="0" w:line="240" w:lineRule="auto"/>
        <w:jc w:val="both"/>
        <w:rPr>
          <w:rFonts w:ascii="Times New Roman" w:hAnsi="Times New Roman" w:cs="Times New Roman"/>
          <w:sz w:val="24"/>
          <w:szCs w:val="24"/>
          <w:lang w:val="en-US"/>
        </w:rPr>
      </w:pPr>
      <w:r w:rsidRPr="00936229">
        <w:rPr>
          <w:rFonts w:ascii="Times New Roman" w:hAnsi="Times New Roman" w:cs="Times New Roman"/>
          <w:i/>
          <w:iCs/>
          <w:sz w:val="24"/>
          <w:szCs w:val="24"/>
          <w:lang w:val="en-US"/>
        </w:rPr>
        <w:t>V Nyemba &amp; Associates</w:t>
      </w:r>
      <w:r>
        <w:rPr>
          <w:rFonts w:ascii="Times New Roman" w:hAnsi="Times New Roman" w:cs="Times New Roman"/>
          <w:sz w:val="24"/>
          <w:szCs w:val="24"/>
          <w:lang w:val="en-US"/>
        </w:rPr>
        <w:t>, applicant’s legal practitioners</w:t>
      </w:r>
    </w:p>
    <w:p w14:paraId="24DFA38D" w14:textId="1D301642" w:rsidR="00936229" w:rsidRDefault="00936229" w:rsidP="00936229">
      <w:pPr>
        <w:spacing w:after="0" w:line="240" w:lineRule="auto"/>
        <w:jc w:val="both"/>
        <w:rPr>
          <w:rFonts w:ascii="Times New Roman" w:hAnsi="Times New Roman" w:cs="Times New Roman"/>
          <w:sz w:val="24"/>
          <w:szCs w:val="24"/>
          <w:lang w:val="en-US"/>
        </w:rPr>
      </w:pPr>
      <w:r w:rsidRPr="00936229">
        <w:rPr>
          <w:rFonts w:ascii="Times New Roman" w:hAnsi="Times New Roman" w:cs="Times New Roman"/>
          <w:i/>
          <w:iCs/>
          <w:sz w:val="24"/>
          <w:szCs w:val="24"/>
          <w:lang w:val="en-US"/>
        </w:rPr>
        <w:t>L T Muringani Law Chambers</w:t>
      </w:r>
      <w:r>
        <w:rPr>
          <w:rFonts w:ascii="Times New Roman" w:hAnsi="Times New Roman" w:cs="Times New Roman"/>
          <w:sz w:val="24"/>
          <w:szCs w:val="24"/>
          <w:lang w:val="en-US"/>
        </w:rPr>
        <w:t>, claimant’s legal practitioners</w:t>
      </w:r>
    </w:p>
    <w:p w14:paraId="58D2A3B0" w14:textId="6B851DB0" w:rsidR="00936229" w:rsidRPr="00936229" w:rsidRDefault="00936229" w:rsidP="00936229">
      <w:pPr>
        <w:spacing w:line="360" w:lineRule="auto"/>
        <w:jc w:val="both"/>
        <w:rPr>
          <w:rFonts w:ascii="Times New Roman" w:hAnsi="Times New Roman" w:cs="Times New Roman"/>
          <w:sz w:val="24"/>
          <w:szCs w:val="24"/>
          <w:lang w:val="en-US"/>
        </w:rPr>
      </w:pPr>
      <w:r w:rsidRPr="00936229">
        <w:rPr>
          <w:rFonts w:ascii="Times New Roman" w:hAnsi="Times New Roman" w:cs="Times New Roman"/>
          <w:i/>
          <w:iCs/>
          <w:sz w:val="24"/>
          <w:szCs w:val="24"/>
          <w:lang w:val="en-US"/>
        </w:rPr>
        <w:t>Mushoriwa Pasi Corporate Attorneys</w:t>
      </w:r>
      <w:r>
        <w:rPr>
          <w:rFonts w:ascii="Times New Roman" w:hAnsi="Times New Roman" w:cs="Times New Roman"/>
          <w:sz w:val="24"/>
          <w:szCs w:val="24"/>
          <w:lang w:val="en-US"/>
        </w:rPr>
        <w:t>, judgment creditor’s legal practitioners</w:t>
      </w:r>
    </w:p>
    <w:p w14:paraId="7BAF3362" w14:textId="77777777" w:rsidR="00233897" w:rsidRPr="00233897" w:rsidRDefault="00233897" w:rsidP="000661FD">
      <w:pPr>
        <w:spacing w:line="360" w:lineRule="auto"/>
        <w:jc w:val="both"/>
        <w:rPr>
          <w:rFonts w:ascii="Times New Roman" w:hAnsi="Times New Roman" w:cs="Times New Roman"/>
          <w:sz w:val="24"/>
          <w:szCs w:val="24"/>
          <w:lang w:val="en-US"/>
        </w:rPr>
      </w:pPr>
    </w:p>
    <w:sectPr w:rsidR="00233897" w:rsidRPr="0023389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3EA29" w14:textId="77777777" w:rsidR="00A52BE2" w:rsidRDefault="00A52BE2" w:rsidP="00936229">
      <w:pPr>
        <w:spacing w:after="0" w:line="240" w:lineRule="auto"/>
      </w:pPr>
      <w:r>
        <w:separator/>
      </w:r>
    </w:p>
  </w:endnote>
  <w:endnote w:type="continuationSeparator" w:id="0">
    <w:p w14:paraId="43B61B1B" w14:textId="77777777" w:rsidR="00A52BE2" w:rsidRDefault="00A52BE2" w:rsidP="0093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2A3E8" w14:textId="77777777" w:rsidR="00A52BE2" w:rsidRDefault="00A52BE2" w:rsidP="00936229">
      <w:pPr>
        <w:spacing w:after="0" w:line="240" w:lineRule="auto"/>
      </w:pPr>
      <w:r>
        <w:separator/>
      </w:r>
    </w:p>
  </w:footnote>
  <w:footnote w:type="continuationSeparator" w:id="0">
    <w:p w14:paraId="556FB9DF" w14:textId="77777777" w:rsidR="00A52BE2" w:rsidRDefault="00A52BE2" w:rsidP="0093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43431"/>
      <w:docPartObj>
        <w:docPartGallery w:val="Page Numbers (Top of Page)"/>
        <w:docPartUnique/>
      </w:docPartObj>
    </w:sdtPr>
    <w:sdtEndPr>
      <w:rPr>
        <w:noProof/>
      </w:rPr>
    </w:sdtEndPr>
    <w:sdtContent>
      <w:p w14:paraId="11CF0B12" w14:textId="58E84CFB" w:rsidR="00936229" w:rsidRDefault="00936229">
        <w:pPr>
          <w:pStyle w:val="Header"/>
          <w:jc w:val="right"/>
          <w:rPr>
            <w:noProof/>
          </w:rPr>
        </w:pPr>
        <w:r>
          <w:fldChar w:fldCharType="begin"/>
        </w:r>
        <w:r>
          <w:instrText xml:space="preserve"> PAGE   \* MERGEFORMAT </w:instrText>
        </w:r>
        <w:r>
          <w:fldChar w:fldCharType="separate"/>
        </w:r>
        <w:r w:rsidR="00227922">
          <w:rPr>
            <w:noProof/>
          </w:rPr>
          <w:t>1</w:t>
        </w:r>
        <w:r>
          <w:rPr>
            <w:noProof/>
          </w:rPr>
          <w:fldChar w:fldCharType="end"/>
        </w:r>
      </w:p>
      <w:p w14:paraId="390811B1" w14:textId="656F1753" w:rsidR="00936229" w:rsidRDefault="00936229">
        <w:pPr>
          <w:pStyle w:val="Header"/>
          <w:jc w:val="right"/>
          <w:rPr>
            <w:noProof/>
          </w:rPr>
        </w:pPr>
        <w:r>
          <w:rPr>
            <w:noProof/>
          </w:rPr>
          <w:t>HH</w:t>
        </w:r>
        <w:r w:rsidR="006753CC">
          <w:rPr>
            <w:noProof/>
          </w:rPr>
          <w:t xml:space="preserve"> 864</w:t>
        </w:r>
        <w:r>
          <w:rPr>
            <w:noProof/>
          </w:rPr>
          <w:t>-22</w:t>
        </w:r>
      </w:p>
      <w:p w14:paraId="037419D8" w14:textId="6A64FF2C" w:rsidR="00936229" w:rsidRDefault="006753CC">
        <w:pPr>
          <w:pStyle w:val="Header"/>
          <w:jc w:val="right"/>
        </w:pPr>
        <w:r>
          <w:rPr>
            <w:noProof/>
          </w:rPr>
          <w:t xml:space="preserve">HC </w:t>
        </w:r>
        <w:r w:rsidR="00936229">
          <w:rPr>
            <w:noProof/>
          </w:rPr>
          <w:t>2117/21</w:t>
        </w:r>
      </w:p>
    </w:sdtContent>
  </w:sdt>
  <w:p w14:paraId="64ED8909" w14:textId="77777777" w:rsidR="00936229" w:rsidRDefault="009362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C0B8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3E9209C"/>
    <w:multiLevelType w:val="hybridMultilevel"/>
    <w:tmpl w:val="60BEE5B0"/>
    <w:lvl w:ilvl="0" w:tplc="971EE1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6B44B89"/>
    <w:multiLevelType w:val="hybridMultilevel"/>
    <w:tmpl w:val="2B64FD5C"/>
    <w:lvl w:ilvl="0" w:tplc="3DD0D4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97"/>
    <w:rsid w:val="00015373"/>
    <w:rsid w:val="00020EF3"/>
    <w:rsid w:val="00026A3B"/>
    <w:rsid w:val="000661FD"/>
    <w:rsid w:val="000965B0"/>
    <w:rsid w:val="000A52AD"/>
    <w:rsid w:val="000F491E"/>
    <w:rsid w:val="001C110D"/>
    <w:rsid w:val="00227922"/>
    <w:rsid w:val="00233897"/>
    <w:rsid w:val="00277B44"/>
    <w:rsid w:val="00306384"/>
    <w:rsid w:val="003A1F9A"/>
    <w:rsid w:val="003D5998"/>
    <w:rsid w:val="003E4D11"/>
    <w:rsid w:val="004101B5"/>
    <w:rsid w:val="006753CC"/>
    <w:rsid w:val="006B38C0"/>
    <w:rsid w:val="006D35EA"/>
    <w:rsid w:val="00732C26"/>
    <w:rsid w:val="00936229"/>
    <w:rsid w:val="00A52BE2"/>
    <w:rsid w:val="00AE5BB1"/>
    <w:rsid w:val="00B160AA"/>
    <w:rsid w:val="00B354FC"/>
    <w:rsid w:val="00D517CC"/>
    <w:rsid w:val="00D61AE3"/>
    <w:rsid w:val="00F00B78"/>
    <w:rsid w:val="00FB4F4B"/>
    <w:rsid w:val="00FE3E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A3AB"/>
  <w15:chartTrackingRefBased/>
  <w15:docId w15:val="{F2094728-B839-4001-AB9A-589DB74A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B78"/>
    <w:pPr>
      <w:ind w:left="720"/>
      <w:contextualSpacing/>
    </w:pPr>
  </w:style>
  <w:style w:type="paragraph" w:styleId="ListBullet">
    <w:name w:val="List Bullet"/>
    <w:basedOn w:val="Normal"/>
    <w:uiPriority w:val="99"/>
    <w:unhideWhenUsed/>
    <w:rsid w:val="006D35EA"/>
    <w:pPr>
      <w:numPr>
        <w:numId w:val="2"/>
      </w:numPr>
      <w:contextualSpacing/>
    </w:pPr>
  </w:style>
  <w:style w:type="paragraph" w:styleId="Header">
    <w:name w:val="header"/>
    <w:basedOn w:val="Normal"/>
    <w:link w:val="HeaderChar"/>
    <w:uiPriority w:val="99"/>
    <w:unhideWhenUsed/>
    <w:rsid w:val="0093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29"/>
  </w:style>
  <w:style w:type="paragraph" w:styleId="Footer">
    <w:name w:val="footer"/>
    <w:basedOn w:val="Normal"/>
    <w:link w:val="FooterChar"/>
    <w:uiPriority w:val="99"/>
    <w:unhideWhenUsed/>
    <w:rsid w:val="0093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2022-11-25T07:51:00Z</dcterms:created>
  <dcterms:modified xsi:type="dcterms:W3CDTF">2022-11-25T07:51:00Z</dcterms:modified>
</cp:coreProperties>
</file>