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21" w:rsidRDefault="00DC235D" w:rsidP="00DC235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FOR ZIMBABWE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CLARA MAPOSA KANENGONI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CLAIMANT</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ISRAEL NYANDORO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JUDGMENT CREDITOR</w:t>
      </w: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DC235D" w:rsidRDefault="00DC235D" w:rsidP="00DC2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B074A">
        <w:rPr>
          <w:rFonts w:ascii="Times New Roman" w:hAnsi="Times New Roman" w:cs="Times New Roman"/>
          <w:sz w:val="24"/>
          <w:szCs w:val="24"/>
        </w:rPr>
        <w:t>25 July, 2017 and</w:t>
      </w:r>
      <w:r w:rsidR="0010585A">
        <w:rPr>
          <w:rFonts w:ascii="Times New Roman" w:hAnsi="Times New Roman" w:cs="Times New Roman"/>
          <w:sz w:val="24"/>
          <w:szCs w:val="24"/>
        </w:rPr>
        <w:t xml:space="preserve"> 3 October 2018</w:t>
      </w: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DC235D" w:rsidRDefault="00DC235D" w:rsidP="00DC235D">
      <w:pPr>
        <w:spacing w:after="0" w:line="240" w:lineRule="auto"/>
        <w:jc w:val="both"/>
        <w:rPr>
          <w:rFonts w:ascii="Times New Roman" w:hAnsi="Times New Roman" w:cs="Times New Roman"/>
          <w:b/>
          <w:sz w:val="24"/>
          <w:szCs w:val="24"/>
        </w:rPr>
      </w:pPr>
    </w:p>
    <w:p w:rsidR="00DC235D" w:rsidRDefault="00DC235D" w:rsidP="00DC235D">
      <w:pPr>
        <w:spacing w:after="0" w:line="240" w:lineRule="auto"/>
        <w:jc w:val="both"/>
        <w:rPr>
          <w:rFonts w:ascii="Times New Roman" w:hAnsi="Times New Roman" w:cs="Times New Roman"/>
          <w:b/>
          <w:sz w:val="24"/>
          <w:szCs w:val="24"/>
        </w:rPr>
      </w:pPr>
    </w:p>
    <w:p w:rsidR="00DC235D" w:rsidRDefault="0010585A" w:rsidP="00DC23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Makaka,</w:t>
      </w:r>
      <w:r w:rsidR="00DC235D">
        <w:rPr>
          <w:rFonts w:ascii="Times New Roman" w:hAnsi="Times New Roman" w:cs="Times New Roman"/>
          <w:sz w:val="24"/>
          <w:szCs w:val="24"/>
        </w:rPr>
        <w:t xml:space="preserve"> </w:t>
      </w:r>
      <w:r w:rsidR="00F77FEE">
        <w:rPr>
          <w:rFonts w:ascii="Times New Roman" w:hAnsi="Times New Roman" w:cs="Times New Roman"/>
          <w:sz w:val="24"/>
          <w:szCs w:val="24"/>
        </w:rPr>
        <w:t>f</w:t>
      </w:r>
      <w:r w:rsidR="00DC235D">
        <w:rPr>
          <w:rFonts w:ascii="Times New Roman" w:hAnsi="Times New Roman" w:cs="Times New Roman"/>
          <w:sz w:val="24"/>
          <w:szCs w:val="24"/>
        </w:rPr>
        <w:t>or the applicant</w:t>
      </w:r>
    </w:p>
    <w:p w:rsidR="00DC235D" w:rsidRDefault="0010585A" w:rsidP="00DC23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Mubaiwa,</w:t>
      </w:r>
      <w:r w:rsidR="00DC235D">
        <w:rPr>
          <w:rFonts w:ascii="Times New Roman" w:hAnsi="Times New Roman" w:cs="Times New Roman"/>
          <w:sz w:val="24"/>
          <w:szCs w:val="24"/>
        </w:rPr>
        <w:t xml:space="preserve"> for the Claimant</w:t>
      </w:r>
    </w:p>
    <w:p w:rsidR="00DC235D" w:rsidRDefault="0010585A" w:rsidP="00DC23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Chiriseri,</w:t>
      </w:r>
      <w:r w:rsidR="00DC235D">
        <w:rPr>
          <w:rFonts w:ascii="Times New Roman" w:hAnsi="Times New Roman" w:cs="Times New Roman"/>
          <w:sz w:val="24"/>
          <w:szCs w:val="24"/>
        </w:rPr>
        <w:t xml:space="preserve"> for the Judgment Creditor</w:t>
      </w: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240" w:lineRule="auto"/>
        <w:jc w:val="both"/>
        <w:rPr>
          <w:rFonts w:ascii="Times New Roman" w:hAnsi="Times New Roman" w:cs="Times New Roman"/>
          <w:sz w:val="24"/>
          <w:szCs w:val="24"/>
        </w:rPr>
      </w:pP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On 24 June, 2016, the applicant attached movable property in execution of a writ in the case of </w:t>
      </w:r>
      <w:r w:rsidRPr="00DC235D">
        <w:rPr>
          <w:rFonts w:ascii="Times New Roman" w:hAnsi="Times New Roman" w:cs="Times New Roman"/>
          <w:i/>
          <w:sz w:val="24"/>
          <w:szCs w:val="24"/>
        </w:rPr>
        <w:t>Israel Nyandoro</w:t>
      </w:r>
      <w:r>
        <w:rPr>
          <w:rFonts w:ascii="Times New Roman" w:hAnsi="Times New Roman" w:cs="Times New Roman"/>
          <w:sz w:val="24"/>
          <w:szCs w:val="24"/>
        </w:rPr>
        <w:t xml:space="preserve"> v </w:t>
      </w:r>
      <w:r w:rsidRPr="00DC235D">
        <w:rPr>
          <w:rFonts w:ascii="Times New Roman" w:hAnsi="Times New Roman" w:cs="Times New Roman"/>
          <w:i/>
          <w:sz w:val="24"/>
          <w:szCs w:val="24"/>
        </w:rPr>
        <w:t>George Ngonidzashe and Future</w:t>
      </w:r>
      <w:r>
        <w:rPr>
          <w:rFonts w:ascii="Times New Roman" w:hAnsi="Times New Roman" w:cs="Times New Roman"/>
          <w:sz w:val="24"/>
          <w:szCs w:val="24"/>
        </w:rPr>
        <w:t xml:space="preserve"> </w:t>
      </w:r>
      <w:r w:rsidRPr="00DC235D">
        <w:rPr>
          <w:rFonts w:ascii="Times New Roman" w:hAnsi="Times New Roman" w:cs="Times New Roman"/>
          <w:i/>
          <w:sz w:val="24"/>
          <w:szCs w:val="24"/>
        </w:rPr>
        <w:t>Petroleum (Pvt) Ltd</w:t>
      </w:r>
      <w:r>
        <w:rPr>
          <w:rFonts w:ascii="Times New Roman" w:hAnsi="Times New Roman" w:cs="Times New Roman"/>
          <w:sz w:val="24"/>
          <w:szCs w:val="24"/>
        </w:rPr>
        <w:t xml:space="preserve"> HC 4711/10. The property attached was listed as follows: </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2 x Generators</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1 x gas stove and two cylinders</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1 x Defy fridge</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1 x Microwave</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1 x leather sofa set</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1 x Sony TV</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1 x coffee table</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1 x Brow leather sofa</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0C58B1">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t>1 x sharp TV</w:t>
      </w:r>
    </w:p>
    <w:p w:rsidR="00DC235D" w:rsidRDefault="00DC235D"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58B1">
        <w:rPr>
          <w:rFonts w:ascii="Times New Roman" w:hAnsi="Times New Roman" w:cs="Times New Roman"/>
          <w:sz w:val="24"/>
          <w:szCs w:val="24"/>
        </w:rPr>
        <w:t>(j)</w:t>
      </w:r>
      <w:r w:rsidR="000C58B1">
        <w:rPr>
          <w:rFonts w:ascii="Times New Roman" w:hAnsi="Times New Roman" w:cs="Times New Roman"/>
          <w:sz w:val="24"/>
          <w:szCs w:val="24"/>
        </w:rPr>
        <w:tab/>
        <w:t>1 x coffee table</w:t>
      </w:r>
    </w:p>
    <w:p w:rsidR="000C58B1" w:rsidRDefault="000C58B1"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t>2 x centre rugs</w:t>
      </w:r>
    </w:p>
    <w:p w:rsidR="000C58B1" w:rsidRDefault="000C58B1"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w:t>
      </w:r>
      <w:r>
        <w:rPr>
          <w:rFonts w:ascii="Times New Roman" w:hAnsi="Times New Roman" w:cs="Times New Roman"/>
          <w:sz w:val="24"/>
          <w:szCs w:val="24"/>
        </w:rPr>
        <w:tab/>
        <w:t>1 x black couch</w:t>
      </w:r>
    </w:p>
    <w:p w:rsidR="000C58B1" w:rsidRDefault="000C58B1"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filed a claim on 29 June, 2016 of the attached goods</w:t>
      </w:r>
      <w:r w:rsidR="00FB074A">
        <w:rPr>
          <w:rFonts w:ascii="Times New Roman" w:hAnsi="Times New Roman" w:cs="Times New Roman"/>
          <w:sz w:val="24"/>
          <w:szCs w:val="24"/>
        </w:rPr>
        <w:t>. As</w:t>
      </w:r>
      <w:r>
        <w:rPr>
          <w:rFonts w:ascii="Times New Roman" w:hAnsi="Times New Roman" w:cs="Times New Roman"/>
          <w:sz w:val="24"/>
          <w:szCs w:val="24"/>
        </w:rPr>
        <w:t xml:space="preserve"> a result, the applicant issued an interpleader notice on 1 August, 2016, calling upon the claimant </w:t>
      </w:r>
      <w:r w:rsidR="004733B6">
        <w:rPr>
          <w:rFonts w:ascii="Times New Roman" w:hAnsi="Times New Roman" w:cs="Times New Roman"/>
          <w:sz w:val="24"/>
          <w:szCs w:val="24"/>
        </w:rPr>
        <w:t xml:space="preserve">and </w:t>
      </w:r>
      <w:r w:rsidR="004733B6">
        <w:rPr>
          <w:rFonts w:ascii="Times New Roman" w:hAnsi="Times New Roman" w:cs="Times New Roman"/>
          <w:sz w:val="24"/>
          <w:szCs w:val="24"/>
        </w:rPr>
        <w:lastRenderedPageBreak/>
        <w:t>Judgment Creditor to file particulars of their claim in terms of the High Court Rules within 10 days after service of the notice upon them.</w:t>
      </w:r>
    </w:p>
    <w:p w:rsidR="004733B6" w:rsidRDefault="004733B6"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Judgement Creditor filed an opposing affidavit on 12 August 2016. He dismissed the claimant’s claim as mere collusion between a husband and wife and asked that the attached gods be declared executable.</w:t>
      </w:r>
    </w:p>
    <w:p w:rsidR="00152AE2" w:rsidRDefault="00152AE2"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filed an opposing affidavit on 17 August, 2016. She attached proof that she purchased the goods which the applicant had attached and that the goods belonged to her and not to the Judgment Debtor. Both parties submitted Heads of arguments which reiterated their respective positions.</w:t>
      </w:r>
    </w:p>
    <w:p w:rsidR="00152AE2" w:rsidRDefault="00152AE2"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law that a claimant in an interpleader case must prove that he/she owns the attached goods. It is also trite law that the court must guard against collusion between spouse</w:t>
      </w:r>
      <w:r w:rsidR="00FB074A">
        <w:rPr>
          <w:rFonts w:ascii="Times New Roman" w:hAnsi="Times New Roman" w:cs="Times New Roman"/>
          <w:sz w:val="24"/>
          <w:szCs w:val="24"/>
        </w:rPr>
        <w:t>s</w:t>
      </w:r>
      <w:r>
        <w:rPr>
          <w:rFonts w:ascii="Times New Roman" w:hAnsi="Times New Roman" w:cs="Times New Roman"/>
          <w:sz w:val="24"/>
          <w:szCs w:val="24"/>
        </w:rPr>
        <w:t xml:space="preserve"> where one spouse is the judgment debtor and the other the claimant.</w:t>
      </w:r>
    </w:p>
    <w:p w:rsidR="00152AE2" w:rsidRDefault="00152AE2"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considered the submissions by both parties and noted that although the claimant stated that she had attached proof of her ownership of the attached goods, the proof she furnished did not cover all the goods which were attached.</w:t>
      </w:r>
    </w:p>
    <w:p w:rsidR="00A14D02" w:rsidRDefault="00152AE2" w:rsidP="00DC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p 11, she provided documents relating to a mirage bedroom suite </w:t>
      </w:r>
      <w:r w:rsidR="00A14D02">
        <w:rPr>
          <w:rFonts w:ascii="Times New Roman" w:hAnsi="Times New Roman" w:cs="Times New Roman"/>
          <w:sz w:val="24"/>
          <w:szCs w:val="24"/>
        </w:rPr>
        <w:t>dated 4 August, 2015.</w:t>
      </w:r>
      <w:r>
        <w:rPr>
          <w:rFonts w:ascii="Times New Roman" w:hAnsi="Times New Roman" w:cs="Times New Roman"/>
          <w:sz w:val="24"/>
          <w:szCs w:val="24"/>
        </w:rPr>
        <w:t xml:space="preserve"> Yet it was not one of the items on the list of the attached goods. So that receipt is irrelevant. </w:t>
      </w:r>
    </w:p>
    <w:p w:rsidR="00A14D02" w:rsidRDefault="00A14D02" w:rsidP="00FB07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 12, there is proof of payment for a petrol generator totalling $126.50 by the Claimant on 19 November, 2014. On p 13, there is proof of payment by the Claimant</w:t>
      </w:r>
      <w:r w:rsidR="00FB074A">
        <w:rPr>
          <w:rFonts w:ascii="Times New Roman" w:hAnsi="Times New Roman" w:cs="Times New Roman"/>
          <w:sz w:val="24"/>
          <w:szCs w:val="24"/>
        </w:rPr>
        <w:t xml:space="preserve"> for</w:t>
      </w:r>
      <w:r>
        <w:rPr>
          <w:rFonts w:ascii="Times New Roman" w:hAnsi="Times New Roman" w:cs="Times New Roman"/>
          <w:sz w:val="24"/>
          <w:szCs w:val="24"/>
        </w:rPr>
        <w:t xml:space="preserve"> two generators, petrol and diesel totalling $809 on 19 November, 2014. All three generators were bought on the same day from Hammer and Tongues (Pvt) Ltd Auctioneers, two petrol and one diesel. The attachment list simply indicates that two generators were attached. The type is not described, but this is a detail which counsels for the three parties can ascertain.</w:t>
      </w:r>
      <w:r w:rsidR="00FB074A">
        <w:rPr>
          <w:rFonts w:ascii="Times New Roman" w:hAnsi="Times New Roman" w:cs="Times New Roman"/>
          <w:sz w:val="24"/>
          <w:szCs w:val="24"/>
        </w:rPr>
        <w:t xml:space="preserve"> It appears the two generators attached are from the three which the claimant bought as proven by the documents from Hammer &amp; Tongues. </w:t>
      </w:r>
    </w:p>
    <w:p w:rsidR="00A14D02" w:rsidRDefault="00A14D02" w:rsidP="00A1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receipt is on p 14. It </w:t>
      </w:r>
      <w:r w:rsidR="00FB074A">
        <w:rPr>
          <w:rFonts w:ascii="Times New Roman" w:hAnsi="Times New Roman" w:cs="Times New Roman"/>
          <w:sz w:val="24"/>
          <w:szCs w:val="24"/>
        </w:rPr>
        <w:t xml:space="preserve">is </w:t>
      </w:r>
      <w:r>
        <w:rPr>
          <w:rFonts w:ascii="Times New Roman" w:hAnsi="Times New Roman" w:cs="Times New Roman"/>
          <w:sz w:val="24"/>
          <w:szCs w:val="24"/>
        </w:rPr>
        <w:t>dated 6 May, 2015. It should be read together with the receipt on p 11 of the same date which confirms a payment of $3 500.00. On p 14, we are informed that the payment was for a 4 piece Sab</w:t>
      </w:r>
      <w:r w:rsidR="00FB074A">
        <w:rPr>
          <w:rFonts w:ascii="Times New Roman" w:hAnsi="Times New Roman" w:cs="Times New Roman"/>
          <w:sz w:val="24"/>
          <w:szCs w:val="24"/>
        </w:rPr>
        <w:t>r</w:t>
      </w:r>
      <w:r>
        <w:rPr>
          <w:rFonts w:ascii="Times New Roman" w:hAnsi="Times New Roman" w:cs="Times New Roman"/>
          <w:sz w:val="24"/>
          <w:szCs w:val="24"/>
        </w:rPr>
        <w:t xml:space="preserve">e Manual </w:t>
      </w:r>
      <w:r w:rsidR="00FB074A">
        <w:rPr>
          <w:rFonts w:ascii="Times New Roman" w:hAnsi="Times New Roman" w:cs="Times New Roman"/>
          <w:sz w:val="24"/>
          <w:szCs w:val="24"/>
        </w:rPr>
        <w:t>O</w:t>
      </w:r>
      <w:r>
        <w:rPr>
          <w:rFonts w:ascii="Times New Roman" w:hAnsi="Times New Roman" w:cs="Times New Roman"/>
          <w:sz w:val="24"/>
          <w:szCs w:val="24"/>
        </w:rPr>
        <w:t>x Blood and a figure of $ 3 500.00 appears as the total purchase price. On the list of the attached goods, there are two sets of leather sofas. One is described as 1 x Brown leather sofas. Could the “</w:t>
      </w:r>
      <w:r w:rsidR="00FB074A">
        <w:rPr>
          <w:rFonts w:ascii="Times New Roman" w:hAnsi="Times New Roman" w:cs="Times New Roman"/>
          <w:sz w:val="24"/>
          <w:szCs w:val="24"/>
        </w:rPr>
        <w:t>ox</w:t>
      </w:r>
      <w:r>
        <w:rPr>
          <w:rFonts w:ascii="Times New Roman" w:hAnsi="Times New Roman" w:cs="Times New Roman"/>
          <w:sz w:val="24"/>
          <w:szCs w:val="24"/>
        </w:rPr>
        <w:t xml:space="preserve"> Blood” colour be the one referred to as 1 X Brown leather sofa? The parties did not clarify this detail. However, this is a detail which all the parties to the interpleader can easily ascertain; otherwise the receipt on </w:t>
      </w:r>
      <w:r>
        <w:rPr>
          <w:rFonts w:ascii="Times New Roman" w:hAnsi="Times New Roman" w:cs="Times New Roman"/>
          <w:sz w:val="24"/>
          <w:szCs w:val="24"/>
        </w:rPr>
        <w:lastRenderedPageBreak/>
        <w:t>p 11 is proof that indeed the Claimant bought the sofas described in the receipt. So the set which she bought should be released to her.</w:t>
      </w:r>
    </w:p>
    <w:p w:rsidR="008B20BD" w:rsidRDefault="00A14D02" w:rsidP="00A1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argued about the fact that since the Claimant is wife to the judgment debtor, her claim is just coll</w:t>
      </w:r>
      <w:r w:rsidR="00FB074A">
        <w:rPr>
          <w:rFonts w:ascii="Times New Roman" w:hAnsi="Times New Roman" w:cs="Times New Roman"/>
          <w:sz w:val="24"/>
          <w:szCs w:val="24"/>
        </w:rPr>
        <w:t>u</w:t>
      </w:r>
      <w:r>
        <w:rPr>
          <w:rFonts w:ascii="Times New Roman" w:hAnsi="Times New Roman" w:cs="Times New Roman"/>
          <w:sz w:val="24"/>
          <w:szCs w:val="24"/>
        </w:rPr>
        <w:t>sion to frustrate the Judgment Creditor. However, what the Judgment Creditor needs to note is that unlike in South Africa marriages in Zimbabwe are out of community of property. The fact that a spouse can claim a share upon divorce or death does not divest the ownership rights from the owner of the property</w:t>
      </w:r>
      <w:r w:rsidR="00FB074A">
        <w:rPr>
          <w:rFonts w:ascii="Times New Roman" w:hAnsi="Times New Roman" w:cs="Times New Roman"/>
          <w:sz w:val="24"/>
          <w:szCs w:val="24"/>
        </w:rPr>
        <w:t xml:space="preserve"> </w:t>
      </w:r>
      <w:r w:rsidR="004818C1">
        <w:rPr>
          <w:rFonts w:ascii="Times New Roman" w:hAnsi="Times New Roman" w:cs="Times New Roman"/>
          <w:sz w:val="24"/>
          <w:szCs w:val="24"/>
        </w:rPr>
        <w:t>w</w:t>
      </w:r>
      <w:r w:rsidR="00FB074A">
        <w:rPr>
          <w:rFonts w:ascii="Times New Roman" w:hAnsi="Times New Roman" w:cs="Times New Roman"/>
          <w:sz w:val="24"/>
          <w:szCs w:val="24"/>
        </w:rPr>
        <w:t>hen the marriage is out of community of property</w:t>
      </w:r>
      <w:r w:rsidR="008B20BD">
        <w:rPr>
          <w:rFonts w:ascii="Times New Roman" w:hAnsi="Times New Roman" w:cs="Times New Roman"/>
          <w:sz w:val="24"/>
          <w:szCs w:val="24"/>
        </w:rPr>
        <w:t>.</w:t>
      </w:r>
      <w:r w:rsidR="00FB074A">
        <w:rPr>
          <w:rFonts w:ascii="Times New Roman" w:hAnsi="Times New Roman" w:cs="Times New Roman"/>
          <w:sz w:val="24"/>
          <w:szCs w:val="24"/>
        </w:rPr>
        <w:t xml:space="preserve"> </w:t>
      </w:r>
      <w:r>
        <w:rPr>
          <w:rFonts w:ascii="Times New Roman" w:hAnsi="Times New Roman" w:cs="Times New Roman"/>
          <w:sz w:val="24"/>
          <w:szCs w:val="24"/>
        </w:rPr>
        <w:t xml:space="preserve"> The Claimant therefore remained the owner of the property which she purchased </w:t>
      </w:r>
      <w:r w:rsidR="008B20BD">
        <w:rPr>
          <w:rFonts w:ascii="Times New Roman" w:hAnsi="Times New Roman" w:cs="Times New Roman"/>
          <w:sz w:val="24"/>
          <w:szCs w:val="24"/>
        </w:rPr>
        <w:t>up to the time of its attachment</w:t>
      </w:r>
      <w:r>
        <w:rPr>
          <w:rFonts w:ascii="Times New Roman" w:hAnsi="Times New Roman" w:cs="Times New Roman"/>
          <w:sz w:val="24"/>
          <w:szCs w:val="24"/>
        </w:rPr>
        <w:t xml:space="preserve">. </w:t>
      </w:r>
    </w:p>
    <w:p w:rsidR="00A14D02" w:rsidRDefault="00A14D02" w:rsidP="008B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Creditor suggested collusion, but he did not adduce any evidence that support</w:t>
      </w:r>
      <w:r w:rsidR="008B20BD">
        <w:rPr>
          <w:rFonts w:ascii="Times New Roman" w:hAnsi="Times New Roman" w:cs="Times New Roman"/>
          <w:sz w:val="24"/>
          <w:szCs w:val="24"/>
        </w:rPr>
        <w:t>ed</w:t>
      </w:r>
      <w:r>
        <w:rPr>
          <w:rFonts w:ascii="Times New Roman" w:hAnsi="Times New Roman" w:cs="Times New Roman"/>
          <w:sz w:val="24"/>
          <w:szCs w:val="24"/>
        </w:rPr>
        <w:t xml:space="preserve"> collusion in respect of the property which Claimant was able to prove to be her own. The fact that the Claimant is said to be a director of the second Judgment Debtor does not take the Creditor’s Claim any further because the Judgment Debtor was the company, not its directors. If the idea was to claim the debt from Claimant as a director, then she ought to have been joined as a party.</w:t>
      </w:r>
    </w:p>
    <w:p w:rsidR="00A14D02" w:rsidRDefault="00A14D02" w:rsidP="00A1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conclude, the Claimant was able to prove ownership of two generators and one set of leather sofas. She did not provide any proof of ownership of the rest of the attached goods. Therefore the rest of the goods are executable. The fact that she had receipts for the generators and one set of sofas does not prove that she owned the rest of the property. Since the property was found on the judgment debtor’s address, the presumption that </w:t>
      </w:r>
      <w:r w:rsidR="008B20BD">
        <w:rPr>
          <w:rFonts w:ascii="Times New Roman" w:hAnsi="Times New Roman" w:cs="Times New Roman"/>
          <w:sz w:val="24"/>
          <w:szCs w:val="24"/>
        </w:rPr>
        <w:t>it</w:t>
      </w:r>
      <w:r>
        <w:rPr>
          <w:rFonts w:ascii="Times New Roman" w:hAnsi="Times New Roman" w:cs="Times New Roman"/>
          <w:sz w:val="24"/>
          <w:szCs w:val="24"/>
        </w:rPr>
        <w:t xml:space="preserve"> belong</w:t>
      </w:r>
      <w:r w:rsidR="008B20BD">
        <w:rPr>
          <w:rFonts w:ascii="Times New Roman" w:hAnsi="Times New Roman" w:cs="Times New Roman"/>
          <w:sz w:val="24"/>
          <w:szCs w:val="24"/>
        </w:rPr>
        <w:t>ed</w:t>
      </w:r>
      <w:r>
        <w:rPr>
          <w:rFonts w:ascii="Times New Roman" w:hAnsi="Times New Roman" w:cs="Times New Roman"/>
          <w:sz w:val="24"/>
          <w:szCs w:val="24"/>
        </w:rPr>
        <w:t xml:space="preserve"> to him operated in favour of the judgment creditor, with the exception of the property which the claimant proved she owned.</w:t>
      </w:r>
    </w:p>
    <w:p w:rsidR="00A14D02" w:rsidRDefault="00A14D02" w:rsidP="00A1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as follows:</w:t>
      </w:r>
    </w:p>
    <w:p w:rsidR="00A14D02" w:rsidRPr="009B5FC1" w:rsidRDefault="00A14D02" w:rsidP="00A14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2 x generators and 1 x brown leather sofa is hereby granted. The property is her</w:t>
      </w:r>
      <w:r w:rsidR="004818C1">
        <w:rPr>
          <w:rFonts w:ascii="Times New Roman" w:hAnsi="Times New Roman" w:cs="Times New Roman"/>
          <w:sz w:val="24"/>
          <w:szCs w:val="24"/>
        </w:rPr>
        <w:t>e</w:t>
      </w:r>
      <w:r>
        <w:rPr>
          <w:rFonts w:ascii="Times New Roman" w:hAnsi="Times New Roman" w:cs="Times New Roman"/>
          <w:sz w:val="24"/>
          <w:szCs w:val="24"/>
        </w:rPr>
        <w:t>by declared not executable.</w:t>
      </w:r>
    </w:p>
    <w:p w:rsidR="00A14D02" w:rsidRDefault="00A14D02" w:rsidP="00A14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rest of the property attached in HC 4711/10 dated listed 24/04/2016 listed hereunder is hereby dismissed</w:t>
      </w:r>
      <w:r w:rsidR="0010585A">
        <w:rPr>
          <w:rFonts w:ascii="Times New Roman" w:hAnsi="Times New Roman" w:cs="Times New Roman"/>
          <w:sz w:val="24"/>
          <w:szCs w:val="24"/>
        </w:rPr>
        <w:t>.</w:t>
      </w:r>
      <w:r>
        <w:rPr>
          <w:rFonts w:ascii="Times New Roman" w:hAnsi="Times New Roman" w:cs="Times New Roman"/>
          <w:sz w:val="24"/>
          <w:szCs w:val="24"/>
        </w:rPr>
        <w:t xml:space="preserve"> </w:t>
      </w:r>
      <w:r w:rsidR="002F33BD">
        <w:rPr>
          <w:rFonts w:ascii="Times New Roman" w:hAnsi="Times New Roman" w:cs="Times New Roman"/>
          <w:sz w:val="24"/>
          <w:szCs w:val="24"/>
        </w:rPr>
        <w:t>The following property is declared executable:</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gas stove and two cylinders</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Defy fridge</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Microwave</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leather sofa set</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Sony TV</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1 x Coffee Table</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Sharp TV</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Coffee table</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2 x Centre Rugs</w:t>
      </w:r>
    </w:p>
    <w:p w:rsidR="00A14D02"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 x Black couch</w:t>
      </w:r>
    </w:p>
    <w:p w:rsidR="00A14D02" w:rsidRDefault="00A14D02" w:rsidP="00A14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Creditor shall pay the Claimant and applicant’s costs in relation to the 2 generators and one leather sofa on the ordinary scale.</w:t>
      </w:r>
    </w:p>
    <w:p w:rsidR="00A14D02" w:rsidRDefault="00A14D02" w:rsidP="00A14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 shall pay the Judgment creditor’s </w:t>
      </w:r>
      <w:r w:rsidR="008B20BD">
        <w:rPr>
          <w:rFonts w:ascii="Times New Roman" w:hAnsi="Times New Roman" w:cs="Times New Roman"/>
          <w:sz w:val="24"/>
          <w:szCs w:val="24"/>
        </w:rPr>
        <w:t xml:space="preserve">and applicant’s </w:t>
      </w:r>
      <w:r>
        <w:rPr>
          <w:rFonts w:ascii="Times New Roman" w:hAnsi="Times New Roman" w:cs="Times New Roman"/>
          <w:sz w:val="24"/>
          <w:szCs w:val="24"/>
        </w:rPr>
        <w:t xml:space="preserve">costs in relation to the property declared executable </w:t>
      </w:r>
      <w:r w:rsidR="008B20BD">
        <w:rPr>
          <w:rFonts w:ascii="Times New Roman" w:hAnsi="Times New Roman" w:cs="Times New Roman"/>
          <w:sz w:val="24"/>
          <w:szCs w:val="24"/>
        </w:rPr>
        <w:t xml:space="preserve">and listed in (ii) above </w:t>
      </w:r>
      <w:r>
        <w:rPr>
          <w:rFonts w:ascii="Times New Roman" w:hAnsi="Times New Roman" w:cs="Times New Roman"/>
          <w:sz w:val="24"/>
          <w:szCs w:val="24"/>
        </w:rPr>
        <w:t>on an ordinary scale.</w:t>
      </w:r>
    </w:p>
    <w:p w:rsidR="00A14D02" w:rsidRDefault="00A14D02" w:rsidP="00A14D02">
      <w:pPr>
        <w:pStyle w:val="ListParagraph"/>
        <w:spacing w:after="0" w:line="360" w:lineRule="auto"/>
        <w:ind w:left="1440"/>
        <w:jc w:val="both"/>
        <w:rPr>
          <w:rFonts w:ascii="Times New Roman" w:hAnsi="Times New Roman" w:cs="Times New Roman"/>
          <w:sz w:val="24"/>
          <w:szCs w:val="24"/>
        </w:rPr>
      </w:pPr>
    </w:p>
    <w:p w:rsidR="00A14D02" w:rsidRPr="009B5FC1" w:rsidRDefault="00A14D02" w:rsidP="00A14D02">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A14D02" w:rsidRPr="003C27A9" w:rsidRDefault="00A14D02" w:rsidP="00A14D02">
      <w:pPr>
        <w:spacing w:after="0" w:line="360" w:lineRule="auto"/>
        <w:jc w:val="both"/>
        <w:rPr>
          <w:rFonts w:ascii="Times New Roman" w:hAnsi="Times New Roman" w:cs="Times New Roman"/>
          <w:sz w:val="24"/>
          <w:szCs w:val="24"/>
        </w:rPr>
      </w:pPr>
    </w:p>
    <w:p w:rsidR="00152AE2" w:rsidRDefault="00E97C6A" w:rsidP="00723C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Pr>
          <w:rFonts w:ascii="Times New Roman" w:hAnsi="Times New Roman" w:cs="Times New Roman"/>
          <w:sz w:val="24"/>
          <w:szCs w:val="24"/>
        </w:rPr>
        <w:t>applicant’s legal practitioners</w:t>
      </w:r>
    </w:p>
    <w:p w:rsidR="00E97C6A" w:rsidRDefault="00E97C6A" w:rsidP="00723C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Bvekwa Legal Practice, </w:t>
      </w:r>
      <w:r>
        <w:rPr>
          <w:rFonts w:ascii="Times New Roman" w:hAnsi="Times New Roman" w:cs="Times New Roman"/>
          <w:sz w:val="24"/>
          <w:szCs w:val="24"/>
        </w:rPr>
        <w:t>Claimant’s legal practitioners</w:t>
      </w:r>
    </w:p>
    <w:p w:rsidR="00E97C6A" w:rsidRPr="00E97C6A" w:rsidRDefault="00E97C6A" w:rsidP="00723C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Mutuso, Taruvinga and Mhiribidi,</w:t>
      </w:r>
      <w:r w:rsidR="00723C0F">
        <w:rPr>
          <w:rFonts w:ascii="Times New Roman" w:hAnsi="Times New Roman" w:cs="Times New Roman"/>
          <w:sz w:val="24"/>
          <w:szCs w:val="24"/>
        </w:rPr>
        <w:t xml:space="preserve"> Judgment Creditor’s legal practitioners</w:t>
      </w:r>
    </w:p>
    <w:sectPr w:rsidR="00E97C6A" w:rsidRPr="00E97C6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601" w:rsidRDefault="003A1601" w:rsidP="008C26D6">
      <w:pPr>
        <w:spacing w:after="0" w:line="240" w:lineRule="auto"/>
      </w:pPr>
      <w:r>
        <w:separator/>
      </w:r>
    </w:p>
  </w:endnote>
  <w:endnote w:type="continuationSeparator" w:id="0">
    <w:p w:rsidR="003A1601" w:rsidRDefault="003A1601" w:rsidP="008C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601" w:rsidRDefault="003A1601" w:rsidP="008C26D6">
      <w:pPr>
        <w:spacing w:after="0" w:line="240" w:lineRule="auto"/>
      </w:pPr>
      <w:r>
        <w:separator/>
      </w:r>
    </w:p>
  </w:footnote>
  <w:footnote w:type="continuationSeparator" w:id="0">
    <w:p w:rsidR="003A1601" w:rsidRDefault="003A1601" w:rsidP="008C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025623"/>
      <w:docPartObj>
        <w:docPartGallery w:val="Page Numbers (Top of Page)"/>
        <w:docPartUnique/>
      </w:docPartObj>
    </w:sdtPr>
    <w:sdtEndPr>
      <w:rPr>
        <w:noProof/>
      </w:rPr>
    </w:sdtEndPr>
    <w:sdtContent>
      <w:p w:rsidR="00F77FEE" w:rsidRDefault="008C26D6">
        <w:pPr>
          <w:pStyle w:val="Header"/>
          <w:jc w:val="right"/>
          <w:rPr>
            <w:noProof/>
          </w:rPr>
        </w:pPr>
        <w:r>
          <w:fldChar w:fldCharType="begin"/>
        </w:r>
        <w:r>
          <w:instrText xml:space="preserve"> PAGE   \* MERGEFORMAT </w:instrText>
        </w:r>
        <w:r>
          <w:fldChar w:fldCharType="separate"/>
        </w:r>
        <w:r w:rsidR="00E50A8E">
          <w:rPr>
            <w:noProof/>
          </w:rPr>
          <w:t>1</w:t>
        </w:r>
        <w:r>
          <w:rPr>
            <w:noProof/>
          </w:rPr>
          <w:fldChar w:fldCharType="end"/>
        </w:r>
      </w:p>
      <w:p w:rsidR="00F77FEE" w:rsidRDefault="00F77FEE">
        <w:pPr>
          <w:pStyle w:val="Header"/>
          <w:jc w:val="right"/>
          <w:rPr>
            <w:noProof/>
          </w:rPr>
        </w:pPr>
        <w:r>
          <w:rPr>
            <w:noProof/>
          </w:rPr>
          <w:t>HH</w:t>
        </w:r>
        <w:r w:rsidR="004A04B2">
          <w:rPr>
            <w:noProof/>
          </w:rPr>
          <w:t xml:space="preserve"> 594-18</w:t>
        </w:r>
      </w:p>
      <w:p w:rsidR="008C26D6" w:rsidRDefault="00F77FEE">
        <w:pPr>
          <w:pStyle w:val="Header"/>
          <w:jc w:val="right"/>
        </w:pPr>
        <w:r>
          <w:rPr>
            <w:noProof/>
          </w:rPr>
          <w:t>HC 7815/16</w:t>
        </w:r>
      </w:p>
    </w:sdtContent>
  </w:sdt>
  <w:p w:rsidR="008C26D6" w:rsidRDefault="008C2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679"/>
    <w:multiLevelType w:val="hybridMultilevel"/>
    <w:tmpl w:val="C47688EE"/>
    <w:lvl w:ilvl="0" w:tplc="AB403E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5D"/>
    <w:rsid w:val="000C58B1"/>
    <w:rsid w:val="0010585A"/>
    <w:rsid w:val="00152AE2"/>
    <w:rsid w:val="002F33BD"/>
    <w:rsid w:val="003A1601"/>
    <w:rsid w:val="004733B6"/>
    <w:rsid w:val="004818C1"/>
    <w:rsid w:val="004A04B2"/>
    <w:rsid w:val="00576CFE"/>
    <w:rsid w:val="005C49EF"/>
    <w:rsid w:val="00667121"/>
    <w:rsid w:val="006D05D6"/>
    <w:rsid w:val="00723C0F"/>
    <w:rsid w:val="0082498E"/>
    <w:rsid w:val="008B20BD"/>
    <w:rsid w:val="008C26D6"/>
    <w:rsid w:val="00A14D02"/>
    <w:rsid w:val="00DC235D"/>
    <w:rsid w:val="00E21B8B"/>
    <w:rsid w:val="00E50A8E"/>
    <w:rsid w:val="00E97C6A"/>
    <w:rsid w:val="00F77FEE"/>
    <w:rsid w:val="00F9055E"/>
    <w:rsid w:val="00FB07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F844B-21E2-464F-9CC2-19BA69E5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6D6"/>
  </w:style>
  <w:style w:type="paragraph" w:styleId="Footer">
    <w:name w:val="footer"/>
    <w:basedOn w:val="Normal"/>
    <w:link w:val="FooterChar"/>
    <w:uiPriority w:val="99"/>
    <w:unhideWhenUsed/>
    <w:rsid w:val="008C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6D6"/>
  </w:style>
  <w:style w:type="paragraph" w:styleId="ListParagraph">
    <w:name w:val="List Paragraph"/>
    <w:basedOn w:val="Normal"/>
    <w:uiPriority w:val="34"/>
    <w:qFormat/>
    <w:rsid w:val="00A14D02"/>
    <w:pPr>
      <w:ind w:left="720"/>
      <w:contextualSpacing/>
    </w:pPr>
  </w:style>
  <w:style w:type="paragraph" w:styleId="BalloonText">
    <w:name w:val="Balloon Text"/>
    <w:basedOn w:val="Normal"/>
    <w:link w:val="BalloonTextChar"/>
    <w:uiPriority w:val="99"/>
    <w:semiHidden/>
    <w:unhideWhenUsed/>
    <w:rsid w:val="00A1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2018-09-19T12:28:00Z</cp:lastPrinted>
  <dcterms:created xsi:type="dcterms:W3CDTF">2018-10-04T14:00:00Z</dcterms:created>
  <dcterms:modified xsi:type="dcterms:W3CDTF">2018-10-04T14:00:00Z</dcterms:modified>
</cp:coreProperties>
</file>