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9F" w:rsidRDefault="009C07E3" w:rsidP="002337D3">
      <w:pPr>
        <w:spacing w:after="0" w:line="240" w:lineRule="auto"/>
        <w:rPr>
          <w:rFonts w:ascii="Times New Roman" w:hAnsi="Times New Roman" w:cs="Times New Roman"/>
          <w:sz w:val="24"/>
          <w:szCs w:val="24"/>
        </w:rPr>
      </w:pPr>
      <w:bookmarkStart w:id="0" w:name="_GoBack"/>
      <w:bookmarkEnd w:id="0"/>
      <w:r w:rsidRPr="001F5B9F">
        <w:rPr>
          <w:rFonts w:ascii="Times New Roman" w:hAnsi="Times New Roman" w:cs="Times New Roman"/>
          <w:sz w:val="24"/>
          <w:szCs w:val="24"/>
        </w:rPr>
        <w:t>THE MILTON GARDENS ASSOCIATION</w:t>
      </w:r>
    </w:p>
    <w:p w:rsidR="001F5B9F" w:rsidRDefault="000136FF" w:rsidP="002337D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F5B9F" w:rsidRPr="001F5B9F" w:rsidRDefault="001F5B9F" w:rsidP="002337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SYRIL MUPANGURI </w:t>
      </w:r>
    </w:p>
    <w:p w:rsidR="009C07E3" w:rsidRPr="001F5B9F" w:rsidRDefault="009C07E3"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versus</w:t>
      </w:r>
    </w:p>
    <w:p w:rsidR="009C07E3" w:rsidRPr="001F5B9F" w:rsidRDefault="009C07E3"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TECLA MVEMBE</w:t>
      </w:r>
    </w:p>
    <w:p w:rsidR="009C07E3" w:rsidRPr="001F5B9F" w:rsidRDefault="009C07E3"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and</w:t>
      </w:r>
    </w:p>
    <w:p w:rsidR="0034440D" w:rsidRPr="001F5B9F" w:rsidRDefault="0034440D"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TECLA MVEMBE</w:t>
      </w:r>
    </w:p>
    <w:p w:rsidR="0034440D" w:rsidRPr="001F5B9F" w:rsidRDefault="0034440D"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and</w:t>
      </w:r>
    </w:p>
    <w:p w:rsidR="0034440D" w:rsidRPr="001F5B9F" w:rsidRDefault="0034440D"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CHAMPION CONSTRUCTORS (PVT) LTD</w:t>
      </w:r>
    </w:p>
    <w:p w:rsidR="0034440D" w:rsidRPr="001F5B9F" w:rsidRDefault="0034440D"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and</w:t>
      </w:r>
    </w:p>
    <w:p w:rsidR="0034440D" w:rsidRPr="001F5B9F" w:rsidRDefault="0034440D"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THE REGISTRAR OF DEEDS, HARARE</w:t>
      </w:r>
    </w:p>
    <w:p w:rsidR="0034440D" w:rsidRPr="001F5B9F" w:rsidRDefault="0034440D"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 xml:space="preserve">and </w:t>
      </w:r>
    </w:p>
    <w:p w:rsidR="0034440D" w:rsidRPr="001F5B9F" w:rsidRDefault="0034440D" w:rsidP="002337D3">
      <w:pPr>
        <w:spacing w:after="0" w:line="240" w:lineRule="auto"/>
        <w:rPr>
          <w:rFonts w:ascii="Times New Roman" w:hAnsi="Times New Roman" w:cs="Times New Roman"/>
          <w:b/>
          <w:sz w:val="24"/>
          <w:szCs w:val="24"/>
        </w:rPr>
      </w:pPr>
      <w:r w:rsidRPr="001F5B9F">
        <w:rPr>
          <w:rFonts w:ascii="Times New Roman" w:hAnsi="Times New Roman" w:cs="Times New Roman"/>
          <w:sz w:val="24"/>
          <w:szCs w:val="24"/>
        </w:rPr>
        <w:t>THE SURVEYOR GENERAL</w:t>
      </w:r>
      <w:r w:rsidRPr="001F5B9F">
        <w:rPr>
          <w:rFonts w:ascii="Times New Roman" w:hAnsi="Times New Roman" w:cs="Times New Roman"/>
          <w:b/>
          <w:sz w:val="24"/>
          <w:szCs w:val="24"/>
        </w:rPr>
        <w:t xml:space="preserve"> </w:t>
      </w:r>
    </w:p>
    <w:p w:rsidR="0034440D" w:rsidRPr="001F5B9F" w:rsidRDefault="0034440D">
      <w:pPr>
        <w:rPr>
          <w:rFonts w:ascii="Times New Roman" w:hAnsi="Times New Roman" w:cs="Times New Roman"/>
          <w:sz w:val="24"/>
          <w:szCs w:val="24"/>
        </w:rPr>
      </w:pPr>
    </w:p>
    <w:p w:rsidR="0034440D" w:rsidRPr="001F5B9F" w:rsidRDefault="0034440D"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HIGH COURT OF ZIMBABWE</w:t>
      </w:r>
    </w:p>
    <w:p w:rsidR="0034440D" w:rsidRDefault="002337D3" w:rsidP="002337D3">
      <w:pPr>
        <w:spacing w:after="0" w:line="240" w:lineRule="auto"/>
        <w:rPr>
          <w:rFonts w:ascii="Times New Roman" w:hAnsi="Times New Roman" w:cs="Times New Roman"/>
          <w:sz w:val="24"/>
          <w:szCs w:val="24"/>
        </w:rPr>
      </w:pPr>
      <w:r w:rsidRPr="001F5B9F">
        <w:rPr>
          <w:rFonts w:ascii="Times New Roman" w:hAnsi="Times New Roman" w:cs="Times New Roman"/>
          <w:sz w:val="24"/>
          <w:szCs w:val="24"/>
        </w:rPr>
        <w:t>MANGOTA J</w:t>
      </w:r>
    </w:p>
    <w:p w:rsidR="005F501F" w:rsidRPr="001F5B9F" w:rsidRDefault="005F501F" w:rsidP="002337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10 </w:t>
      </w:r>
      <w:r w:rsidR="00085039">
        <w:rPr>
          <w:rFonts w:ascii="Times New Roman" w:hAnsi="Times New Roman" w:cs="Times New Roman"/>
          <w:sz w:val="24"/>
          <w:szCs w:val="24"/>
        </w:rPr>
        <w:t>May 2022</w:t>
      </w:r>
      <w:r w:rsidR="00C00B90">
        <w:rPr>
          <w:rFonts w:ascii="Times New Roman" w:hAnsi="Times New Roman" w:cs="Times New Roman"/>
          <w:sz w:val="24"/>
          <w:szCs w:val="24"/>
        </w:rPr>
        <w:t xml:space="preserve"> and 3</w:t>
      </w:r>
      <w:r>
        <w:rPr>
          <w:rFonts w:ascii="Times New Roman" w:hAnsi="Times New Roman" w:cs="Times New Roman"/>
          <w:sz w:val="24"/>
          <w:szCs w:val="24"/>
        </w:rPr>
        <w:t xml:space="preserve"> August 2022</w:t>
      </w:r>
    </w:p>
    <w:p w:rsidR="0034440D" w:rsidRPr="001F5B9F" w:rsidRDefault="00DA048C" w:rsidP="002337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C07E3" w:rsidRPr="001F5B9F" w:rsidRDefault="009C07E3">
      <w:pPr>
        <w:rPr>
          <w:rFonts w:ascii="Times New Roman" w:hAnsi="Times New Roman" w:cs="Times New Roman"/>
          <w:sz w:val="24"/>
          <w:szCs w:val="24"/>
        </w:rPr>
      </w:pPr>
    </w:p>
    <w:p w:rsidR="001F5B9F" w:rsidRPr="00245F60" w:rsidRDefault="000D56A1">
      <w:pPr>
        <w:rPr>
          <w:rFonts w:ascii="Times New Roman" w:hAnsi="Times New Roman" w:cs="Times New Roman"/>
          <w:b/>
          <w:sz w:val="24"/>
          <w:szCs w:val="24"/>
        </w:rPr>
      </w:pPr>
      <w:r w:rsidRPr="00245F60">
        <w:rPr>
          <w:rFonts w:ascii="Times New Roman" w:hAnsi="Times New Roman" w:cs="Times New Roman"/>
          <w:b/>
          <w:sz w:val="24"/>
          <w:szCs w:val="24"/>
        </w:rPr>
        <w:t>Opposed Matter</w:t>
      </w:r>
    </w:p>
    <w:p w:rsidR="001F5B9F" w:rsidRPr="000D56A1" w:rsidRDefault="001F5B9F">
      <w:pPr>
        <w:rPr>
          <w:rFonts w:ascii="Times New Roman" w:hAnsi="Times New Roman" w:cs="Times New Roman"/>
          <w:b/>
          <w:sz w:val="24"/>
          <w:szCs w:val="24"/>
        </w:rPr>
      </w:pPr>
    </w:p>
    <w:p w:rsidR="00E82742" w:rsidRDefault="000D56A1" w:rsidP="00845C1C">
      <w:pPr>
        <w:spacing w:after="0" w:line="240" w:lineRule="auto"/>
        <w:rPr>
          <w:rFonts w:ascii="Times New Roman" w:hAnsi="Times New Roman" w:cs="Times New Roman"/>
          <w:sz w:val="24"/>
          <w:szCs w:val="24"/>
        </w:rPr>
      </w:pPr>
      <w:r w:rsidRPr="00845C1C">
        <w:rPr>
          <w:rFonts w:ascii="Times New Roman" w:hAnsi="Times New Roman" w:cs="Times New Roman"/>
          <w:i/>
          <w:sz w:val="24"/>
          <w:szCs w:val="24"/>
        </w:rPr>
        <w:t>Advocate Zhwarara</w:t>
      </w:r>
      <w:r w:rsidRPr="000D56A1">
        <w:rPr>
          <w:rFonts w:ascii="Times New Roman" w:hAnsi="Times New Roman" w:cs="Times New Roman"/>
          <w:sz w:val="24"/>
          <w:szCs w:val="24"/>
        </w:rPr>
        <w:t xml:space="preserve"> for </w:t>
      </w:r>
      <w:r w:rsidR="00845C1C" w:rsidRPr="000D56A1">
        <w:rPr>
          <w:rFonts w:ascii="Times New Roman" w:hAnsi="Times New Roman" w:cs="Times New Roman"/>
          <w:sz w:val="24"/>
          <w:szCs w:val="24"/>
        </w:rPr>
        <w:t>the applicants</w:t>
      </w:r>
    </w:p>
    <w:p w:rsidR="00845C1C" w:rsidRDefault="00845C1C" w:rsidP="00845C1C">
      <w:pPr>
        <w:spacing w:after="0" w:line="240" w:lineRule="auto"/>
        <w:rPr>
          <w:rFonts w:ascii="Times New Roman" w:hAnsi="Times New Roman" w:cs="Times New Roman"/>
          <w:sz w:val="24"/>
          <w:szCs w:val="24"/>
        </w:rPr>
      </w:pPr>
      <w:r w:rsidRPr="00845C1C">
        <w:rPr>
          <w:rFonts w:ascii="Times New Roman" w:hAnsi="Times New Roman" w:cs="Times New Roman"/>
          <w:i/>
          <w:sz w:val="24"/>
          <w:szCs w:val="24"/>
        </w:rPr>
        <w:t>Mr K Takundwa</w:t>
      </w:r>
      <w:r>
        <w:rPr>
          <w:rFonts w:ascii="Times New Roman" w:hAnsi="Times New Roman" w:cs="Times New Roman"/>
          <w:sz w:val="24"/>
          <w:szCs w:val="24"/>
        </w:rPr>
        <w:t xml:space="preserve"> for the 1</w:t>
      </w:r>
      <w:r w:rsidRPr="00845C1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45C1C" w:rsidRDefault="00845C1C" w:rsidP="00845C1C">
      <w:pPr>
        <w:spacing w:after="0" w:line="240" w:lineRule="auto"/>
        <w:rPr>
          <w:rFonts w:ascii="Times New Roman" w:hAnsi="Times New Roman" w:cs="Times New Roman"/>
          <w:sz w:val="24"/>
          <w:szCs w:val="24"/>
        </w:rPr>
      </w:pPr>
      <w:r w:rsidRPr="00845C1C">
        <w:rPr>
          <w:rFonts w:ascii="Times New Roman" w:hAnsi="Times New Roman" w:cs="Times New Roman"/>
          <w:i/>
          <w:sz w:val="24"/>
          <w:szCs w:val="24"/>
        </w:rPr>
        <w:t>Advocate Magwaliba</w:t>
      </w:r>
      <w:r>
        <w:rPr>
          <w:rFonts w:ascii="Times New Roman" w:hAnsi="Times New Roman" w:cs="Times New Roman"/>
          <w:sz w:val="24"/>
          <w:szCs w:val="24"/>
        </w:rPr>
        <w:t xml:space="preserve"> for the 2</w:t>
      </w:r>
      <w:r w:rsidRPr="00845C1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0D56A1" w:rsidRPr="000D56A1" w:rsidRDefault="000D56A1" w:rsidP="00845C1C">
      <w:pPr>
        <w:spacing w:after="0" w:line="240" w:lineRule="auto"/>
        <w:rPr>
          <w:rFonts w:ascii="Times New Roman" w:hAnsi="Times New Roman" w:cs="Times New Roman"/>
          <w:sz w:val="24"/>
          <w:szCs w:val="24"/>
        </w:rPr>
      </w:pPr>
    </w:p>
    <w:p w:rsidR="00E82742" w:rsidRPr="009C7F85" w:rsidRDefault="00AE7555" w:rsidP="0067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8DF">
        <w:rPr>
          <w:rFonts w:ascii="Times New Roman" w:hAnsi="Times New Roman" w:cs="Times New Roman"/>
          <w:sz w:val="24"/>
          <w:szCs w:val="24"/>
        </w:rPr>
        <w:tab/>
      </w:r>
      <w:r w:rsidR="00867B29">
        <w:rPr>
          <w:rFonts w:ascii="Times New Roman" w:hAnsi="Times New Roman" w:cs="Times New Roman"/>
          <w:sz w:val="24"/>
          <w:szCs w:val="24"/>
        </w:rPr>
        <w:t>MANGOTA</w:t>
      </w:r>
      <w:r>
        <w:rPr>
          <w:rFonts w:ascii="Times New Roman" w:hAnsi="Times New Roman" w:cs="Times New Roman"/>
          <w:sz w:val="24"/>
          <w:szCs w:val="24"/>
        </w:rPr>
        <w:t xml:space="preserve"> J</w:t>
      </w:r>
      <w:r w:rsidR="00AC285C">
        <w:rPr>
          <w:rFonts w:ascii="Times New Roman" w:hAnsi="Times New Roman" w:cs="Times New Roman"/>
          <w:sz w:val="24"/>
          <w:szCs w:val="24"/>
        </w:rPr>
        <w:t>: O</w:t>
      </w:r>
      <w:r w:rsidR="00E82742" w:rsidRPr="009C7F85">
        <w:rPr>
          <w:rFonts w:ascii="Times New Roman" w:hAnsi="Times New Roman" w:cs="Times New Roman"/>
          <w:sz w:val="24"/>
          <w:szCs w:val="24"/>
        </w:rPr>
        <w:t xml:space="preserve">n 6 November, 2000 the first respondent, </w:t>
      </w:r>
      <w:r w:rsidR="00C920AD">
        <w:rPr>
          <w:rFonts w:ascii="Times New Roman" w:hAnsi="Times New Roman" w:cs="Times New Roman"/>
          <w:sz w:val="24"/>
          <w:szCs w:val="24"/>
        </w:rPr>
        <w:t xml:space="preserve">Tecla Mvembe </w:t>
      </w:r>
      <w:r w:rsidR="00E82742" w:rsidRPr="009C7F85">
        <w:rPr>
          <w:rFonts w:ascii="Times New Roman" w:hAnsi="Times New Roman" w:cs="Times New Roman"/>
          <w:sz w:val="24"/>
          <w:szCs w:val="24"/>
        </w:rPr>
        <w:t xml:space="preserve">(“Tecla”) sold to Max Management (Private) Limited (“Max”) a certain piece of land called 60 A </w:t>
      </w:r>
      <w:r w:rsidR="0034440D" w:rsidRPr="009C7F85">
        <w:rPr>
          <w:rFonts w:ascii="Times New Roman" w:hAnsi="Times New Roman" w:cs="Times New Roman"/>
          <w:sz w:val="24"/>
          <w:szCs w:val="24"/>
        </w:rPr>
        <w:t>Newwalk, Woodlands</w:t>
      </w:r>
      <w:r w:rsidR="00E82742" w:rsidRPr="009C7F85">
        <w:rPr>
          <w:rFonts w:ascii="Times New Roman" w:hAnsi="Times New Roman" w:cs="Times New Roman"/>
          <w:sz w:val="24"/>
          <w:szCs w:val="24"/>
        </w:rPr>
        <w:t xml:space="preserve"> Road of Hilton of Subdivision A of Waterfalls (</w:t>
      </w:r>
      <w:r w:rsidR="00796E3D" w:rsidRPr="009C7F85">
        <w:rPr>
          <w:rFonts w:ascii="Times New Roman" w:hAnsi="Times New Roman" w:cs="Times New Roman"/>
          <w:sz w:val="24"/>
          <w:szCs w:val="24"/>
        </w:rPr>
        <w:t>“the</w:t>
      </w:r>
      <w:r w:rsidR="00E82742" w:rsidRPr="009C7F85">
        <w:rPr>
          <w:rFonts w:ascii="Times New Roman" w:hAnsi="Times New Roman" w:cs="Times New Roman"/>
          <w:sz w:val="24"/>
          <w:szCs w:val="24"/>
        </w:rPr>
        <w:t xml:space="preserve"> property”).</w:t>
      </w:r>
      <w:r w:rsidR="007A2FD5" w:rsidRPr="009C7F85">
        <w:rPr>
          <w:rFonts w:ascii="Times New Roman" w:hAnsi="Times New Roman" w:cs="Times New Roman"/>
          <w:sz w:val="24"/>
          <w:szCs w:val="24"/>
        </w:rPr>
        <w:t xml:space="preserve"> The property is situated in the District of Salisbury. It </w:t>
      </w:r>
      <w:r w:rsidR="0034440D" w:rsidRPr="009C7F85">
        <w:rPr>
          <w:rFonts w:ascii="Times New Roman" w:hAnsi="Times New Roman" w:cs="Times New Roman"/>
          <w:sz w:val="24"/>
          <w:szCs w:val="24"/>
        </w:rPr>
        <w:t>is 25</w:t>
      </w:r>
      <w:r w:rsidR="007A2FD5" w:rsidRPr="009C7F85">
        <w:rPr>
          <w:rFonts w:ascii="Times New Roman" w:hAnsi="Times New Roman" w:cs="Times New Roman"/>
          <w:sz w:val="24"/>
          <w:szCs w:val="24"/>
        </w:rPr>
        <w:t>, 0532 hectares in extent.</w:t>
      </w:r>
    </w:p>
    <w:p w:rsidR="007A2FD5" w:rsidRPr="009C7F85" w:rsidRDefault="007A2FD5" w:rsidP="000B7647">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 xml:space="preserve">In terms of the contract between Tecla and Max, the latter was </w:t>
      </w:r>
      <w:r w:rsidR="00796E3D" w:rsidRPr="009C7F85">
        <w:rPr>
          <w:rFonts w:ascii="Times New Roman" w:hAnsi="Times New Roman" w:cs="Times New Roman"/>
          <w:sz w:val="24"/>
          <w:szCs w:val="24"/>
        </w:rPr>
        <w:t>to:</w:t>
      </w:r>
    </w:p>
    <w:p w:rsidR="007A2FD5" w:rsidRPr="009C7F85" w:rsidRDefault="00845C1C" w:rsidP="00676F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7A2FD5" w:rsidRPr="009C7F85">
        <w:rPr>
          <w:rFonts w:ascii="Times New Roman" w:hAnsi="Times New Roman" w:cs="Times New Roman"/>
          <w:sz w:val="24"/>
          <w:szCs w:val="24"/>
        </w:rPr>
        <w:t>btain a subdivision permit;</w:t>
      </w:r>
    </w:p>
    <w:p w:rsidR="007A2FD5" w:rsidRPr="009C7F85" w:rsidRDefault="00845C1C" w:rsidP="00676F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7A2FD5" w:rsidRPr="009C7F85">
        <w:rPr>
          <w:rFonts w:ascii="Times New Roman" w:hAnsi="Times New Roman" w:cs="Times New Roman"/>
          <w:sz w:val="24"/>
          <w:szCs w:val="24"/>
        </w:rPr>
        <w:t xml:space="preserve">evelop the property in compliance with the permit; </w:t>
      </w:r>
    </w:p>
    <w:p w:rsidR="007A2FD5" w:rsidRPr="009C7F85" w:rsidRDefault="00845C1C" w:rsidP="00676F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7A2FD5" w:rsidRPr="009C7F85">
        <w:rPr>
          <w:rFonts w:ascii="Times New Roman" w:hAnsi="Times New Roman" w:cs="Times New Roman"/>
          <w:sz w:val="24"/>
          <w:szCs w:val="24"/>
        </w:rPr>
        <w:t>reate stands as well as</w:t>
      </w:r>
    </w:p>
    <w:p w:rsidR="007A2FD5" w:rsidRPr="009C7F85" w:rsidRDefault="00845C1C" w:rsidP="00676F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7A2FD5" w:rsidRPr="009C7F85">
        <w:rPr>
          <w:rFonts w:ascii="Times New Roman" w:hAnsi="Times New Roman" w:cs="Times New Roman"/>
          <w:sz w:val="24"/>
          <w:szCs w:val="24"/>
        </w:rPr>
        <w:t>ell the stands.</w:t>
      </w:r>
    </w:p>
    <w:p w:rsidR="007A2FD5" w:rsidRPr="009C7F85" w:rsidRDefault="007A2FD5" w:rsidP="00A22CD2">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Tecla is allegedly the owner of the property</w:t>
      </w:r>
      <w:r w:rsidR="00A22CD2">
        <w:rPr>
          <w:rFonts w:ascii="Times New Roman" w:hAnsi="Times New Roman" w:cs="Times New Roman"/>
          <w:sz w:val="24"/>
          <w:szCs w:val="24"/>
        </w:rPr>
        <w:t>. S</w:t>
      </w:r>
      <w:r w:rsidRPr="009C7F85">
        <w:rPr>
          <w:rFonts w:ascii="Times New Roman" w:hAnsi="Times New Roman" w:cs="Times New Roman"/>
          <w:sz w:val="24"/>
          <w:szCs w:val="24"/>
        </w:rPr>
        <w:t>he holds</w:t>
      </w:r>
      <w:r w:rsidR="00A22CD2">
        <w:rPr>
          <w:rFonts w:ascii="Times New Roman" w:hAnsi="Times New Roman" w:cs="Times New Roman"/>
          <w:sz w:val="24"/>
          <w:szCs w:val="24"/>
        </w:rPr>
        <w:t xml:space="preserve"> the same</w:t>
      </w:r>
      <w:r w:rsidRPr="009C7F85">
        <w:rPr>
          <w:rFonts w:ascii="Times New Roman" w:hAnsi="Times New Roman" w:cs="Times New Roman"/>
          <w:sz w:val="24"/>
          <w:szCs w:val="24"/>
        </w:rPr>
        <w:t xml:space="preserve"> under Deed of Transfer 4573/73 of 1 June, 2000.</w:t>
      </w:r>
    </w:p>
    <w:p w:rsidR="007A2FD5" w:rsidRPr="009C7F85" w:rsidRDefault="007A2FD5" w:rsidP="00D065E9">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lastRenderedPageBreak/>
        <w:t xml:space="preserve">It is in the spirit of the contract of Tecla and Max that the latter </w:t>
      </w:r>
      <w:r w:rsidR="006C087E" w:rsidRPr="009C7F85">
        <w:rPr>
          <w:rFonts w:ascii="Times New Roman" w:hAnsi="Times New Roman" w:cs="Times New Roman"/>
          <w:sz w:val="24"/>
          <w:szCs w:val="24"/>
        </w:rPr>
        <w:t xml:space="preserve">allegedly sold the stands to members of Milton Gardens Association which is the first applicant </w:t>
      </w:r>
      <w:r w:rsidR="006C087E" w:rsidRPr="003724BF">
        <w:rPr>
          <w:rFonts w:ascii="Times New Roman" w:hAnsi="Times New Roman" w:cs="Times New Roman"/>
          <w:i/>
          <w:sz w:val="24"/>
          <w:szCs w:val="24"/>
        </w:rPr>
        <w:t>in casu</w:t>
      </w:r>
      <w:r w:rsidR="006C087E" w:rsidRPr="009C7F85">
        <w:rPr>
          <w:rFonts w:ascii="Times New Roman" w:hAnsi="Times New Roman" w:cs="Times New Roman"/>
          <w:sz w:val="24"/>
          <w:szCs w:val="24"/>
        </w:rPr>
        <w:t xml:space="preserve"> (“the applicant”). The members, it is claimed, started constructing their houses on the purchased stands. They did so, it is alleged, with the knowledge of Tecla.</w:t>
      </w:r>
    </w:p>
    <w:p w:rsidR="00AC2C0E" w:rsidRPr="009C7F85" w:rsidRDefault="00AC2C0E" w:rsidP="00D065E9">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 xml:space="preserve">Subsequent to the sale of the property to Max and after the latter had sold the stands to members of the applicant, Tecla, on 19 September 2007, sold the property to Champion Constructors (Pvt) Ltd (“Champion”) which is the second respondent </w:t>
      </w:r>
      <w:r w:rsidRPr="002A0D59">
        <w:rPr>
          <w:rFonts w:ascii="Times New Roman" w:hAnsi="Times New Roman" w:cs="Times New Roman"/>
          <w:i/>
          <w:sz w:val="24"/>
          <w:szCs w:val="24"/>
        </w:rPr>
        <w:t>in casu</w:t>
      </w:r>
      <w:r w:rsidRPr="009C7F85">
        <w:rPr>
          <w:rFonts w:ascii="Times New Roman" w:hAnsi="Times New Roman" w:cs="Times New Roman"/>
          <w:sz w:val="24"/>
          <w:szCs w:val="24"/>
        </w:rPr>
        <w:t xml:space="preserve">. On 14 September 2011, Champion obtained default judgment against Tecla, the Registrar of Deeds and the surveyor – general. The judgment, HC 7398/11, which left the applicant’s members in the cold, as it were, </w:t>
      </w:r>
      <w:r w:rsidR="00A567D0" w:rsidRPr="009C7F85">
        <w:rPr>
          <w:rFonts w:ascii="Times New Roman" w:hAnsi="Times New Roman" w:cs="Times New Roman"/>
          <w:sz w:val="24"/>
          <w:szCs w:val="24"/>
        </w:rPr>
        <w:t>directed:</w:t>
      </w:r>
    </w:p>
    <w:p w:rsidR="00AC2C0E" w:rsidRPr="009C7F85" w:rsidRDefault="00C406B0" w:rsidP="00676FD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C2C0E" w:rsidRPr="009C7F85">
        <w:rPr>
          <w:rFonts w:ascii="Times New Roman" w:hAnsi="Times New Roman" w:cs="Times New Roman"/>
          <w:sz w:val="24"/>
          <w:szCs w:val="24"/>
        </w:rPr>
        <w:t>he registrar of deeds to pass transfer of ownership of the property from Tecla to Champion-and</w:t>
      </w:r>
    </w:p>
    <w:p w:rsidR="00AC2C0E" w:rsidRPr="009C7F85" w:rsidRDefault="00C406B0" w:rsidP="00676FD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C2C0E" w:rsidRPr="009C7F85">
        <w:rPr>
          <w:rFonts w:ascii="Times New Roman" w:hAnsi="Times New Roman" w:cs="Times New Roman"/>
          <w:sz w:val="24"/>
          <w:szCs w:val="24"/>
        </w:rPr>
        <w:t>he surveyor-general to cancel a ge</w:t>
      </w:r>
      <w:r w:rsidR="0029463E">
        <w:rPr>
          <w:rFonts w:ascii="Times New Roman" w:hAnsi="Times New Roman" w:cs="Times New Roman"/>
          <w:sz w:val="24"/>
          <w:szCs w:val="24"/>
        </w:rPr>
        <w:t xml:space="preserve">neral plan he issued in respect of </w:t>
      </w:r>
      <w:r w:rsidR="00AC2C0E" w:rsidRPr="009C7F85">
        <w:rPr>
          <w:rFonts w:ascii="Times New Roman" w:hAnsi="Times New Roman" w:cs="Times New Roman"/>
          <w:sz w:val="24"/>
          <w:szCs w:val="24"/>
        </w:rPr>
        <w:t>subdivisions of the property whereby stands of the same were created and subsequently sold to members of the applicant.</w:t>
      </w:r>
    </w:p>
    <w:p w:rsidR="00AC2C0E" w:rsidRPr="009C7F85" w:rsidRDefault="004E659A" w:rsidP="00393ABF">
      <w:pPr>
        <w:spacing w:after="0" w:line="360" w:lineRule="auto"/>
        <w:jc w:val="both"/>
        <w:rPr>
          <w:rFonts w:ascii="Times New Roman" w:hAnsi="Times New Roman" w:cs="Times New Roman"/>
          <w:sz w:val="24"/>
          <w:szCs w:val="24"/>
        </w:rPr>
      </w:pPr>
      <w:r w:rsidRPr="009C7F85">
        <w:rPr>
          <w:rFonts w:ascii="Times New Roman" w:hAnsi="Times New Roman" w:cs="Times New Roman"/>
          <w:sz w:val="24"/>
          <w:szCs w:val="24"/>
        </w:rPr>
        <w:t>The applicant’s members who were not cited in HC 7398/11 remained of the view that the default judgment adversely affected their interests in the property. They, on 19 December 2013, applied through the urgent chamber book under case number HC 10716/11 wherein they sued Champion, Tecla, the surveyor-general, the registra</w:t>
      </w:r>
      <w:r w:rsidR="00C47A64">
        <w:rPr>
          <w:rFonts w:ascii="Times New Roman" w:hAnsi="Times New Roman" w:cs="Times New Roman"/>
          <w:sz w:val="24"/>
          <w:szCs w:val="24"/>
        </w:rPr>
        <w:t xml:space="preserve">r of deeds and the Director of </w:t>
      </w:r>
      <w:r w:rsidRPr="009C7F85">
        <w:rPr>
          <w:rFonts w:ascii="Times New Roman" w:hAnsi="Times New Roman" w:cs="Times New Roman"/>
          <w:sz w:val="24"/>
          <w:szCs w:val="24"/>
        </w:rPr>
        <w:t>Urban Planning Services whom they respectively cited as the first, second, third, fourth and fifth respondents. The draft interim order which the court entered in their favour reads:</w:t>
      </w:r>
    </w:p>
    <w:p w:rsidR="004E659A" w:rsidRPr="002D12C2" w:rsidRDefault="00EB6D37" w:rsidP="002D12C2">
      <w:pPr>
        <w:spacing w:after="0" w:line="240" w:lineRule="auto"/>
        <w:ind w:firstLine="360"/>
        <w:jc w:val="both"/>
        <w:rPr>
          <w:rFonts w:ascii="Times New Roman" w:hAnsi="Times New Roman" w:cs="Times New Roman"/>
        </w:rPr>
      </w:pPr>
      <w:r w:rsidRPr="009C7F85">
        <w:rPr>
          <w:rFonts w:ascii="Times New Roman" w:hAnsi="Times New Roman" w:cs="Times New Roman"/>
          <w:sz w:val="24"/>
          <w:szCs w:val="24"/>
        </w:rPr>
        <w:t>“</w:t>
      </w:r>
      <w:r w:rsidRPr="002D12C2">
        <w:rPr>
          <w:rFonts w:ascii="Times New Roman" w:hAnsi="Times New Roman" w:cs="Times New Roman"/>
        </w:rPr>
        <w:t>INTERIM</w:t>
      </w:r>
      <w:r w:rsidR="004E659A" w:rsidRPr="002D12C2">
        <w:rPr>
          <w:rFonts w:ascii="Times New Roman" w:hAnsi="Times New Roman" w:cs="Times New Roman"/>
        </w:rPr>
        <w:t xml:space="preserve"> RELIEF SOUGHT</w:t>
      </w:r>
    </w:p>
    <w:p w:rsidR="004E659A" w:rsidRPr="002D12C2" w:rsidRDefault="004E659A" w:rsidP="002D12C2">
      <w:pPr>
        <w:spacing w:after="0" w:line="240" w:lineRule="auto"/>
        <w:ind w:firstLine="720"/>
        <w:jc w:val="both"/>
        <w:rPr>
          <w:rFonts w:ascii="Times New Roman" w:hAnsi="Times New Roman" w:cs="Times New Roman"/>
        </w:rPr>
      </w:pPr>
      <w:r w:rsidRPr="002D12C2">
        <w:rPr>
          <w:rFonts w:ascii="Times New Roman" w:hAnsi="Times New Roman" w:cs="Times New Roman"/>
        </w:rPr>
        <w:t>Pending the determination of this case, the following interim relief is made:</w:t>
      </w:r>
    </w:p>
    <w:p w:rsidR="004E659A" w:rsidRPr="002D12C2" w:rsidRDefault="002D12C2" w:rsidP="002D12C2">
      <w:pPr>
        <w:spacing w:after="0" w:line="240" w:lineRule="auto"/>
        <w:jc w:val="both"/>
        <w:rPr>
          <w:rFonts w:ascii="Times New Roman" w:hAnsi="Times New Roman" w:cs="Times New Roman"/>
        </w:rPr>
      </w:pPr>
      <w:r w:rsidRPr="002D12C2">
        <w:rPr>
          <w:rFonts w:ascii="Times New Roman" w:hAnsi="Times New Roman" w:cs="Times New Roman"/>
        </w:rPr>
        <w:tab/>
      </w:r>
      <w:r w:rsidR="004E659A" w:rsidRPr="002D12C2">
        <w:rPr>
          <w:rFonts w:ascii="Times New Roman" w:hAnsi="Times New Roman" w:cs="Times New Roman"/>
        </w:rPr>
        <w:t>1</w:t>
      </w:r>
      <w:r w:rsidR="00E4449C" w:rsidRPr="002D12C2">
        <w:rPr>
          <w:rFonts w:ascii="Times New Roman" w:hAnsi="Times New Roman" w:cs="Times New Roman"/>
        </w:rPr>
        <w:t>.</w:t>
      </w:r>
      <w:r w:rsidR="00CA5305" w:rsidRPr="002D12C2">
        <w:rPr>
          <w:rFonts w:ascii="Times New Roman" w:hAnsi="Times New Roman" w:cs="Times New Roman"/>
        </w:rPr>
        <w:t xml:space="preserve"> </w:t>
      </w:r>
      <w:r w:rsidR="00E4449C" w:rsidRPr="002D12C2">
        <w:rPr>
          <w:rFonts w:ascii="Times New Roman" w:hAnsi="Times New Roman" w:cs="Times New Roman"/>
        </w:rPr>
        <w:t xml:space="preserve"> </w:t>
      </w:r>
      <w:r w:rsidR="004E659A" w:rsidRPr="002D12C2">
        <w:rPr>
          <w:rFonts w:ascii="Times New Roman" w:hAnsi="Times New Roman" w:cs="Times New Roman"/>
        </w:rPr>
        <w:t>2</w:t>
      </w:r>
      <w:r w:rsidR="004E659A" w:rsidRPr="002D12C2">
        <w:rPr>
          <w:rFonts w:ascii="Times New Roman" w:hAnsi="Times New Roman" w:cs="Times New Roman"/>
          <w:vertAlign w:val="superscript"/>
        </w:rPr>
        <w:t>nd</w:t>
      </w:r>
      <w:r w:rsidRPr="002D12C2">
        <w:rPr>
          <w:rFonts w:ascii="Times New Roman" w:hAnsi="Times New Roman" w:cs="Times New Roman"/>
        </w:rPr>
        <w:t xml:space="preserve"> respondent or </w:t>
      </w:r>
      <w:r w:rsidR="004E659A" w:rsidRPr="002D12C2">
        <w:rPr>
          <w:rFonts w:ascii="Times New Roman" w:hAnsi="Times New Roman" w:cs="Times New Roman"/>
        </w:rPr>
        <w:t xml:space="preserve">the Deputy Sheriff or his lawful deputy, as the case may be, be and is hereby </w:t>
      </w:r>
      <w:r w:rsidRPr="002D12C2">
        <w:rPr>
          <w:rFonts w:ascii="Times New Roman" w:hAnsi="Times New Roman" w:cs="Times New Roman"/>
        </w:rPr>
        <w:tab/>
      </w:r>
      <w:r w:rsidR="004E659A" w:rsidRPr="002D12C2">
        <w:rPr>
          <w:rFonts w:ascii="Times New Roman" w:hAnsi="Times New Roman" w:cs="Times New Roman"/>
        </w:rPr>
        <w:t>interdicted from signing such documents  and/or papers passing transfer to 1</w:t>
      </w:r>
      <w:r w:rsidR="004E659A" w:rsidRPr="002D12C2">
        <w:rPr>
          <w:rFonts w:ascii="Times New Roman" w:hAnsi="Times New Roman" w:cs="Times New Roman"/>
          <w:vertAlign w:val="superscript"/>
        </w:rPr>
        <w:t>st</w:t>
      </w:r>
      <w:r w:rsidR="004E659A" w:rsidRPr="002D12C2">
        <w:rPr>
          <w:rFonts w:ascii="Times New Roman" w:hAnsi="Times New Roman" w:cs="Times New Roman"/>
        </w:rPr>
        <w:t xml:space="preserve"> respondent of certain </w:t>
      </w:r>
      <w:r w:rsidRPr="002D12C2">
        <w:rPr>
          <w:rFonts w:ascii="Times New Roman" w:hAnsi="Times New Roman" w:cs="Times New Roman"/>
        </w:rPr>
        <w:tab/>
      </w:r>
      <w:r w:rsidR="004E659A" w:rsidRPr="002D12C2">
        <w:rPr>
          <w:rFonts w:ascii="Times New Roman" w:hAnsi="Times New Roman" w:cs="Times New Roman"/>
        </w:rPr>
        <w:t xml:space="preserve">immovable property namely Newwalk of Hilton of Subdivision A of Waterfalls situate in the </w:t>
      </w:r>
      <w:r w:rsidRPr="002D12C2">
        <w:rPr>
          <w:rFonts w:ascii="Times New Roman" w:hAnsi="Times New Roman" w:cs="Times New Roman"/>
        </w:rPr>
        <w:tab/>
      </w:r>
      <w:r w:rsidR="004E659A" w:rsidRPr="002D12C2">
        <w:rPr>
          <w:rFonts w:ascii="Times New Roman" w:hAnsi="Times New Roman" w:cs="Times New Roman"/>
        </w:rPr>
        <w:t>District of Salisbury measuring 25,0532 hectares;</w:t>
      </w:r>
    </w:p>
    <w:p w:rsidR="004E659A" w:rsidRPr="002D12C2" w:rsidRDefault="002D12C2" w:rsidP="002D12C2">
      <w:pPr>
        <w:spacing w:after="0" w:line="240" w:lineRule="auto"/>
        <w:jc w:val="both"/>
        <w:rPr>
          <w:rFonts w:ascii="Times New Roman" w:hAnsi="Times New Roman" w:cs="Times New Roman"/>
        </w:rPr>
      </w:pPr>
      <w:r w:rsidRPr="002D12C2">
        <w:rPr>
          <w:rFonts w:ascii="Times New Roman" w:hAnsi="Times New Roman" w:cs="Times New Roman"/>
        </w:rPr>
        <w:tab/>
      </w:r>
      <w:r w:rsidR="00C02D3D" w:rsidRPr="002D12C2">
        <w:rPr>
          <w:rFonts w:ascii="Times New Roman" w:hAnsi="Times New Roman" w:cs="Times New Roman"/>
        </w:rPr>
        <w:t>2. consequently, 4</w:t>
      </w:r>
      <w:r w:rsidR="00C02D3D" w:rsidRPr="002D12C2">
        <w:rPr>
          <w:rFonts w:ascii="Times New Roman" w:hAnsi="Times New Roman" w:cs="Times New Roman"/>
          <w:vertAlign w:val="superscript"/>
        </w:rPr>
        <w:t>th</w:t>
      </w:r>
      <w:r w:rsidR="00C02D3D" w:rsidRPr="002D12C2">
        <w:rPr>
          <w:rFonts w:ascii="Times New Roman" w:hAnsi="Times New Roman" w:cs="Times New Roman"/>
        </w:rPr>
        <w:t xml:space="preserve"> respondent be and is hereby interdicted from accepting , approving such </w:t>
      </w:r>
      <w:r w:rsidRPr="002D12C2">
        <w:rPr>
          <w:rFonts w:ascii="Times New Roman" w:hAnsi="Times New Roman" w:cs="Times New Roman"/>
        </w:rPr>
        <w:tab/>
      </w:r>
      <w:r w:rsidR="00C02D3D" w:rsidRPr="002D12C2">
        <w:rPr>
          <w:rFonts w:ascii="Times New Roman" w:hAnsi="Times New Roman" w:cs="Times New Roman"/>
        </w:rPr>
        <w:t xml:space="preserve">documents and/or papers as may be presented to him to effect transfer of the aforesaid property </w:t>
      </w:r>
      <w:r w:rsidRPr="002D12C2">
        <w:rPr>
          <w:rFonts w:ascii="Times New Roman" w:hAnsi="Times New Roman" w:cs="Times New Roman"/>
        </w:rPr>
        <w:tab/>
      </w:r>
      <w:r w:rsidR="00C02D3D" w:rsidRPr="002D12C2">
        <w:rPr>
          <w:rFonts w:ascii="Times New Roman" w:hAnsi="Times New Roman" w:cs="Times New Roman"/>
        </w:rPr>
        <w:t>into 1</w:t>
      </w:r>
      <w:r w:rsidR="00C02D3D" w:rsidRPr="002D12C2">
        <w:rPr>
          <w:rFonts w:ascii="Times New Roman" w:hAnsi="Times New Roman" w:cs="Times New Roman"/>
          <w:vertAlign w:val="superscript"/>
        </w:rPr>
        <w:t>st</w:t>
      </w:r>
      <w:r w:rsidR="00C02D3D" w:rsidRPr="002D12C2">
        <w:rPr>
          <w:rFonts w:ascii="Times New Roman" w:hAnsi="Times New Roman" w:cs="Times New Roman"/>
        </w:rPr>
        <w:t xml:space="preserve"> respondent’s name;</w:t>
      </w:r>
    </w:p>
    <w:p w:rsidR="00C02D3D" w:rsidRPr="002D12C2" w:rsidRDefault="002D12C2" w:rsidP="002D12C2">
      <w:pPr>
        <w:spacing w:after="0" w:line="240" w:lineRule="auto"/>
        <w:jc w:val="both"/>
        <w:rPr>
          <w:rFonts w:ascii="Times New Roman" w:hAnsi="Times New Roman" w:cs="Times New Roman"/>
        </w:rPr>
      </w:pPr>
      <w:r w:rsidRPr="002D12C2">
        <w:rPr>
          <w:rFonts w:ascii="Times New Roman" w:hAnsi="Times New Roman" w:cs="Times New Roman"/>
        </w:rPr>
        <w:tab/>
      </w:r>
      <w:r w:rsidR="00C02D3D" w:rsidRPr="002D12C2">
        <w:rPr>
          <w:rFonts w:ascii="Times New Roman" w:hAnsi="Times New Roman" w:cs="Times New Roman"/>
        </w:rPr>
        <w:t>3. The 3</w:t>
      </w:r>
      <w:r w:rsidR="00C02D3D" w:rsidRPr="002D12C2">
        <w:rPr>
          <w:rFonts w:ascii="Times New Roman" w:hAnsi="Times New Roman" w:cs="Times New Roman"/>
          <w:vertAlign w:val="superscript"/>
        </w:rPr>
        <w:t>rd</w:t>
      </w:r>
      <w:r w:rsidR="00C02D3D" w:rsidRPr="002D12C2">
        <w:rPr>
          <w:rFonts w:ascii="Times New Roman" w:hAnsi="Times New Roman" w:cs="Times New Roman"/>
        </w:rPr>
        <w:t xml:space="preserve"> respondent is interdicted from implementing a new plan in place of Plan CG 2836;</w:t>
      </w:r>
    </w:p>
    <w:p w:rsidR="00C02D3D" w:rsidRPr="002D12C2" w:rsidRDefault="002D12C2" w:rsidP="002D12C2">
      <w:pPr>
        <w:spacing w:after="0" w:line="240" w:lineRule="auto"/>
        <w:jc w:val="both"/>
        <w:rPr>
          <w:rFonts w:ascii="Times New Roman" w:hAnsi="Times New Roman" w:cs="Times New Roman"/>
        </w:rPr>
      </w:pPr>
      <w:r w:rsidRPr="002D12C2">
        <w:rPr>
          <w:rFonts w:ascii="Times New Roman" w:hAnsi="Times New Roman" w:cs="Times New Roman"/>
        </w:rPr>
        <w:tab/>
      </w:r>
      <w:r w:rsidR="00C02D3D" w:rsidRPr="002D12C2">
        <w:rPr>
          <w:rFonts w:ascii="Times New Roman" w:hAnsi="Times New Roman" w:cs="Times New Roman"/>
        </w:rPr>
        <w:t>4. The 5</w:t>
      </w:r>
      <w:r w:rsidR="00C02D3D" w:rsidRPr="002D12C2">
        <w:rPr>
          <w:rFonts w:ascii="Times New Roman" w:hAnsi="Times New Roman" w:cs="Times New Roman"/>
          <w:vertAlign w:val="superscript"/>
        </w:rPr>
        <w:t>th</w:t>
      </w:r>
      <w:r w:rsidR="00C02D3D" w:rsidRPr="002D12C2">
        <w:rPr>
          <w:rFonts w:ascii="Times New Roman" w:hAnsi="Times New Roman" w:cs="Times New Roman"/>
        </w:rPr>
        <w:t xml:space="preserve"> respondent is interdicted from implementing any plan brought into effect by the 3</w:t>
      </w:r>
      <w:r w:rsidR="00C02D3D" w:rsidRPr="002D12C2">
        <w:rPr>
          <w:rFonts w:ascii="Times New Roman" w:hAnsi="Times New Roman" w:cs="Times New Roman"/>
          <w:vertAlign w:val="superscript"/>
        </w:rPr>
        <w:t>rd</w:t>
      </w:r>
      <w:r w:rsidR="00C02D3D" w:rsidRPr="002D12C2">
        <w:rPr>
          <w:rFonts w:ascii="Times New Roman" w:hAnsi="Times New Roman" w:cs="Times New Roman"/>
        </w:rPr>
        <w:t xml:space="preserve"> </w:t>
      </w:r>
      <w:r w:rsidRPr="002D12C2">
        <w:rPr>
          <w:rFonts w:ascii="Times New Roman" w:hAnsi="Times New Roman" w:cs="Times New Roman"/>
        </w:rPr>
        <w:tab/>
      </w:r>
      <w:r w:rsidR="00C02D3D" w:rsidRPr="002D12C2">
        <w:rPr>
          <w:rFonts w:ascii="Times New Roman" w:hAnsi="Times New Roman" w:cs="Times New Roman"/>
        </w:rPr>
        <w:t>respondent in place of Plan CG 2836”.</w:t>
      </w:r>
    </w:p>
    <w:p w:rsidR="00D8507A" w:rsidRPr="002D12C2" w:rsidRDefault="00D8507A" w:rsidP="002D12C2">
      <w:pPr>
        <w:spacing w:after="0" w:line="240" w:lineRule="auto"/>
        <w:jc w:val="both"/>
        <w:rPr>
          <w:rFonts w:ascii="Times New Roman" w:hAnsi="Times New Roman" w:cs="Times New Roman"/>
        </w:rPr>
      </w:pPr>
    </w:p>
    <w:p w:rsidR="00197DF4" w:rsidRDefault="00197DF4" w:rsidP="00676FD6">
      <w:pPr>
        <w:spacing w:after="0" w:line="360" w:lineRule="auto"/>
        <w:jc w:val="both"/>
        <w:rPr>
          <w:rFonts w:ascii="Times New Roman" w:hAnsi="Times New Roman" w:cs="Times New Roman"/>
          <w:sz w:val="24"/>
          <w:szCs w:val="24"/>
        </w:rPr>
      </w:pPr>
      <w:r w:rsidRPr="00D8507A">
        <w:rPr>
          <w:rFonts w:ascii="Times New Roman" w:hAnsi="Times New Roman" w:cs="Times New Roman"/>
          <w:sz w:val="24"/>
          <w:szCs w:val="24"/>
        </w:rPr>
        <w:t>The final order which the applicant sought under HC 10716/11 reads as follows:</w:t>
      </w:r>
    </w:p>
    <w:p w:rsidR="00CA5305" w:rsidRDefault="00CA5305" w:rsidP="00676FD6">
      <w:pPr>
        <w:spacing w:after="0" w:line="360" w:lineRule="auto"/>
        <w:jc w:val="both"/>
        <w:rPr>
          <w:rFonts w:ascii="Times New Roman" w:hAnsi="Times New Roman" w:cs="Times New Roman"/>
          <w:sz w:val="24"/>
          <w:szCs w:val="24"/>
        </w:rPr>
      </w:pPr>
    </w:p>
    <w:p w:rsidR="00390915" w:rsidRDefault="00390915" w:rsidP="00676FD6">
      <w:pPr>
        <w:spacing w:after="0" w:line="360" w:lineRule="auto"/>
        <w:jc w:val="both"/>
        <w:rPr>
          <w:rFonts w:ascii="Times New Roman" w:hAnsi="Times New Roman" w:cs="Times New Roman"/>
          <w:sz w:val="24"/>
          <w:szCs w:val="24"/>
        </w:rPr>
      </w:pPr>
    </w:p>
    <w:p w:rsidR="00197DF4" w:rsidRPr="00D8507A" w:rsidRDefault="00197DF4" w:rsidP="0029463E">
      <w:pPr>
        <w:spacing w:after="0" w:line="240" w:lineRule="auto"/>
        <w:jc w:val="both"/>
        <w:rPr>
          <w:rFonts w:ascii="Times New Roman" w:hAnsi="Times New Roman" w:cs="Times New Roman"/>
        </w:rPr>
      </w:pPr>
      <w:r w:rsidRPr="00D8507A">
        <w:rPr>
          <w:rFonts w:ascii="Times New Roman" w:hAnsi="Times New Roman" w:cs="Times New Roman"/>
        </w:rPr>
        <w:t>“FINAL ORDER SOUGHT:</w:t>
      </w:r>
    </w:p>
    <w:p w:rsidR="00197DF4" w:rsidRPr="00D8507A" w:rsidRDefault="00197DF4" w:rsidP="000136FF">
      <w:pPr>
        <w:spacing w:after="0" w:line="240" w:lineRule="auto"/>
        <w:ind w:left="720"/>
        <w:jc w:val="both"/>
        <w:rPr>
          <w:rFonts w:ascii="Times New Roman" w:hAnsi="Times New Roman" w:cs="Times New Roman"/>
        </w:rPr>
      </w:pPr>
      <w:r w:rsidRPr="00D8507A">
        <w:rPr>
          <w:rFonts w:ascii="Times New Roman" w:hAnsi="Times New Roman" w:cs="Times New Roman"/>
        </w:rPr>
        <w:t>That you show cause to this Honourable Court why a final ord</w:t>
      </w:r>
      <w:r w:rsidR="00B5458F" w:rsidRPr="00D8507A">
        <w:rPr>
          <w:rFonts w:ascii="Times New Roman" w:hAnsi="Times New Roman" w:cs="Times New Roman"/>
        </w:rPr>
        <w:t xml:space="preserve">er </w:t>
      </w:r>
      <w:r w:rsidRPr="00D8507A">
        <w:rPr>
          <w:rFonts w:ascii="Times New Roman" w:hAnsi="Times New Roman" w:cs="Times New Roman"/>
        </w:rPr>
        <w:t>should not be made in the following terms that:</w:t>
      </w:r>
    </w:p>
    <w:p w:rsidR="00197DF4" w:rsidRPr="00D8507A" w:rsidRDefault="00197DF4" w:rsidP="00D8507A">
      <w:pPr>
        <w:pStyle w:val="ListParagraph"/>
        <w:numPr>
          <w:ilvl w:val="0"/>
          <w:numId w:val="3"/>
        </w:numPr>
        <w:spacing w:after="0" w:line="240" w:lineRule="auto"/>
        <w:jc w:val="both"/>
        <w:rPr>
          <w:rFonts w:ascii="Times New Roman" w:hAnsi="Times New Roman" w:cs="Times New Roman"/>
        </w:rPr>
      </w:pPr>
      <w:r w:rsidRPr="00D8507A">
        <w:rPr>
          <w:rFonts w:ascii="Times New Roman" w:hAnsi="Times New Roman" w:cs="Times New Roman"/>
        </w:rPr>
        <w:t>The order granted in default by Justice Mutema on 14 September, 2011 compelling 2</w:t>
      </w:r>
      <w:r w:rsidRPr="00D8507A">
        <w:rPr>
          <w:rFonts w:ascii="Times New Roman" w:hAnsi="Times New Roman" w:cs="Times New Roman"/>
          <w:vertAlign w:val="superscript"/>
        </w:rPr>
        <w:t>nd</w:t>
      </w:r>
      <w:r w:rsidRPr="00D8507A">
        <w:rPr>
          <w:rFonts w:ascii="Times New Roman" w:hAnsi="Times New Roman" w:cs="Times New Roman"/>
        </w:rPr>
        <w:t xml:space="preserve"> respondent to pass transfer to 1</w:t>
      </w:r>
      <w:r w:rsidRPr="00D8507A">
        <w:rPr>
          <w:rFonts w:ascii="Times New Roman" w:hAnsi="Times New Roman" w:cs="Times New Roman"/>
          <w:vertAlign w:val="superscript"/>
        </w:rPr>
        <w:t>st</w:t>
      </w:r>
      <w:r w:rsidRPr="00D8507A">
        <w:rPr>
          <w:rFonts w:ascii="Times New Roman" w:hAnsi="Times New Roman" w:cs="Times New Roman"/>
        </w:rPr>
        <w:t xml:space="preserve"> respondent and subsequently  cancelling the general plan CG 2836 in relation to a certain piece of immovable property namely: Newwalk of Hilton of Subdivision </w:t>
      </w:r>
      <w:r w:rsidR="00B5458F" w:rsidRPr="00D8507A">
        <w:rPr>
          <w:rFonts w:ascii="Times New Roman" w:hAnsi="Times New Roman" w:cs="Times New Roman"/>
        </w:rPr>
        <w:t>A of Waterfalls situate in the District of Salisbury measuring 25,0532 hectares, should not be set aside or rescinded;</w:t>
      </w:r>
    </w:p>
    <w:p w:rsidR="00B5458F" w:rsidRPr="00D8507A" w:rsidRDefault="00B5458F" w:rsidP="00D8507A">
      <w:pPr>
        <w:pStyle w:val="ListParagraph"/>
        <w:numPr>
          <w:ilvl w:val="0"/>
          <w:numId w:val="3"/>
        </w:numPr>
        <w:spacing w:after="0" w:line="240" w:lineRule="auto"/>
        <w:jc w:val="both"/>
        <w:rPr>
          <w:rFonts w:ascii="Times New Roman" w:hAnsi="Times New Roman" w:cs="Times New Roman"/>
        </w:rPr>
      </w:pPr>
      <w:r w:rsidRPr="00D8507A">
        <w:rPr>
          <w:rFonts w:ascii="Times New Roman" w:hAnsi="Times New Roman" w:cs="Times New Roman"/>
        </w:rPr>
        <w:t>The agreement of sale entered into and by the 1</w:t>
      </w:r>
      <w:r w:rsidRPr="00D8507A">
        <w:rPr>
          <w:rFonts w:ascii="Times New Roman" w:hAnsi="Times New Roman" w:cs="Times New Roman"/>
          <w:vertAlign w:val="superscript"/>
        </w:rPr>
        <w:t>st</w:t>
      </w:r>
      <w:r w:rsidRPr="00D8507A">
        <w:rPr>
          <w:rFonts w:ascii="Times New Roman" w:hAnsi="Times New Roman" w:cs="Times New Roman"/>
        </w:rPr>
        <w:t xml:space="preserve"> an 2</w:t>
      </w:r>
      <w:r w:rsidRPr="00D8507A">
        <w:rPr>
          <w:rFonts w:ascii="Times New Roman" w:hAnsi="Times New Roman" w:cs="Times New Roman"/>
          <w:vertAlign w:val="superscript"/>
        </w:rPr>
        <w:t>nd</w:t>
      </w:r>
      <w:r w:rsidR="000136FF">
        <w:rPr>
          <w:rFonts w:ascii="Times New Roman" w:hAnsi="Times New Roman" w:cs="Times New Roman"/>
        </w:rPr>
        <w:t xml:space="preserve"> respondent (sic)</w:t>
      </w:r>
      <w:r w:rsidRPr="00D8507A">
        <w:rPr>
          <w:rFonts w:ascii="Times New Roman" w:hAnsi="Times New Roman" w:cs="Times New Roman"/>
        </w:rPr>
        <w:t xml:space="preserve"> on or about 10 September, 2011 in relation to a certain piece of immovable property referred to in 1 above, should not be declared null and void and subsequently cancelled;</w:t>
      </w:r>
    </w:p>
    <w:p w:rsidR="00A51680" w:rsidRPr="00D8507A" w:rsidRDefault="00B5458F" w:rsidP="00D8507A">
      <w:pPr>
        <w:pStyle w:val="ListParagraph"/>
        <w:numPr>
          <w:ilvl w:val="0"/>
          <w:numId w:val="3"/>
        </w:numPr>
        <w:spacing w:after="0" w:line="240" w:lineRule="auto"/>
        <w:jc w:val="both"/>
        <w:rPr>
          <w:rFonts w:ascii="Times New Roman" w:hAnsi="Times New Roman" w:cs="Times New Roman"/>
        </w:rPr>
      </w:pPr>
      <w:r w:rsidRPr="00D8507A">
        <w:rPr>
          <w:rFonts w:ascii="Times New Roman" w:hAnsi="Times New Roman" w:cs="Times New Roman"/>
        </w:rPr>
        <w:t>The decision made by the 3</w:t>
      </w:r>
      <w:r w:rsidRPr="00D8507A">
        <w:rPr>
          <w:rFonts w:ascii="Times New Roman" w:hAnsi="Times New Roman" w:cs="Times New Roman"/>
          <w:vertAlign w:val="superscript"/>
        </w:rPr>
        <w:t>rd</w:t>
      </w:r>
      <w:r w:rsidRPr="00D8507A">
        <w:rPr>
          <w:rFonts w:ascii="Times New Roman" w:hAnsi="Times New Roman" w:cs="Times New Roman"/>
        </w:rPr>
        <w:t xml:space="preserve"> respondent of 20 October, 2011 cancelling the general plan CG</w:t>
      </w:r>
      <w:r w:rsidR="00A51680" w:rsidRPr="00D8507A">
        <w:rPr>
          <w:rFonts w:ascii="Times New Roman" w:hAnsi="Times New Roman" w:cs="Times New Roman"/>
        </w:rPr>
        <w:t xml:space="preserve"> 2836 should be declared null and void and, accordingly, set aside;</w:t>
      </w:r>
    </w:p>
    <w:p w:rsidR="00A51680" w:rsidRDefault="00A51680" w:rsidP="00D8507A">
      <w:pPr>
        <w:pStyle w:val="ListParagraph"/>
        <w:numPr>
          <w:ilvl w:val="0"/>
          <w:numId w:val="3"/>
        </w:numPr>
        <w:spacing w:after="0" w:line="240" w:lineRule="auto"/>
        <w:jc w:val="both"/>
        <w:rPr>
          <w:rFonts w:ascii="Times New Roman" w:hAnsi="Times New Roman" w:cs="Times New Roman"/>
        </w:rPr>
      </w:pPr>
      <w:r w:rsidRPr="00D8507A">
        <w:rPr>
          <w:rFonts w:ascii="Times New Roman" w:hAnsi="Times New Roman" w:cs="Times New Roman"/>
        </w:rPr>
        <w:t>4</w:t>
      </w:r>
      <w:r w:rsidRPr="00D8507A">
        <w:rPr>
          <w:rFonts w:ascii="Times New Roman" w:hAnsi="Times New Roman" w:cs="Times New Roman"/>
          <w:vertAlign w:val="superscript"/>
        </w:rPr>
        <w:t>th</w:t>
      </w:r>
      <w:r w:rsidRPr="00D8507A">
        <w:rPr>
          <w:rFonts w:ascii="Times New Roman" w:hAnsi="Times New Roman" w:cs="Times New Roman"/>
        </w:rPr>
        <w:t xml:space="preserve"> respondent be and is hereby prohibited from passing transfer and/or accepting , approving and/or authorizing any documents or papers passing transfer to any other person other than Applicant without the approval or authority of the Applicant”.</w:t>
      </w:r>
    </w:p>
    <w:p w:rsidR="00B478B7" w:rsidRPr="00D8507A" w:rsidRDefault="00B478B7" w:rsidP="00B478B7">
      <w:pPr>
        <w:pStyle w:val="ListParagraph"/>
        <w:spacing w:after="0" w:line="240" w:lineRule="auto"/>
        <w:jc w:val="both"/>
        <w:rPr>
          <w:rFonts w:ascii="Times New Roman" w:hAnsi="Times New Roman" w:cs="Times New Roman"/>
        </w:rPr>
      </w:pPr>
    </w:p>
    <w:p w:rsidR="00A51680" w:rsidRPr="009C7F85" w:rsidRDefault="00A51680" w:rsidP="00D065E9">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It is common cause that, on the return date, the final order which sought to reverse what Mutema J granted to Champion was neither granted nor dismissed. The final order was discharged. It was so discharged on 22 January, 2014.</w:t>
      </w:r>
    </w:p>
    <w:p w:rsidR="00004AD9" w:rsidRDefault="00F848FD" w:rsidP="00004AD9">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The discharge of the final order constitutes the applicant’s cause of action. It f</w:t>
      </w:r>
      <w:r w:rsidR="00192398">
        <w:rPr>
          <w:rFonts w:ascii="Times New Roman" w:hAnsi="Times New Roman" w:cs="Times New Roman"/>
          <w:sz w:val="24"/>
          <w:szCs w:val="24"/>
        </w:rPr>
        <w:t>iled this application under r</w:t>
      </w:r>
      <w:r w:rsidRPr="009C7F85">
        <w:rPr>
          <w:rFonts w:ascii="Times New Roman" w:hAnsi="Times New Roman" w:cs="Times New Roman"/>
          <w:sz w:val="24"/>
          <w:szCs w:val="24"/>
        </w:rPr>
        <w:t xml:space="preserve"> 449 of the repealed rules of court. It also applied for its joinder to HC 7398/11. Its cause is that HC7398/11 was erroneously sought and granted in its absence. It couched its draft order in the following terms:</w:t>
      </w:r>
    </w:p>
    <w:p w:rsidR="00F848FD" w:rsidRPr="00A22CD2" w:rsidRDefault="00F848FD" w:rsidP="00004AD9">
      <w:pPr>
        <w:spacing w:after="0" w:line="360" w:lineRule="auto"/>
        <w:jc w:val="both"/>
        <w:rPr>
          <w:rFonts w:ascii="Times New Roman" w:hAnsi="Times New Roman" w:cs="Times New Roman"/>
          <w:sz w:val="24"/>
          <w:szCs w:val="24"/>
        </w:rPr>
      </w:pPr>
      <w:r w:rsidRPr="00B478B7">
        <w:rPr>
          <w:rFonts w:ascii="Times New Roman" w:hAnsi="Times New Roman" w:cs="Times New Roman"/>
        </w:rPr>
        <w:t>“IT IS ORDERED THAT</w:t>
      </w:r>
    </w:p>
    <w:p w:rsidR="00F848FD" w:rsidRPr="00B478B7" w:rsidRDefault="00F848FD" w:rsidP="00B478B7">
      <w:pPr>
        <w:pStyle w:val="ListParagraph"/>
        <w:numPr>
          <w:ilvl w:val="0"/>
          <w:numId w:val="4"/>
        </w:numPr>
        <w:spacing w:after="0" w:line="240" w:lineRule="auto"/>
        <w:jc w:val="both"/>
        <w:rPr>
          <w:rFonts w:ascii="Times New Roman" w:hAnsi="Times New Roman" w:cs="Times New Roman"/>
        </w:rPr>
      </w:pPr>
      <w:r w:rsidRPr="00B478B7">
        <w:rPr>
          <w:rFonts w:ascii="Times New Roman" w:hAnsi="Times New Roman" w:cs="Times New Roman"/>
        </w:rPr>
        <w:t>The Order by default granted in case HC 7398/11 granted on 14 September, 2011 by the Honourable Justice Mutema is hereby rescinded;</w:t>
      </w:r>
    </w:p>
    <w:p w:rsidR="00F848FD" w:rsidRDefault="00F848FD" w:rsidP="00B478B7">
      <w:pPr>
        <w:pStyle w:val="ListParagraph"/>
        <w:numPr>
          <w:ilvl w:val="0"/>
          <w:numId w:val="4"/>
        </w:numPr>
        <w:spacing w:after="0" w:line="240" w:lineRule="auto"/>
        <w:jc w:val="both"/>
        <w:rPr>
          <w:rFonts w:ascii="Times New Roman" w:hAnsi="Times New Roman" w:cs="Times New Roman"/>
        </w:rPr>
      </w:pPr>
      <w:r w:rsidRPr="00B478B7">
        <w:rPr>
          <w:rFonts w:ascii="Times New Roman" w:hAnsi="Times New Roman" w:cs="Times New Roman"/>
        </w:rPr>
        <w:t>Leave is hereby granted for applicants and Milton Gardens Association/its members being joined as respondents in the said HC 7398/11 and for them to file their opposing papers within 10 court days of the issuance of this order by the registrar in a typed form”.</w:t>
      </w:r>
    </w:p>
    <w:p w:rsidR="00CA5305" w:rsidRPr="00B478B7" w:rsidRDefault="00CA5305" w:rsidP="00CA5305">
      <w:pPr>
        <w:pStyle w:val="ListParagraph"/>
        <w:spacing w:after="0" w:line="240" w:lineRule="auto"/>
        <w:jc w:val="both"/>
        <w:rPr>
          <w:rFonts w:ascii="Times New Roman" w:hAnsi="Times New Roman" w:cs="Times New Roman"/>
        </w:rPr>
      </w:pPr>
    </w:p>
    <w:p w:rsidR="00AB2454" w:rsidRDefault="00E16719" w:rsidP="00D065E9">
      <w:pPr>
        <w:spacing w:after="0" w:line="360" w:lineRule="auto"/>
        <w:ind w:firstLine="360"/>
        <w:jc w:val="both"/>
        <w:rPr>
          <w:rFonts w:ascii="Times New Roman" w:hAnsi="Times New Roman" w:cs="Times New Roman"/>
          <w:sz w:val="24"/>
          <w:szCs w:val="24"/>
        </w:rPr>
      </w:pPr>
      <w:r w:rsidRPr="009C7F85">
        <w:rPr>
          <w:rFonts w:ascii="Times New Roman" w:hAnsi="Times New Roman" w:cs="Times New Roman"/>
          <w:sz w:val="24"/>
          <w:szCs w:val="24"/>
        </w:rPr>
        <w:t>Tecla, it is observed, did not file any notice of opposition to the application for rescission of default judgment and joinder of the applicant to HC 7398/11. She chose to abide by my decision</w:t>
      </w:r>
      <w:r w:rsidR="000136FF">
        <w:rPr>
          <w:rFonts w:ascii="Times New Roman" w:hAnsi="Times New Roman" w:cs="Times New Roman"/>
          <w:sz w:val="24"/>
          <w:szCs w:val="24"/>
        </w:rPr>
        <w:t>.</w:t>
      </w:r>
      <w:r w:rsidRPr="009C7F85">
        <w:rPr>
          <w:rFonts w:ascii="Times New Roman" w:hAnsi="Times New Roman" w:cs="Times New Roman"/>
          <w:sz w:val="24"/>
          <w:szCs w:val="24"/>
        </w:rPr>
        <w:t xml:space="preserve"> </w:t>
      </w:r>
    </w:p>
    <w:p w:rsidR="00E16719" w:rsidRPr="009C7F85" w:rsidRDefault="00E16719" w:rsidP="00D065E9">
      <w:pPr>
        <w:spacing w:after="0" w:line="360" w:lineRule="auto"/>
        <w:ind w:firstLine="360"/>
        <w:jc w:val="both"/>
        <w:rPr>
          <w:rFonts w:ascii="Times New Roman" w:hAnsi="Times New Roman" w:cs="Times New Roman"/>
          <w:sz w:val="24"/>
          <w:szCs w:val="24"/>
        </w:rPr>
      </w:pPr>
      <w:r w:rsidRPr="009C7F85">
        <w:rPr>
          <w:rFonts w:ascii="Times New Roman" w:hAnsi="Times New Roman" w:cs="Times New Roman"/>
          <w:sz w:val="24"/>
          <w:szCs w:val="24"/>
        </w:rPr>
        <w:t xml:space="preserve">Champion mounted a stiff opposition to the two-in-one application. It raised a number of </w:t>
      </w:r>
      <w:r w:rsidRPr="00D065E9">
        <w:rPr>
          <w:rFonts w:ascii="Times New Roman" w:hAnsi="Times New Roman" w:cs="Times New Roman"/>
          <w:i/>
          <w:sz w:val="24"/>
          <w:szCs w:val="24"/>
        </w:rPr>
        <w:t>in limine</w:t>
      </w:r>
      <w:r w:rsidRPr="009C7F85">
        <w:rPr>
          <w:rFonts w:ascii="Times New Roman" w:hAnsi="Times New Roman" w:cs="Times New Roman"/>
          <w:sz w:val="24"/>
          <w:szCs w:val="24"/>
        </w:rPr>
        <w:t xml:space="preserve"> matters. It, however, abandoned the </w:t>
      </w:r>
      <w:r w:rsidR="00300939" w:rsidRPr="009C7F85">
        <w:rPr>
          <w:rFonts w:ascii="Times New Roman" w:hAnsi="Times New Roman" w:cs="Times New Roman"/>
          <w:sz w:val="24"/>
          <w:szCs w:val="24"/>
        </w:rPr>
        <w:t>rest and</w:t>
      </w:r>
      <w:r w:rsidRPr="009C7F85">
        <w:rPr>
          <w:rFonts w:ascii="Times New Roman" w:hAnsi="Times New Roman" w:cs="Times New Roman"/>
          <w:sz w:val="24"/>
          <w:szCs w:val="24"/>
        </w:rPr>
        <w:t xml:space="preserve"> rested its defence on </w:t>
      </w:r>
      <w:r w:rsidR="0000667D" w:rsidRPr="009C7F85">
        <w:rPr>
          <w:rFonts w:ascii="Times New Roman" w:hAnsi="Times New Roman" w:cs="Times New Roman"/>
          <w:sz w:val="24"/>
          <w:szCs w:val="24"/>
        </w:rPr>
        <w:t>only two of those. These are that the application is:</w:t>
      </w:r>
    </w:p>
    <w:p w:rsidR="0000667D" w:rsidRPr="009C7F85" w:rsidRDefault="00DF35A4" w:rsidP="00676FD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r</w:t>
      </w:r>
      <w:r w:rsidR="0000667D" w:rsidRPr="006823F1">
        <w:rPr>
          <w:rFonts w:ascii="Times New Roman" w:hAnsi="Times New Roman" w:cs="Times New Roman"/>
          <w:i/>
          <w:sz w:val="24"/>
          <w:szCs w:val="24"/>
        </w:rPr>
        <w:t>es judicata</w:t>
      </w:r>
      <w:r w:rsidR="00395136" w:rsidRPr="009C7F85">
        <w:rPr>
          <w:rFonts w:ascii="Times New Roman" w:hAnsi="Times New Roman" w:cs="Times New Roman"/>
          <w:sz w:val="24"/>
          <w:szCs w:val="24"/>
        </w:rPr>
        <w:t>-</w:t>
      </w:r>
      <w:r w:rsidR="0000667D" w:rsidRPr="009C7F85">
        <w:rPr>
          <w:rFonts w:ascii="Times New Roman" w:hAnsi="Times New Roman" w:cs="Times New Roman"/>
          <w:sz w:val="24"/>
          <w:szCs w:val="24"/>
        </w:rPr>
        <w:t xml:space="preserve"> and/or</w:t>
      </w:r>
    </w:p>
    <w:p w:rsidR="0000667D" w:rsidRPr="009C7F85" w:rsidRDefault="0045656B" w:rsidP="00676FD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00667D" w:rsidRPr="009C7F85">
        <w:rPr>
          <w:rFonts w:ascii="Times New Roman" w:hAnsi="Times New Roman" w:cs="Times New Roman"/>
          <w:sz w:val="24"/>
          <w:szCs w:val="24"/>
        </w:rPr>
        <w:t>rescribed in</w:t>
      </w:r>
      <w:r w:rsidR="0051276B">
        <w:rPr>
          <w:rFonts w:ascii="Times New Roman" w:hAnsi="Times New Roman" w:cs="Times New Roman"/>
          <w:sz w:val="24"/>
          <w:szCs w:val="24"/>
        </w:rPr>
        <w:t xml:space="preserve"> terms of the Prescription Act [</w:t>
      </w:r>
      <w:r w:rsidR="0000667D" w:rsidRPr="0051276B">
        <w:rPr>
          <w:rFonts w:ascii="Times New Roman" w:hAnsi="Times New Roman" w:cs="Times New Roman"/>
          <w:i/>
          <w:sz w:val="24"/>
          <w:szCs w:val="24"/>
        </w:rPr>
        <w:t>Chapter</w:t>
      </w:r>
      <w:r w:rsidR="00395136" w:rsidRPr="0051276B">
        <w:rPr>
          <w:rFonts w:ascii="Times New Roman" w:hAnsi="Times New Roman" w:cs="Times New Roman"/>
          <w:i/>
          <w:sz w:val="24"/>
          <w:szCs w:val="24"/>
        </w:rPr>
        <w:t xml:space="preserve"> 8:11</w:t>
      </w:r>
      <w:r w:rsidR="0051276B">
        <w:rPr>
          <w:rFonts w:ascii="Times New Roman" w:hAnsi="Times New Roman" w:cs="Times New Roman"/>
          <w:sz w:val="24"/>
          <w:szCs w:val="24"/>
        </w:rPr>
        <w:t>]</w:t>
      </w:r>
      <w:r w:rsidR="00395136" w:rsidRPr="009C7F85">
        <w:rPr>
          <w:rFonts w:ascii="Times New Roman" w:hAnsi="Times New Roman" w:cs="Times New Roman"/>
          <w:sz w:val="24"/>
          <w:szCs w:val="24"/>
        </w:rPr>
        <w:t>.</w:t>
      </w:r>
    </w:p>
    <w:p w:rsidR="00395136" w:rsidRPr="009C7F85" w:rsidRDefault="00395136" w:rsidP="0051276B">
      <w:pPr>
        <w:spacing w:after="0" w:line="360" w:lineRule="auto"/>
        <w:ind w:firstLine="360"/>
        <w:jc w:val="both"/>
        <w:rPr>
          <w:rFonts w:ascii="Times New Roman" w:hAnsi="Times New Roman" w:cs="Times New Roman"/>
          <w:sz w:val="24"/>
          <w:szCs w:val="24"/>
        </w:rPr>
      </w:pPr>
      <w:r w:rsidRPr="009C7F85">
        <w:rPr>
          <w:rFonts w:ascii="Times New Roman" w:hAnsi="Times New Roman" w:cs="Times New Roman"/>
          <w:sz w:val="24"/>
          <w:szCs w:val="24"/>
        </w:rPr>
        <w:t xml:space="preserve">The applicant’s assertion is to the contrary.  It insists that the application is not </w:t>
      </w:r>
      <w:r w:rsidRPr="00D009CA">
        <w:rPr>
          <w:rFonts w:ascii="Times New Roman" w:hAnsi="Times New Roman" w:cs="Times New Roman"/>
          <w:i/>
          <w:sz w:val="24"/>
          <w:szCs w:val="24"/>
        </w:rPr>
        <w:t>res judicata</w:t>
      </w:r>
      <w:r w:rsidRPr="009C7F85">
        <w:rPr>
          <w:rFonts w:ascii="Times New Roman" w:hAnsi="Times New Roman" w:cs="Times New Roman"/>
          <w:sz w:val="24"/>
          <w:szCs w:val="24"/>
        </w:rPr>
        <w:t>. It also asserts that the same has not prescribed.</w:t>
      </w:r>
    </w:p>
    <w:p w:rsidR="00395136" w:rsidRPr="009C7F85" w:rsidRDefault="00395136" w:rsidP="0051276B">
      <w:pPr>
        <w:spacing w:after="0" w:line="360" w:lineRule="auto"/>
        <w:ind w:firstLine="360"/>
        <w:jc w:val="both"/>
        <w:rPr>
          <w:rFonts w:ascii="Times New Roman" w:hAnsi="Times New Roman" w:cs="Times New Roman"/>
          <w:sz w:val="24"/>
          <w:szCs w:val="24"/>
        </w:rPr>
      </w:pPr>
      <w:r w:rsidRPr="009C7F85">
        <w:rPr>
          <w:rFonts w:ascii="Times New Roman" w:hAnsi="Times New Roman" w:cs="Times New Roman"/>
          <w:sz w:val="24"/>
          <w:szCs w:val="24"/>
        </w:rPr>
        <w:t>It is pe</w:t>
      </w:r>
      <w:r w:rsidR="009B49F4" w:rsidRPr="009C7F85">
        <w:rPr>
          <w:rFonts w:ascii="Times New Roman" w:hAnsi="Times New Roman" w:cs="Times New Roman"/>
          <w:sz w:val="24"/>
          <w:szCs w:val="24"/>
        </w:rPr>
        <w:t>rtinent for me to</w:t>
      </w:r>
      <w:r w:rsidRPr="009C7F85">
        <w:rPr>
          <w:rFonts w:ascii="Times New Roman" w:hAnsi="Times New Roman" w:cs="Times New Roman"/>
          <w:sz w:val="24"/>
          <w:szCs w:val="24"/>
        </w:rPr>
        <w:t xml:space="preserve"> consider the defences which Champ</w:t>
      </w:r>
      <w:r w:rsidR="009B49F4" w:rsidRPr="009C7F85">
        <w:rPr>
          <w:rFonts w:ascii="Times New Roman" w:hAnsi="Times New Roman" w:cs="Times New Roman"/>
          <w:sz w:val="24"/>
          <w:szCs w:val="24"/>
        </w:rPr>
        <w:t>ion is raising. These should be considered</w:t>
      </w:r>
      <w:r w:rsidRPr="009C7F85">
        <w:rPr>
          <w:rFonts w:ascii="Times New Roman" w:hAnsi="Times New Roman" w:cs="Times New Roman"/>
          <w:sz w:val="24"/>
          <w:szCs w:val="24"/>
        </w:rPr>
        <w:t xml:space="preserve"> in the context of the parties’ respective cases.</w:t>
      </w:r>
      <w:r w:rsidR="00CF11FD" w:rsidRPr="009C7F85">
        <w:rPr>
          <w:rFonts w:ascii="Times New Roman" w:hAnsi="Times New Roman" w:cs="Times New Roman"/>
          <w:sz w:val="24"/>
          <w:szCs w:val="24"/>
        </w:rPr>
        <w:t xml:space="preserve"> </w:t>
      </w:r>
      <w:r w:rsidR="00CF11FD" w:rsidRPr="002311D6">
        <w:rPr>
          <w:rFonts w:ascii="Times New Roman" w:hAnsi="Times New Roman" w:cs="Times New Roman"/>
          <w:i/>
          <w:sz w:val="24"/>
          <w:szCs w:val="24"/>
        </w:rPr>
        <w:t>Res judicata</w:t>
      </w:r>
      <w:r w:rsidR="00CF11FD" w:rsidRPr="009C7F85">
        <w:rPr>
          <w:rFonts w:ascii="Times New Roman" w:hAnsi="Times New Roman" w:cs="Times New Roman"/>
          <w:sz w:val="24"/>
          <w:szCs w:val="24"/>
        </w:rPr>
        <w:t>, for instance, is available to a defendant or respondent against whom the plaintiff or the applicant has filed a suit.</w:t>
      </w:r>
      <w:r w:rsidR="009B49F4" w:rsidRPr="009C7F85">
        <w:rPr>
          <w:rFonts w:ascii="Times New Roman" w:hAnsi="Times New Roman" w:cs="Times New Roman"/>
          <w:sz w:val="24"/>
          <w:szCs w:val="24"/>
        </w:rPr>
        <w:t xml:space="preserve"> </w:t>
      </w:r>
      <w:r w:rsidR="009B49F4" w:rsidRPr="00211FE6">
        <w:rPr>
          <w:rFonts w:ascii="Times New Roman" w:hAnsi="Times New Roman" w:cs="Times New Roman"/>
          <w:smallCaps/>
          <w:sz w:val="24"/>
          <w:szCs w:val="24"/>
        </w:rPr>
        <w:t>Gubbay JA</w:t>
      </w:r>
      <w:r w:rsidR="009B49F4" w:rsidRPr="00211FE6">
        <w:rPr>
          <w:rFonts w:ascii="Times New Roman" w:hAnsi="Times New Roman" w:cs="Times New Roman"/>
          <w:i/>
          <w:sz w:val="24"/>
          <w:szCs w:val="24"/>
        </w:rPr>
        <w:t xml:space="preserve"> </w:t>
      </w:r>
      <w:r w:rsidR="00983DBA" w:rsidRPr="00211FE6">
        <w:rPr>
          <w:rFonts w:ascii="Times New Roman" w:hAnsi="Times New Roman" w:cs="Times New Roman"/>
          <w:sz w:val="24"/>
          <w:szCs w:val="24"/>
        </w:rPr>
        <w:t>(as</w:t>
      </w:r>
      <w:r w:rsidR="009B49F4" w:rsidRPr="00211FE6">
        <w:rPr>
          <w:rFonts w:ascii="Times New Roman" w:hAnsi="Times New Roman" w:cs="Times New Roman"/>
          <w:i/>
          <w:sz w:val="24"/>
          <w:szCs w:val="24"/>
        </w:rPr>
        <w:t xml:space="preserve"> </w:t>
      </w:r>
      <w:r w:rsidR="009B49F4" w:rsidRPr="00211FE6">
        <w:rPr>
          <w:rFonts w:ascii="Times New Roman" w:hAnsi="Times New Roman" w:cs="Times New Roman"/>
          <w:sz w:val="24"/>
          <w:szCs w:val="24"/>
        </w:rPr>
        <w:t xml:space="preserve">he </w:t>
      </w:r>
      <w:r w:rsidR="009B49F4" w:rsidRPr="009C7F85">
        <w:rPr>
          <w:rFonts w:ascii="Times New Roman" w:hAnsi="Times New Roman" w:cs="Times New Roman"/>
          <w:sz w:val="24"/>
          <w:szCs w:val="24"/>
        </w:rPr>
        <w:t xml:space="preserve">then was) discussed the origin, meaning and import of the defence of </w:t>
      </w:r>
      <w:r w:rsidR="009B49F4" w:rsidRPr="00D009CA">
        <w:rPr>
          <w:rFonts w:ascii="Times New Roman" w:hAnsi="Times New Roman" w:cs="Times New Roman"/>
          <w:i/>
          <w:sz w:val="24"/>
          <w:szCs w:val="24"/>
        </w:rPr>
        <w:t>res judicata</w:t>
      </w:r>
      <w:r w:rsidR="009B49F4" w:rsidRPr="009C7F85">
        <w:rPr>
          <w:rFonts w:ascii="Times New Roman" w:hAnsi="Times New Roman" w:cs="Times New Roman"/>
          <w:sz w:val="24"/>
          <w:szCs w:val="24"/>
        </w:rPr>
        <w:t xml:space="preserve">. He did so in </w:t>
      </w:r>
      <w:r w:rsidR="009B49F4" w:rsidRPr="006823F1">
        <w:rPr>
          <w:rFonts w:ascii="Times New Roman" w:hAnsi="Times New Roman" w:cs="Times New Roman"/>
          <w:i/>
          <w:sz w:val="24"/>
          <w:szCs w:val="24"/>
        </w:rPr>
        <w:t xml:space="preserve">Wolfenden </w:t>
      </w:r>
      <w:r w:rsidR="009B49F4" w:rsidRPr="009C7F85">
        <w:rPr>
          <w:rFonts w:ascii="Times New Roman" w:hAnsi="Times New Roman" w:cs="Times New Roman"/>
          <w:sz w:val="24"/>
          <w:szCs w:val="24"/>
        </w:rPr>
        <w:t xml:space="preserve">v </w:t>
      </w:r>
      <w:r w:rsidR="009B49F4" w:rsidRPr="006823F1">
        <w:rPr>
          <w:rFonts w:ascii="Times New Roman" w:hAnsi="Times New Roman" w:cs="Times New Roman"/>
          <w:i/>
          <w:sz w:val="24"/>
          <w:szCs w:val="24"/>
        </w:rPr>
        <w:t>Jackson</w:t>
      </w:r>
      <w:r w:rsidR="009B49F4" w:rsidRPr="009C7F85">
        <w:rPr>
          <w:rFonts w:ascii="Times New Roman" w:hAnsi="Times New Roman" w:cs="Times New Roman"/>
          <w:sz w:val="24"/>
          <w:szCs w:val="24"/>
        </w:rPr>
        <w:t xml:space="preserve">, 1985 (2) ZLR 313 at 316 C-D wherein he remarked </w:t>
      </w:r>
      <w:r w:rsidR="0051276B" w:rsidRPr="009C7F85">
        <w:rPr>
          <w:rFonts w:ascii="Times New Roman" w:hAnsi="Times New Roman" w:cs="Times New Roman"/>
          <w:sz w:val="24"/>
          <w:szCs w:val="24"/>
        </w:rPr>
        <w:t>that:</w:t>
      </w:r>
    </w:p>
    <w:p w:rsidR="009B49F4" w:rsidRPr="00DF3F5B" w:rsidRDefault="009B49F4" w:rsidP="0054516C">
      <w:pPr>
        <w:spacing w:after="0" w:line="240" w:lineRule="auto"/>
        <w:ind w:left="720"/>
        <w:jc w:val="both"/>
        <w:rPr>
          <w:rFonts w:ascii="Times New Roman" w:hAnsi="Times New Roman" w:cs="Times New Roman"/>
        </w:rPr>
      </w:pPr>
      <w:r w:rsidRPr="00DF3F5B">
        <w:rPr>
          <w:rFonts w:ascii="Times New Roman" w:hAnsi="Times New Roman" w:cs="Times New Roman"/>
        </w:rPr>
        <w:t xml:space="preserve">“The exception </w:t>
      </w:r>
      <w:r w:rsidRPr="00192398">
        <w:rPr>
          <w:rFonts w:ascii="Times New Roman" w:hAnsi="Times New Roman" w:cs="Times New Roman"/>
          <w:i/>
        </w:rPr>
        <w:t>rei judicatae</w:t>
      </w:r>
      <w:r w:rsidRPr="00DF3F5B">
        <w:rPr>
          <w:rFonts w:ascii="Times New Roman" w:hAnsi="Times New Roman" w:cs="Times New Roman"/>
        </w:rPr>
        <w:t xml:space="preserve"> is based principally upon the public interest that there must be an end to litigation and that the authority vested in judicial decisions be given effect to even if erroneous…It is a form of estoppel and it means that where a final and definitive judgment is delivered by a competent court, the parties to that judgment or their privies (or in the case of a judgment in rem) are not permitted to dispute its correctness. The origin of the doctrine is to be found in the civil authorities who laid down two requirements for its successful invocation, namely that the proceedings relied upon must be between the same parties or their privies and that the same question, </w:t>
      </w:r>
      <w:r w:rsidRPr="000136FF">
        <w:rPr>
          <w:rFonts w:ascii="Times New Roman" w:hAnsi="Times New Roman" w:cs="Times New Roman"/>
          <w:i/>
        </w:rPr>
        <w:t>aedem quaestio</w:t>
      </w:r>
      <w:r w:rsidR="00CB6A06" w:rsidRPr="00DF3F5B">
        <w:rPr>
          <w:rFonts w:ascii="Times New Roman" w:hAnsi="Times New Roman" w:cs="Times New Roman"/>
        </w:rPr>
        <w:t>, must</w:t>
      </w:r>
      <w:r w:rsidRPr="00DF3F5B">
        <w:rPr>
          <w:rFonts w:ascii="Times New Roman" w:hAnsi="Times New Roman" w:cs="Times New Roman"/>
        </w:rPr>
        <w:t xml:space="preserve"> arise. Voet 44.2.3 says that there must also be the same cause of action”</w:t>
      </w:r>
    </w:p>
    <w:p w:rsidR="009B49F4" w:rsidRPr="009C7F85" w:rsidRDefault="009B49F4" w:rsidP="00676FD6">
      <w:pPr>
        <w:spacing w:after="0" w:line="360" w:lineRule="auto"/>
        <w:jc w:val="both"/>
        <w:rPr>
          <w:rFonts w:ascii="Times New Roman" w:hAnsi="Times New Roman" w:cs="Times New Roman"/>
          <w:sz w:val="24"/>
          <w:szCs w:val="24"/>
        </w:rPr>
      </w:pPr>
      <w:r w:rsidRPr="005F415F">
        <w:rPr>
          <w:rFonts w:ascii="Times New Roman" w:hAnsi="Times New Roman" w:cs="Times New Roman"/>
          <w:smallCaps/>
          <w:sz w:val="24"/>
          <w:szCs w:val="24"/>
        </w:rPr>
        <w:t>Chidyausiku C J</w:t>
      </w:r>
      <w:r w:rsidRPr="009C7F85">
        <w:rPr>
          <w:rFonts w:ascii="Times New Roman" w:hAnsi="Times New Roman" w:cs="Times New Roman"/>
          <w:sz w:val="24"/>
          <w:szCs w:val="24"/>
        </w:rPr>
        <w:t xml:space="preserve"> </w:t>
      </w:r>
      <w:r w:rsidR="00027CC5" w:rsidRPr="009C7F85">
        <w:rPr>
          <w:rFonts w:ascii="Times New Roman" w:hAnsi="Times New Roman" w:cs="Times New Roman"/>
          <w:sz w:val="24"/>
          <w:szCs w:val="24"/>
        </w:rPr>
        <w:t xml:space="preserve">re-emphasized the three elements for the plea of </w:t>
      </w:r>
      <w:r w:rsidR="00027CC5" w:rsidRPr="00781FCD">
        <w:rPr>
          <w:rFonts w:ascii="Times New Roman" w:hAnsi="Times New Roman" w:cs="Times New Roman"/>
          <w:i/>
          <w:sz w:val="24"/>
          <w:szCs w:val="24"/>
        </w:rPr>
        <w:t>res judicata</w:t>
      </w:r>
      <w:r w:rsidR="00027CC5" w:rsidRPr="009C7F85">
        <w:rPr>
          <w:rFonts w:ascii="Times New Roman" w:hAnsi="Times New Roman" w:cs="Times New Roman"/>
          <w:sz w:val="24"/>
          <w:szCs w:val="24"/>
        </w:rPr>
        <w:t xml:space="preserve"> to succeed. He did so in </w:t>
      </w:r>
      <w:r w:rsidR="00027CC5" w:rsidRPr="005F415F">
        <w:rPr>
          <w:rFonts w:ascii="Times New Roman" w:hAnsi="Times New Roman" w:cs="Times New Roman"/>
          <w:i/>
          <w:sz w:val="24"/>
          <w:szCs w:val="24"/>
        </w:rPr>
        <w:t>Flowerdale Investments (Pvt) Ltd</w:t>
      </w:r>
      <w:r w:rsidR="00027CC5" w:rsidRPr="009C7F85">
        <w:rPr>
          <w:rFonts w:ascii="Times New Roman" w:hAnsi="Times New Roman" w:cs="Times New Roman"/>
          <w:sz w:val="24"/>
          <w:szCs w:val="24"/>
        </w:rPr>
        <w:t xml:space="preserve"> v </w:t>
      </w:r>
      <w:r w:rsidR="00027CC5" w:rsidRPr="005F415F">
        <w:rPr>
          <w:rFonts w:ascii="Times New Roman" w:hAnsi="Times New Roman" w:cs="Times New Roman"/>
          <w:i/>
          <w:sz w:val="24"/>
          <w:szCs w:val="24"/>
        </w:rPr>
        <w:t>Bernard Construction (Pvt) Ltd</w:t>
      </w:r>
      <w:r w:rsidR="00027CC5" w:rsidRPr="009C7F85">
        <w:rPr>
          <w:rFonts w:ascii="Times New Roman" w:hAnsi="Times New Roman" w:cs="Times New Roman"/>
          <w:sz w:val="24"/>
          <w:szCs w:val="24"/>
        </w:rPr>
        <w:t>, 2009 (1) ZLR 110 (S) wherein he stated that:</w:t>
      </w:r>
    </w:p>
    <w:p w:rsidR="00027CC5" w:rsidRPr="001F2AF3" w:rsidRDefault="00074089" w:rsidP="000E111B">
      <w:pPr>
        <w:spacing w:after="0" w:line="240" w:lineRule="auto"/>
        <w:ind w:firstLine="720"/>
        <w:jc w:val="both"/>
        <w:rPr>
          <w:rFonts w:ascii="Times New Roman" w:hAnsi="Times New Roman" w:cs="Times New Roman"/>
        </w:rPr>
      </w:pPr>
      <w:r w:rsidRPr="001F2AF3">
        <w:rPr>
          <w:rFonts w:ascii="Times New Roman" w:hAnsi="Times New Roman" w:cs="Times New Roman"/>
        </w:rPr>
        <w:t>“The</w:t>
      </w:r>
      <w:r w:rsidR="00027CC5" w:rsidRPr="001F2AF3">
        <w:rPr>
          <w:rFonts w:ascii="Times New Roman" w:hAnsi="Times New Roman" w:cs="Times New Roman"/>
        </w:rPr>
        <w:t xml:space="preserve"> essential elements of </w:t>
      </w:r>
      <w:r w:rsidR="00027CC5" w:rsidRPr="00781FCD">
        <w:rPr>
          <w:rFonts w:ascii="Times New Roman" w:hAnsi="Times New Roman" w:cs="Times New Roman"/>
          <w:i/>
        </w:rPr>
        <w:t>res judicata</w:t>
      </w:r>
      <w:r w:rsidR="00027CC5" w:rsidRPr="001F2AF3">
        <w:rPr>
          <w:rFonts w:ascii="Times New Roman" w:hAnsi="Times New Roman" w:cs="Times New Roman"/>
        </w:rPr>
        <w:t xml:space="preserve"> are that the two actions must:</w:t>
      </w:r>
    </w:p>
    <w:p w:rsidR="00027CC5" w:rsidRPr="001F2AF3" w:rsidRDefault="00027CC5" w:rsidP="00B478B7">
      <w:pPr>
        <w:pStyle w:val="ListParagraph"/>
        <w:numPr>
          <w:ilvl w:val="0"/>
          <w:numId w:val="6"/>
        </w:numPr>
        <w:spacing w:after="0" w:line="240" w:lineRule="auto"/>
        <w:jc w:val="both"/>
        <w:rPr>
          <w:rFonts w:ascii="Times New Roman" w:hAnsi="Times New Roman" w:cs="Times New Roman"/>
        </w:rPr>
      </w:pPr>
      <w:r w:rsidRPr="001F2AF3">
        <w:rPr>
          <w:rFonts w:ascii="Times New Roman" w:hAnsi="Times New Roman" w:cs="Times New Roman"/>
        </w:rPr>
        <w:t xml:space="preserve"> be between the same parties;</w:t>
      </w:r>
    </w:p>
    <w:p w:rsidR="00027CC5" w:rsidRPr="001F2AF3" w:rsidRDefault="00027CC5" w:rsidP="00B478B7">
      <w:pPr>
        <w:pStyle w:val="ListParagraph"/>
        <w:numPr>
          <w:ilvl w:val="0"/>
          <w:numId w:val="6"/>
        </w:numPr>
        <w:spacing w:after="0" w:line="240" w:lineRule="auto"/>
        <w:jc w:val="both"/>
        <w:rPr>
          <w:rFonts w:ascii="Times New Roman" w:hAnsi="Times New Roman" w:cs="Times New Roman"/>
        </w:rPr>
      </w:pPr>
      <w:r w:rsidRPr="001F2AF3">
        <w:rPr>
          <w:rFonts w:ascii="Times New Roman" w:hAnsi="Times New Roman" w:cs="Times New Roman"/>
        </w:rPr>
        <w:t xml:space="preserve"> concern the same subject –matter- and</w:t>
      </w:r>
    </w:p>
    <w:p w:rsidR="00027CC5" w:rsidRPr="001F2AF3" w:rsidRDefault="00027CC5" w:rsidP="00B478B7">
      <w:pPr>
        <w:pStyle w:val="ListParagraph"/>
        <w:numPr>
          <w:ilvl w:val="0"/>
          <w:numId w:val="6"/>
        </w:numPr>
        <w:spacing w:after="0" w:line="240" w:lineRule="auto"/>
        <w:jc w:val="both"/>
        <w:rPr>
          <w:rFonts w:ascii="Times New Roman" w:hAnsi="Times New Roman" w:cs="Times New Roman"/>
        </w:rPr>
      </w:pPr>
      <w:r w:rsidRPr="001F2AF3">
        <w:rPr>
          <w:rFonts w:ascii="Times New Roman" w:hAnsi="Times New Roman" w:cs="Times New Roman"/>
        </w:rPr>
        <w:t xml:space="preserve"> be founded on the same cause of action.”</w:t>
      </w:r>
    </w:p>
    <w:p w:rsidR="00027CC5" w:rsidRPr="009C7F85" w:rsidRDefault="00027CC5" w:rsidP="00D065E9">
      <w:pPr>
        <w:spacing w:after="0" w:line="360" w:lineRule="auto"/>
        <w:ind w:firstLine="360"/>
        <w:jc w:val="both"/>
        <w:rPr>
          <w:rFonts w:ascii="Times New Roman" w:hAnsi="Times New Roman" w:cs="Times New Roman"/>
          <w:sz w:val="24"/>
          <w:szCs w:val="24"/>
        </w:rPr>
      </w:pPr>
      <w:r w:rsidRPr="009C7F85">
        <w:rPr>
          <w:rFonts w:ascii="Times New Roman" w:hAnsi="Times New Roman" w:cs="Times New Roman"/>
          <w:sz w:val="24"/>
          <w:szCs w:val="24"/>
        </w:rPr>
        <w:t>A cause of action, it is mentioned in passing, is a combination of facts that are material for the plaintiff to prove in order to succeed in his suit</w:t>
      </w:r>
      <w:r w:rsidRPr="00CD76F9">
        <w:rPr>
          <w:rFonts w:ascii="Times New Roman" w:hAnsi="Times New Roman" w:cs="Times New Roman"/>
          <w:i/>
          <w:sz w:val="24"/>
          <w:szCs w:val="24"/>
        </w:rPr>
        <w:t>: Mahahlera</w:t>
      </w:r>
      <w:r w:rsidRPr="009C7F85">
        <w:rPr>
          <w:rFonts w:ascii="Times New Roman" w:hAnsi="Times New Roman" w:cs="Times New Roman"/>
          <w:sz w:val="24"/>
          <w:szCs w:val="24"/>
        </w:rPr>
        <w:t xml:space="preserve"> v </w:t>
      </w:r>
      <w:r w:rsidRPr="00CD76F9">
        <w:rPr>
          <w:rFonts w:ascii="Times New Roman" w:hAnsi="Times New Roman" w:cs="Times New Roman"/>
          <w:i/>
          <w:sz w:val="24"/>
          <w:szCs w:val="24"/>
        </w:rPr>
        <w:t>Clerk of Parliament &amp; Anor</w:t>
      </w:r>
      <w:r w:rsidRPr="009C7F85">
        <w:rPr>
          <w:rFonts w:ascii="Times New Roman" w:hAnsi="Times New Roman" w:cs="Times New Roman"/>
          <w:sz w:val="24"/>
          <w:szCs w:val="24"/>
        </w:rPr>
        <w:t>, HH 107/07.</w:t>
      </w:r>
    </w:p>
    <w:p w:rsidR="00D065E9" w:rsidRDefault="00027CC5" w:rsidP="00D065E9">
      <w:pPr>
        <w:spacing w:after="0" w:line="360" w:lineRule="auto"/>
        <w:ind w:firstLine="360"/>
        <w:jc w:val="both"/>
        <w:rPr>
          <w:rFonts w:ascii="Times New Roman" w:hAnsi="Times New Roman" w:cs="Times New Roman"/>
          <w:sz w:val="24"/>
          <w:szCs w:val="24"/>
        </w:rPr>
      </w:pPr>
      <w:r w:rsidRPr="009C7F85">
        <w:rPr>
          <w:rFonts w:ascii="Times New Roman" w:hAnsi="Times New Roman" w:cs="Times New Roman"/>
          <w:sz w:val="24"/>
          <w:szCs w:val="24"/>
        </w:rPr>
        <w:t xml:space="preserve">The applicant’s cause of action, as it stated it in HC 10716/11, was/is not in any material respect dis-similar from what it averred in this application. Its aim and object, in the interim relief, was to place </w:t>
      </w:r>
      <w:r w:rsidR="006377A2" w:rsidRPr="009C7F85">
        <w:rPr>
          <w:rFonts w:ascii="Times New Roman" w:hAnsi="Times New Roman" w:cs="Times New Roman"/>
          <w:sz w:val="24"/>
          <w:szCs w:val="24"/>
        </w:rPr>
        <w:t>the implementation of HC 7398/11 at a stand-still position pending the return date. The interim interdict which it successfully moved the court to grant to it when its application was heard speaks to the stated fact. Its aim and object in the final order was to reverse the entire decision which the court granted in Champion’s favour under HC 7398/11. It, in effect, moved that</w:t>
      </w:r>
    </w:p>
    <w:p w:rsidR="00027CC5" w:rsidRPr="009C7F85" w:rsidRDefault="006377A2" w:rsidP="00134134">
      <w:pPr>
        <w:spacing w:after="0" w:line="360" w:lineRule="auto"/>
        <w:jc w:val="both"/>
        <w:rPr>
          <w:rFonts w:ascii="Times New Roman" w:hAnsi="Times New Roman" w:cs="Times New Roman"/>
          <w:sz w:val="24"/>
          <w:szCs w:val="24"/>
        </w:rPr>
      </w:pPr>
      <w:r w:rsidRPr="009C7F85">
        <w:rPr>
          <w:rFonts w:ascii="Times New Roman" w:hAnsi="Times New Roman" w:cs="Times New Roman"/>
          <w:sz w:val="24"/>
          <w:szCs w:val="24"/>
        </w:rPr>
        <w:t xml:space="preserve"> HC</w:t>
      </w:r>
      <w:r w:rsidR="00D065E9">
        <w:rPr>
          <w:rFonts w:ascii="Times New Roman" w:hAnsi="Times New Roman" w:cs="Times New Roman"/>
          <w:sz w:val="24"/>
          <w:szCs w:val="24"/>
        </w:rPr>
        <w:t xml:space="preserve"> </w:t>
      </w:r>
      <w:r w:rsidRPr="009C7F85">
        <w:rPr>
          <w:rFonts w:ascii="Times New Roman" w:hAnsi="Times New Roman" w:cs="Times New Roman"/>
          <w:sz w:val="24"/>
          <w:szCs w:val="24"/>
        </w:rPr>
        <w:t xml:space="preserve">7398/11 be </w:t>
      </w:r>
      <w:r w:rsidR="00C51A76" w:rsidRPr="009C7F85">
        <w:rPr>
          <w:rFonts w:ascii="Times New Roman" w:hAnsi="Times New Roman" w:cs="Times New Roman"/>
          <w:sz w:val="24"/>
          <w:szCs w:val="24"/>
        </w:rPr>
        <w:t>rescinded and</w:t>
      </w:r>
      <w:r w:rsidRPr="009C7F85">
        <w:rPr>
          <w:rFonts w:ascii="Times New Roman" w:hAnsi="Times New Roman" w:cs="Times New Roman"/>
          <w:sz w:val="24"/>
          <w:szCs w:val="24"/>
        </w:rPr>
        <w:t xml:space="preserve">, with its rescission, the returning of the parties in the case to the status </w:t>
      </w:r>
      <w:r w:rsidRPr="00134134">
        <w:rPr>
          <w:rFonts w:ascii="Times New Roman" w:hAnsi="Times New Roman" w:cs="Times New Roman"/>
          <w:i/>
          <w:sz w:val="24"/>
          <w:szCs w:val="24"/>
        </w:rPr>
        <w:t>quo ante</w:t>
      </w:r>
      <w:r w:rsidRPr="009C7F85">
        <w:rPr>
          <w:rFonts w:ascii="Times New Roman" w:hAnsi="Times New Roman" w:cs="Times New Roman"/>
          <w:sz w:val="24"/>
          <w:szCs w:val="24"/>
        </w:rPr>
        <w:t xml:space="preserve"> the issuance of HC</w:t>
      </w:r>
      <w:r w:rsidR="00B478B7">
        <w:rPr>
          <w:rFonts w:ascii="Times New Roman" w:hAnsi="Times New Roman" w:cs="Times New Roman"/>
          <w:sz w:val="24"/>
          <w:szCs w:val="24"/>
        </w:rPr>
        <w:t xml:space="preserve"> </w:t>
      </w:r>
      <w:r w:rsidRPr="009C7F85">
        <w:rPr>
          <w:rFonts w:ascii="Times New Roman" w:hAnsi="Times New Roman" w:cs="Times New Roman"/>
          <w:sz w:val="24"/>
          <w:szCs w:val="24"/>
        </w:rPr>
        <w:t>7398/11.</w:t>
      </w:r>
      <w:r w:rsidR="009E0459" w:rsidRPr="009C7F85">
        <w:rPr>
          <w:rFonts w:ascii="Times New Roman" w:hAnsi="Times New Roman" w:cs="Times New Roman"/>
          <w:sz w:val="24"/>
          <w:szCs w:val="24"/>
        </w:rPr>
        <w:t xml:space="preserve"> It predicated its application for its joinder to the </w:t>
      </w:r>
      <w:r w:rsidR="009E0459" w:rsidRPr="009C7F85">
        <w:rPr>
          <w:rFonts w:ascii="Times New Roman" w:hAnsi="Times New Roman" w:cs="Times New Roman"/>
          <w:sz w:val="24"/>
          <w:szCs w:val="24"/>
        </w:rPr>
        <w:lastRenderedPageBreak/>
        <w:t xml:space="preserve">rescission of HC 7398/11. It could not move for its joinder where, as </w:t>
      </w:r>
      <w:r w:rsidR="009E0459" w:rsidRPr="00CD76F9">
        <w:rPr>
          <w:rFonts w:ascii="Times New Roman" w:hAnsi="Times New Roman" w:cs="Times New Roman"/>
          <w:i/>
          <w:sz w:val="24"/>
          <w:szCs w:val="24"/>
        </w:rPr>
        <w:t>in casu</w:t>
      </w:r>
      <w:r w:rsidR="009E0459" w:rsidRPr="009C7F85">
        <w:rPr>
          <w:rFonts w:ascii="Times New Roman" w:hAnsi="Times New Roman" w:cs="Times New Roman"/>
          <w:sz w:val="24"/>
          <w:szCs w:val="24"/>
        </w:rPr>
        <w:t xml:space="preserve">, rescission of HC 7398/11 did not take place. Without rescission, joinder of the applicant to HC 7398/11 remained a pipe dream. It was a non-starter or an impossibility, </w:t>
      </w:r>
      <w:r w:rsidR="00B9173F">
        <w:rPr>
          <w:rFonts w:ascii="Times New Roman" w:hAnsi="Times New Roman" w:cs="Times New Roman"/>
          <w:sz w:val="24"/>
          <w:szCs w:val="24"/>
        </w:rPr>
        <w:t>if a comparison may be favoured.</w:t>
      </w:r>
    </w:p>
    <w:p w:rsidR="009E0459" w:rsidRPr="009C7F85" w:rsidRDefault="009E0459" w:rsidP="00B9173F">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The judgment o</w:t>
      </w:r>
      <w:r w:rsidR="00CA5305">
        <w:rPr>
          <w:rFonts w:ascii="Times New Roman" w:hAnsi="Times New Roman" w:cs="Times New Roman"/>
          <w:sz w:val="24"/>
          <w:szCs w:val="24"/>
        </w:rPr>
        <w:t>f</w:t>
      </w:r>
      <w:r w:rsidR="00192398">
        <w:rPr>
          <w:rFonts w:ascii="Times New Roman" w:hAnsi="Times New Roman" w:cs="Times New Roman"/>
          <w:sz w:val="24"/>
          <w:szCs w:val="24"/>
        </w:rPr>
        <w:t xml:space="preserve"> </w:t>
      </w:r>
      <w:r w:rsidR="00CA5305">
        <w:rPr>
          <w:rFonts w:ascii="Times New Roman" w:hAnsi="Times New Roman" w:cs="Times New Roman"/>
          <w:sz w:val="24"/>
          <w:szCs w:val="24"/>
        </w:rPr>
        <w:t xml:space="preserve"> </w:t>
      </w:r>
      <w:r w:rsidR="00C51A76" w:rsidRPr="00C51A76">
        <w:rPr>
          <w:rFonts w:ascii="Times New Roman" w:hAnsi="Times New Roman" w:cs="Times New Roman"/>
          <w:smallCaps/>
          <w:sz w:val="24"/>
          <w:szCs w:val="24"/>
        </w:rPr>
        <w:t>mtshiya j</w:t>
      </w:r>
      <w:r w:rsidR="00CA5305">
        <w:rPr>
          <w:rFonts w:ascii="Times New Roman" w:hAnsi="Times New Roman" w:cs="Times New Roman"/>
          <w:sz w:val="24"/>
          <w:szCs w:val="24"/>
        </w:rPr>
        <w:t xml:space="preserve"> is at p</w:t>
      </w:r>
      <w:r w:rsidRPr="009C7F85">
        <w:rPr>
          <w:rFonts w:ascii="Times New Roman" w:hAnsi="Times New Roman" w:cs="Times New Roman"/>
          <w:sz w:val="24"/>
          <w:szCs w:val="24"/>
        </w:rPr>
        <w:t xml:space="preserve"> 31 of the record. The parties, as cited in the judgment, are more or less the same as are cited in this application. Both applications- HC 10716/11 and the current one, HC 1236/</w:t>
      </w:r>
      <w:r w:rsidR="00F1768B" w:rsidRPr="009C7F85">
        <w:rPr>
          <w:rFonts w:ascii="Times New Roman" w:hAnsi="Times New Roman" w:cs="Times New Roman"/>
          <w:sz w:val="24"/>
          <w:szCs w:val="24"/>
        </w:rPr>
        <w:t>15- relate to the same subject-matter namely rescission of HC 7398/11. The applicant alleges, in both cases, that its membership was adversely affected by HC 7398/11, whic</w:t>
      </w:r>
      <w:r w:rsidR="003434A1">
        <w:rPr>
          <w:rFonts w:ascii="Times New Roman" w:hAnsi="Times New Roman" w:cs="Times New Roman"/>
          <w:sz w:val="24"/>
          <w:szCs w:val="24"/>
        </w:rPr>
        <w:t>h was decided in its absence</w:t>
      </w:r>
      <w:r w:rsidR="00B9173F">
        <w:rPr>
          <w:rFonts w:ascii="Times New Roman" w:hAnsi="Times New Roman" w:cs="Times New Roman"/>
          <w:sz w:val="24"/>
          <w:szCs w:val="24"/>
        </w:rPr>
        <w:t>. It insists</w:t>
      </w:r>
      <w:r w:rsidR="003434A1">
        <w:rPr>
          <w:rFonts w:ascii="Times New Roman" w:hAnsi="Times New Roman" w:cs="Times New Roman"/>
          <w:sz w:val="24"/>
          <w:szCs w:val="24"/>
        </w:rPr>
        <w:t xml:space="preserve"> that</w:t>
      </w:r>
      <w:r w:rsidR="00F1768B" w:rsidRPr="009C7F85">
        <w:rPr>
          <w:rFonts w:ascii="Times New Roman" w:hAnsi="Times New Roman" w:cs="Times New Roman"/>
          <w:sz w:val="24"/>
          <w:szCs w:val="24"/>
        </w:rPr>
        <w:t xml:space="preserve"> HC 7398/11 must therefore be rescinded so that it is accorded the opportunity to defend itself </w:t>
      </w:r>
      <w:r w:rsidR="00F1768B" w:rsidRPr="00B9173F">
        <w:rPr>
          <w:rFonts w:ascii="Times New Roman" w:hAnsi="Times New Roman" w:cs="Times New Roman"/>
          <w:i/>
          <w:sz w:val="24"/>
          <w:szCs w:val="24"/>
        </w:rPr>
        <w:t>vis-à-vis</w:t>
      </w:r>
      <w:r w:rsidR="00F1768B" w:rsidRPr="009C7F85">
        <w:rPr>
          <w:rFonts w:ascii="Times New Roman" w:hAnsi="Times New Roman" w:cs="Times New Roman"/>
          <w:sz w:val="24"/>
          <w:szCs w:val="24"/>
        </w:rPr>
        <w:t xml:space="preserve"> its members’ occupation of the property. </w:t>
      </w:r>
    </w:p>
    <w:p w:rsidR="003434A1" w:rsidRDefault="00B40F94" w:rsidP="0029463E">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 xml:space="preserve">Champion’s plea of </w:t>
      </w:r>
      <w:r w:rsidRPr="00781FCD">
        <w:rPr>
          <w:rFonts w:ascii="Times New Roman" w:hAnsi="Times New Roman" w:cs="Times New Roman"/>
          <w:i/>
          <w:sz w:val="24"/>
          <w:szCs w:val="24"/>
        </w:rPr>
        <w:t xml:space="preserve">res judicata </w:t>
      </w:r>
      <w:r w:rsidRPr="009C7F85">
        <w:rPr>
          <w:rFonts w:ascii="Times New Roman" w:hAnsi="Times New Roman" w:cs="Times New Roman"/>
          <w:sz w:val="24"/>
          <w:szCs w:val="24"/>
        </w:rPr>
        <w:t xml:space="preserve">cannot therefore be said to be without merit. It is with merit. This </w:t>
      </w:r>
      <w:r w:rsidR="00607FBE">
        <w:rPr>
          <w:rFonts w:ascii="Times New Roman" w:hAnsi="Times New Roman" w:cs="Times New Roman"/>
          <w:sz w:val="24"/>
          <w:szCs w:val="24"/>
        </w:rPr>
        <w:t xml:space="preserve">is </w:t>
      </w:r>
      <w:r w:rsidRPr="009C7F85">
        <w:rPr>
          <w:rFonts w:ascii="Times New Roman" w:hAnsi="Times New Roman" w:cs="Times New Roman"/>
          <w:sz w:val="24"/>
          <w:szCs w:val="24"/>
        </w:rPr>
        <w:t xml:space="preserve">a </w:t>
      </w:r>
      <w:r w:rsidRPr="00780DB3">
        <w:rPr>
          <w:rFonts w:ascii="Times New Roman" w:hAnsi="Times New Roman" w:cs="Times New Roman"/>
          <w:i/>
          <w:sz w:val="24"/>
          <w:szCs w:val="24"/>
        </w:rPr>
        <w:t>fortiori</w:t>
      </w:r>
      <w:r w:rsidRPr="009C7F85">
        <w:rPr>
          <w:rFonts w:ascii="Times New Roman" w:hAnsi="Times New Roman" w:cs="Times New Roman"/>
          <w:sz w:val="24"/>
          <w:szCs w:val="24"/>
        </w:rPr>
        <w:t xml:space="preserve"> the case given the fact that the final order wh</w:t>
      </w:r>
      <w:r w:rsidR="003434A1">
        <w:rPr>
          <w:rFonts w:ascii="Times New Roman" w:hAnsi="Times New Roman" w:cs="Times New Roman"/>
          <w:sz w:val="24"/>
          <w:szCs w:val="24"/>
        </w:rPr>
        <w:t>ich the applicant sought carries</w:t>
      </w:r>
      <w:r w:rsidRPr="009C7F85">
        <w:rPr>
          <w:rFonts w:ascii="Times New Roman" w:hAnsi="Times New Roman" w:cs="Times New Roman"/>
          <w:sz w:val="24"/>
          <w:szCs w:val="24"/>
        </w:rPr>
        <w:t xml:space="preserve"> in its substance</w:t>
      </w:r>
      <w:r w:rsidR="00607FBE">
        <w:rPr>
          <w:rFonts w:ascii="Times New Roman" w:hAnsi="Times New Roman" w:cs="Times New Roman"/>
          <w:sz w:val="24"/>
          <w:szCs w:val="24"/>
        </w:rPr>
        <w:t xml:space="preserve"> the</w:t>
      </w:r>
      <w:r w:rsidR="00BC1309">
        <w:rPr>
          <w:rFonts w:ascii="Times New Roman" w:hAnsi="Times New Roman" w:cs="Times New Roman"/>
          <w:sz w:val="24"/>
          <w:szCs w:val="24"/>
        </w:rPr>
        <w:t xml:space="preserve"> issue of</w:t>
      </w:r>
      <w:r w:rsidRPr="009C7F85">
        <w:rPr>
          <w:rFonts w:ascii="Times New Roman" w:hAnsi="Times New Roman" w:cs="Times New Roman"/>
          <w:sz w:val="24"/>
          <w:szCs w:val="24"/>
        </w:rPr>
        <w:t xml:space="preserve"> rescission of HC 7398/11 which, unfortunately for the applicant, did not come to be. </w:t>
      </w:r>
    </w:p>
    <w:p w:rsidR="00B40F94" w:rsidRPr="009C7F85" w:rsidRDefault="003434A1" w:rsidP="0067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0F94" w:rsidRPr="009C7F85">
        <w:rPr>
          <w:rFonts w:ascii="Times New Roman" w:hAnsi="Times New Roman" w:cs="Times New Roman"/>
          <w:sz w:val="24"/>
          <w:szCs w:val="24"/>
        </w:rPr>
        <w:t xml:space="preserve">Mr </w:t>
      </w:r>
      <w:r w:rsidR="00B40F94" w:rsidRPr="00875DC0">
        <w:rPr>
          <w:rFonts w:ascii="Times New Roman" w:hAnsi="Times New Roman" w:cs="Times New Roman"/>
          <w:i/>
          <w:sz w:val="24"/>
          <w:szCs w:val="24"/>
        </w:rPr>
        <w:t>Zhuwarara’</w:t>
      </w:r>
      <w:r w:rsidR="00B40F94" w:rsidRPr="00875DC0">
        <w:rPr>
          <w:rFonts w:ascii="Times New Roman" w:hAnsi="Times New Roman" w:cs="Times New Roman"/>
          <w:sz w:val="24"/>
          <w:szCs w:val="24"/>
        </w:rPr>
        <w:t>s</w:t>
      </w:r>
      <w:r w:rsidR="00B40F94" w:rsidRPr="009C7F85">
        <w:rPr>
          <w:rFonts w:ascii="Times New Roman" w:hAnsi="Times New Roman" w:cs="Times New Roman"/>
          <w:sz w:val="24"/>
          <w:szCs w:val="24"/>
        </w:rPr>
        <w:t xml:space="preserve"> argument which seeks to distinquish confirmation which the applicant sought in HC 10716/11 from rescission which it is seeking </w:t>
      </w:r>
      <w:r w:rsidR="00B40F94" w:rsidRPr="003434A1">
        <w:rPr>
          <w:rFonts w:ascii="Times New Roman" w:hAnsi="Times New Roman" w:cs="Times New Roman"/>
          <w:i/>
          <w:sz w:val="24"/>
          <w:szCs w:val="24"/>
        </w:rPr>
        <w:t>in casu</w:t>
      </w:r>
      <w:r w:rsidR="00B40F94" w:rsidRPr="009C7F85">
        <w:rPr>
          <w:rFonts w:ascii="Times New Roman" w:hAnsi="Times New Roman" w:cs="Times New Roman"/>
          <w:sz w:val="24"/>
          <w:szCs w:val="24"/>
        </w:rPr>
        <w:t xml:space="preserve"> is misplaced. He knows</w:t>
      </w:r>
      <w:r w:rsidR="00312713">
        <w:rPr>
          <w:rFonts w:ascii="Times New Roman" w:hAnsi="Times New Roman" w:cs="Times New Roman"/>
          <w:sz w:val="24"/>
          <w:szCs w:val="24"/>
        </w:rPr>
        <w:t>,</w:t>
      </w:r>
      <w:r w:rsidR="00B40F94" w:rsidRPr="009C7F85">
        <w:rPr>
          <w:rFonts w:ascii="Times New Roman" w:hAnsi="Times New Roman" w:cs="Times New Roman"/>
          <w:sz w:val="24"/>
          <w:szCs w:val="24"/>
        </w:rPr>
        <w:t xml:space="preserve"> as much as anyone does</w:t>
      </w:r>
      <w:r w:rsidR="00312713">
        <w:rPr>
          <w:rFonts w:ascii="Times New Roman" w:hAnsi="Times New Roman" w:cs="Times New Roman"/>
          <w:sz w:val="24"/>
          <w:szCs w:val="24"/>
        </w:rPr>
        <w:t>,</w:t>
      </w:r>
      <w:r w:rsidR="00B40F94" w:rsidRPr="009C7F85">
        <w:rPr>
          <w:rFonts w:ascii="Times New Roman" w:hAnsi="Times New Roman" w:cs="Times New Roman"/>
          <w:sz w:val="24"/>
          <w:szCs w:val="24"/>
        </w:rPr>
        <w:t xml:space="preserve"> that, if confirmation had been granted by </w:t>
      </w:r>
      <w:r w:rsidR="00B40F94" w:rsidRPr="00C51A76">
        <w:rPr>
          <w:rFonts w:ascii="Times New Roman" w:hAnsi="Times New Roman" w:cs="Times New Roman"/>
          <w:smallCaps/>
          <w:sz w:val="24"/>
          <w:szCs w:val="24"/>
        </w:rPr>
        <w:t>Mtshiya J</w:t>
      </w:r>
      <w:r w:rsidR="00B40F94" w:rsidRPr="009C7F85">
        <w:rPr>
          <w:rFonts w:ascii="Times New Roman" w:hAnsi="Times New Roman" w:cs="Times New Roman"/>
          <w:sz w:val="24"/>
          <w:szCs w:val="24"/>
        </w:rPr>
        <w:t>, its effect was to rescind HC 7398/11. He cannot therefore suggest, as he is doing, that the causes of the two applications are different. They are not.</w:t>
      </w:r>
      <w:r w:rsidR="00982380" w:rsidRPr="009C7F85">
        <w:rPr>
          <w:rFonts w:ascii="Times New Roman" w:hAnsi="Times New Roman" w:cs="Times New Roman"/>
          <w:sz w:val="24"/>
          <w:szCs w:val="24"/>
        </w:rPr>
        <w:t xml:space="preserve"> The end-result of both applications is the same, namely rescission of HC 7398/11.</w:t>
      </w:r>
    </w:p>
    <w:p w:rsidR="00355AD0" w:rsidRPr="009C7F85" w:rsidRDefault="00C51A76" w:rsidP="00D065E9">
      <w:pPr>
        <w:spacing w:after="0" w:line="360" w:lineRule="auto"/>
        <w:ind w:firstLine="720"/>
        <w:jc w:val="both"/>
        <w:rPr>
          <w:rFonts w:ascii="Times New Roman" w:hAnsi="Times New Roman" w:cs="Times New Roman"/>
          <w:sz w:val="24"/>
          <w:szCs w:val="24"/>
        </w:rPr>
      </w:pPr>
      <w:r w:rsidRPr="00C51A76">
        <w:rPr>
          <w:rFonts w:ascii="Times New Roman" w:hAnsi="Times New Roman" w:cs="Times New Roman"/>
          <w:smallCaps/>
          <w:sz w:val="24"/>
          <w:szCs w:val="24"/>
        </w:rPr>
        <w:t>mtshiya j</w:t>
      </w:r>
      <w:r w:rsidR="00355AD0" w:rsidRPr="009C7F85">
        <w:rPr>
          <w:rFonts w:ascii="Times New Roman" w:hAnsi="Times New Roman" w:cs="Times New Roman"/>
          <w:sz w:val="24"/>
          <w:szCs w:val="24"/>
        </w:rPr>
        <w:t xml:space="preserve"> dealt with the parties’ submissions on the return date. HC 10716/11 had been filed through the urgent chamber book. Because of the stated fact, </w:t>
      </w:r>
      <w:r w:rsidRPr="00C51A76">
        <w:rPr>
          <w:rFonts w:ascii="Times New Roman" w:hAnsi="Times New Roman" w:cs="Times New Roman"/>
          <w:smallCaps/>
          <w:sz w:val="24"/>
          <w:szCs w:val="24"/>
        </w:rPr>
        <w:t>mtshiya j</w:t>
      </w:r>
      <w:r w:rsidR="00355AD0" w:rsidRPr="009C7F85">
        <w:rPr>
          <w:rFonts w:ascii="Times New Roman" w:hAnsi="Times New Roman" w:cs="Times New Roman"/>
          <w:sz w:val="24"/>
          <w:szCs w:val="24"/>
        </w:rPr>
        <w:t xml:space="preserve"> could neither grant nor dismiss the application. The rules of</w:t>
      </w:r>
      <w:r w:rsidR="00312713">
        <w:rPr>
          <w:rFonts w:ascii="Times New Roman" w:hAnsi="Times New Roman" w:cs="Times New Roman"/>
          <w:sz w:val="24"/>
          <w:szCs w:val="24"/>
        </w:rPr>
        <w:t xml:space="preserve"> practice and</w:t>
      </w:r>
      <w:r w:rsidR="00355AD0" w:rsidRPr="009C7F85">
        <w:rPr>
          <w:rFonts w:ascii="Times New Roman" w:hAnsi="Times New Roman" w:cs="Times New Roman"/>
          <w:sz w:val="24"/>
          <w:szCs w:val="24"/>
        </w:rPr>
        <w:t xml:space="preserve"> procedure did not allow him to adopt the one or the other course of action. That course remained closed to him. What was open to him, based on the nature of the application which he was then dealing with, was to either confirm or discharge the provisional order. Confirmation of the provisional order is, in line with the parlance of court procedure, synonymous with granting the application. Discharge, on the other hand, was/is synonymous with dismissal of the provisional order.</w:t>
      </w:r>
    </w:p>
    <w:p w:rsidR="00355AD0" w:rsidRPr="009C7F85" w:rsidRDefault="00355AD0" w:rsidP="00C71986">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Because the issue of rescission of HC 7398/11 was heard and discharged (ie. dismissed) , the applicant cannot re-visit the same matter in this application. It cannot do so without violating the</w:t>
      </w:r>
      <w:r w:rsidR="00C328BD" w:rsidRPr="009C7F85">
        <w:rPr>
          <w:rFonts w:ascii="Times New Roman" w:hAnsi="Times New Roman" w:cs="Times New Roman"/>
          <w:sz w:val="24"/>
          <w:szCs w:val="24"/>
        </w:rPr>
        <w:t xml:space="preserve"> principle of </w:t>
      </w:r>
      <w:r w:rsidR="00C328BD" w:rsidRPr="00781FCD">
        <w:rPr>
          <w:rFonts w:ascii="Times New Roman" w:hAnsi="Times New Roman" w:cs="Times New Roman"/>
          <w:i/>
          <w:sz w:val="24"/>
          <w:szCs w:val="24"/>
        </w:rPr>
        <w:t>res judicata</w:t>
      </w:r>
      <w:r w:rsidR="00C328BD" w:rsidRPr="009C7F85">
        <w:rPr>
          <w:rFonts w:ascii="Times New Roman" w:hAnsi="Times New Roman" w:cs="Times New Roman"/>
          <w:sz w:val="24"/>
          <w:szCs w:val="24"/>
        </w:rPr>
        <w:t xml:space="preserve">. The judgment which </w:t>
      </w:r>
      <w:r w:rsidR="00C51A76" w:rsidRPr="00C51A76">
        <w:rPr>
          <w:rFonts w:ascii="Times New Roman" w:hAnsi="Times New Roman" w:cs="Times New Roman"/>
          <w:smallCaps/>
          <w:sz w:val="24"/>
          <w:szCs w:val="24"/>
        </w:rPr>
        <w:t>mtshiya j</w:t>
      </w:r>
      <w:r w:rsidR="00C328BD" w:rsidRPr="009C7F85">
        <w:rPr>
          <w:rFonts w:ascii="Times New Roman" w:hAnsi="Times New Roman" w:cs="Times New Roman"/>
          <w:sz w:val="24"/>
          <w:szCs w:val="24"/>
        </w:rPr>
        <w:t xml:space="preserve"> delivered is, in the words which the </w:t>
      </w:r>
      <w:r w:rsidR="00C328BD" w:rsidRPr="009C7F85">
        <w:rPr>
          <w:rFonts w:ascii="Times New Roman" w:hAnsi="Times New Roman" w:cs="Times New Roman"/>
          <w:sz w:val="24"/>
          <w:szCs w:val="24"/>
        </w:rPr>
        <w:lastRenderedPageBreak/>
        <w:t xml:space="preserve">court enunciated in </w:t>
      </w:r>
      <w:r w:rsidR="00C328BD" w:rsidRPr="00C51A76">
        <w:rPr>
          <w:rFonts w:ascii="Times New Roman" w:hAnsi="Times New Roman" w:cs="Times New Roman"/>
          <w:i/>
          <w:sz w:val="24"/>
          <w:szCs w:val="24"/>
        </w:rPr>
        <w:t xml:space="preserve">Wolfenden </w:t>
      </w:r>
      <w:r w:rsidR="00C328BD" w:rsidRPr="00C51A76">
        <w:rPr>
          <w:rFonts w:ascii="Times New Roman" w:hAnsi="Times New Roman" w:cs="Times New Roman"/>
          <w:sz w:val="24"/>
          <w:szCs w:val="24"/>
        </w:rPr>
        <w:t>v</w:t>
      </w:r>
      <w:r w:rsidR="00C328BD" w:rsidRPr="00C51A76">
        <w:rPr>
          <w:rFonts w:ascii="Times New Roman" w:hAnsi="Times New Roman" w:cs="Times New Roman"/>
          <w:i/>
          <w:sz w:val="24"/>
          <w:szCs w:val="24"/>
        </w:rPr>
        <w:t xml:space="preserve"> Jackson</w:t>
      </w:r>
      <w:r w:rsidR="00C328BD" w:rsidRPr="009C7F85">
        <w:rPr>
          <w:rFonts w:ascii="Times New Roman" w:hAnsi="Times New Roman" w:cs="Times New Roman"/>
          <w:sz w:val="24"/>
          <w:szCs w:val="24"/>
        </w:rPr>
        <w:t xml:space="preserve">, a final and definitive judgment. It is neither provisional nor interlocutory. It, in fact, discharged the provisional order which the court entered in the applicant’s favour </w:t>
      </w:r>
      <w:r w:rsidR="00883F99">
        <w:rPr>
          <w:rFonts w:ascii="Times New Roman" w:hAnsi="Times New Roman" w:cs="Times New Roman"/>
          <w:sz w:val="24"/>
          <w:szCs w:val="24"/>
        </w:rPr>
        <w:t xml:space="preserve"> </w:t>
      </w:r>
      <w:r w:rsidR="00C328BD" w:rsidRPr="009C7F85">
        <w:rPr>
          <w:rFonts w:ascii="Times New Roman" w:hAnsi="Times New Roman" w:cs="Times New Roman"/>
          <w:sz w:val="24"/>
          <w:szCs w:val="24"/>
        </w:rPr>
        <w:t xml:space="preserve"> prior to its consideration of the final order.</w:t>
      </w:r>
      <w:r w:rsidR="007861C0" w:rsidRPr="009C7F85">
        <w:rPr>
          <w:rFonts w:ascii="Times New Roman" w:hAnsi="Times New Roman" w:cs="Times New Roman"/>
          <w:sz w:val="24"/>
          <w:szCs w:val="24"/>
        </w:rPr>
        <w:t xml:space="preserve">   </w:t>
      </w:r>
    </w:p>
    <w:p w:rsidR="007861C0" w:rsidRPr="009C7F85" w:rsidRDefault="007861C0" w:rsidP="0029463E">
      <w:pPr>
        <w:spacing w:after="0" w:line="24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Champion’s second line of defence is that of prescription. It alleges that the applicant’s right to rescind the default judgment has prescribed. The defence falls under the law of prescription.  This is provided for in the Pres</w:t>
      </w:r>
      <w:r w:rsidR="00B478B7">
        <w:rPr>
          <w:rFonts w:ascii="Times New Roman" w:hAnsi="Times New Roman" w:cs="Times New Roman"/>
          <w:sz w:val="24"/>
          <w:szCs w:val="24"/>
        </w:rPr>
        <w:t>cription Act, [</w:t>
      </w:r>
      <w:r w:rsidRPr="00B478B7">
        <w:rPr>
          <w:rFonts w:ascii="Times New Roman" w:hAnsi="Times New Roman" w:cs="Times New Roman"/>
          <w:i/>
        </w:rPr>
        <w:t>Chapter 8:11</w:t>
      </w:r>
      <w:r w:rsidR="00B478B7">
        <w:rPr>
          <w:rFonts w:ascii="Times New Roman" w:hAnsi="Times New Roman" w:cs="Times New Roman"/>
          <w:sz w:val="24"/>
          <w:szCs w:val="24"/>
        </w:rPr>
        <w:t xml:space="preserve">] </w:t>
      </w:r>
      <w:r w:rsidRPr="009C7F85">
        <w:rPr>
          <w:rFonts w:ascii="Times New Roman" w:hAnsi="Times New Roman" w:cs="Times New Roman"/>
          <w:sz w:val="24"/>
          <w:szCs w:val="24"/>
        </w:rPr>
        <w:t>(“the Act”). The Act provides for extinction of debts by prescription. It defines the word ‘debt’ to include anything which may be sued for or claimed by reason of an obligation arising from statute, contract, delict or otherwise. Section 15 of the Act makes provision for periods of prescription of debts. The debt which is under consideration in this application fall</w:t>
      </w:r>
      <w:r w:rsidR="00883F99">
        <w:rPr>
          <w:rFonts w:ascii="Times New Roman" w:hAnsi="Times New Roman" w:cs="Times New Roman"/>
          <w:sz w:val="24"/>
          <w:szCs w:val="24"/>
        </w:rPr>
        <w:t>s under paragraph (d) of s</w:t>
      </w:r>
      <w:r w:rsidRPr="009C7F85">
        <w:rPr>
          <w:rFonts w:ascii="Times New Roman" w:hAnsi="Times New Roman" w:cs="Times New Roman"/>
          <w:sz w:val="24"/>
          <w:szCs w:val="24"/>
        </w:rPr>
        <w:t xml:space="preserve"> 15 of the Act. The paragraph enjoins the applicant to rescind the default judgment within three years of its knowledge of the judgment. If it fails to do so, as it did </w:t>
      </w:r>
      <w:r w:rsidRPr="00875DC0">
        <w:rPr>
          <w:rFonts w:ascii="Times New Roman" w:hAnsi="Times New Roman" w:cs="Times New Roman"/>
          <w:i/>
          <w:sz w:val="24"/>
          <w:szCs w:val="24"/>
        </w:rPr>
        <w:t>in casu,</w:t>
      </w:r>
      <w:r w:rsidRPr="009C7F85">
        <w:rPr>
          <w:rFonts w:ascii="Times New Roman" w:hAnsi="Times New Roman" w:cs="Times New Roman"/>
          <w:sz w:val="24"/>
          <w:szCs w:val="24"/>
        </w:rPr>
        <w:t xml:space="preserve"> its right to rescind outside the permitted three-year period</w:t>
      </w:r>
      <w:r w:rsidR="000C3376" w:rsidRPr="009C7F85">
        <w:rPr>
          <w:rFonts w:ascii="Times New Roman" w:hAnsi="Times New Roman" w:cs="Times New Roman"/>
          <w:sz w:val="24"/>
          <w:szCs w:val="24"/>
        </w:rPr>
        <w:t xml:space="preserve"> becomes prescribed. Extinctive prescription, as it is often termed, disenables it to sue for rescission. Prescription, as provided for in section 16(1) of the Act commences to run as soon as the debt is due. A debt shall be deemed to be due, according to section 16 (3), when the creditor, </w:t>
      </w:r>
      <w:r w:rsidR="000C3376" w:rsidRPr="00875DC0">
        <w:rPr>
          <w:rFonts w:ascii="Times New Roman" w:hAnsi="Times New Roman" w:cs="Times New Roman"/>
          <w:i/>
          <w:sz w:val="24"/>
          <w:szCs w:val="24"/>
        </w:rPr>
        <w:t>in casu</w:t>
      </w:r>
      <w:r w:rsidR="000C3376" w:rsidRPr="009C7F85">
        <w:rPr>
          <w:rFonts w:ascii="Times New Roman" w:hAnsi="Times New Roman" w:cs="Times New Roman"/>
          <w:sz w:val="24"/>
          <w:szCs w:val="24"/>
        </w:rPr>
        <w:t xml:space="preserve"> the applicant, becomes aware of the identity of the debtor (ie Champion &amp; Others) and of the facts from which the debt arises (its cause of action).</w:t>
      </w:r>
    </w:p>
    <w:p w:rsidR="006B7FC7" w:rsidRPr="009C7F85" w:rsidRDefault="003434A1" w:rsidP="0067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7FC7" w:rsidRPr="009C7F85">
        <w:rPr>
          <w:rFonts w:ascii="Times New Roman" w:hAnsi="Times New Roman" w:cs="Times New Roman"/>
          <w:sz w:val="24"/>
          <w:szCs w:val="24"/>
        </w:rPr>
        <w:t>In raising the defence of prescription, Champion received the same on a platter from the appli</w:t>
      </w:r>
      <w:r w:rsidR="0029463E">
        <w:rPr>
          <w:rFonts w:ascii="Times New Roman" w:hAnsi="Times New Roman" w:cs="Times New Roman"/>
          <w:sz w:val="24"/>
          <w:szCs w:val="24"/>
        </w:rPr>
        <w:t xml:space="preserve">cant. Counsel for the respondent </w:t>
      </w:r>
      <w:r w:rsidR="006B7FC7" w:rsidRPr="009C7F85">
        <w:rPr>
          <w:rFonts w:ascii="Times New Roman" w:hAnsi="Times New Roman" w:cs="Times New Roman"/>
          <w:sz w:val="24"/>
          <w:szCs w:val="24"/>
        </w:rPr>
        <w:t>referred me to what t</w:t>
      </w:r>
      <w:r w:rsidR="00C71986">
        <w:rPr>
          <w:rFonts w:ascii="Times New Roman" w:hAnsi="Times New Roman" w:cs="Times New Roman"/>
          <w:sz w:val="24"/>
          <w:szCs w:val="24"/>
        </w:rPr>
        <w:t xml:space="preserve">he applicant stated in </w:t>
      </w:r>
      <w:r w:rsidR="00D062C9">
        <w:rPr>
          <w:rFonts w:ascii="Times New Roman" w:hAnsi="Times New Roman" w:cs="Times New Roman"/>
          <w:sz w:val="24"/>
          <w:szCs w:val="24"/>
        </w:rPr>
        <w:t xml:space="preserve">para </w:t>
      </w:r>
      <w:r w:rsidR="00D062C9" w:rsidRPr="009C7F85">
        <w:rPr>
          <w:rFonts w:ascii="Times New Roman" w:hAnsi="Times New Roman" w:cs="Times New Roman"/>
          <w:sz w:val="24"/>
          <w:szCs w:val="24"/>
        </w:rPr>
        <w:t>19</w:t>
      </w:r>
      <w:r w:rsidR="00DC2F39">
        <w:rPr>
          <w:rFonts w:ascii="Times New Roman" w:hAnsi="Times New Roman" w:cs="Times New Roman"/>
          <w:sz w:val="24"/>
          <w:szCs w:val="24"/>
        </w:rPr>
        <w:t xml:space="preserve"> p</w:t>
      </w:r>
      <w:r w:rsidR="006B7FC7" w:rsidRPr="009C7F85">
        <w:rPr>
          <w:rFonts w:ascii="Times New Roman" w:hAnsi="Times New Roman" w:cs="Times New Roman"/>
          <w:sz w:val="24"/>
          <w:szCs w:val="24"/>
        </w:rPr>
        <w:t xml:space="preserve"> 120 of its answering affidavit. It stated in the same as follows:</w:t>
      </w:r>
    </w:p>
    <w:p w:rsidR="006B7FC7" w:rsidRDefault="006B7FC7" w:rsidP="00B478B7">
      <w:pPr>
        <w:spacing w:after="0" w:line="240" w:lineRule="auto"/>
        <w:ind w:left="720"/>
        <w:jc w:val="both"/>
        <w:rPr>
          <w:rFonts w:ascii="Times New Roman" w:hAnsi="Times New Roman" w:cs="Times New Roman"/>
        </w:rPr>
      </w:pPr>
      <w:r w:rsidRPr="00B478B7">
        <w:rPr>
          <w:rFonts w:ascii="Times New Roman" w:hAnsi="Times New Roman" w:cs="Times New Roman"/>
        </w:rPr>
        <w:t>“ 19. With respect, the time that elapsed to 11 February, 2015 when we filed this application is 3 years and 5 months. Applicant’s members, including myself, are not legally trained people and we relied on our legal practitioners to do what was right for us”.</w:t>
      </w:r>
    </w:p>
    <w:p w:rsidR="00181935" w:rsidRPr="00B478B7" w:rsidRDefault="00181935" w:rsidP="00B478B7">
      <w:pPr>
        <w:spacing w:after="0" w:line="240" w:lineRule="auto"/>
        <w:ind w:left="720"/>
        <w:jc w:val="both"/>
        <w:rPr>
          <w:rFonts w:ascii="Times New Roman" w:hAnsi="Times New Roman" w:cs="Times New Roman"/>
        </w:rPr>
      </w:pPr>
    </w:p>
    <w:p w:rsidR="006B7FC7" w:rsidRPr="009C7F85" w:rsidRDefault="006B7FC7" w:rsidP="009F1879">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 xml:space="preserve">The statement of the applicant, as quoted in the foregoing paragraph, falls into the </w:t>
      </w:r>
      <w:r w:rsidRPr="00024586">
        <w:rPr>
          <w:rFonts w:ascii="Times New Roman" w:hAnsi="Times New Roman" w:cs="Times New Roman"/>
          <w:i/>
          <w:sz w:val="24"/>
          <w:szCs w:val="24"/>
        </w:rPr>
        <w:t>res ipso</w:t>
      </w:r>
      <w:r w:rsidRPr="009C7F85">
        <w:rPr>
          <w:rFonts w:ascii="Times New Roman" w:hAnsi="Times New Roman" w:cs="Times New Roman"/>
          <w:sz w:val="24"/>
          <w:szCs w:val="24"/>
        </w:rPr>
        <w:t xml:space="preserve"> </w:t>
      </w:r>
      <w:r w:rsidRPr="00322BC2">
        <w:rPr>
          <w:rFonts w:ascii="Times New Roman" w:hAnsi="Times New Roman" w:cs="Times New Roman"/>
          <w:i/>
          <w:sz w:val="24"/>
          <w:szCs w:val="24"/>
        </w:rPr>
        <w:t>loquitor</w:t>
      </w:r>
      <w:r w:rsidRPr="009C7F85">
        <w:rPr>
          <w:rFonts w:ascii="Times New Roman" w:hAnsi="Times New Roman" w:cs="Times New Roman"/>
          <w:sz w:val="24"/>
          <w:szCs w:val="24"/>
        </w:rPr>
        <w:t xml:space="preserve"> principle which speaks for itself to a point where no further debate of it remains necessary. </w:t>
      </w:r>
      <w:r w:rsidR="00171C42" w:rsidRPr="009C7F85">
        <w:rPr>
          <w:rFonts w:ascii="Times New Roman" w:hAnsi="Times New Roman" w:cs="Times New Roman"/>
          <w:sz w:val="24"/>
          <w:szCs w:val="24"/>
        </w:rPr>
        <w:t xml:space="preserve">It is my view that Mr </w:t>
      </w:r>
      <w:r w:rsidR="00171C42" w:rsidRPr="00C51A76">
        <w:rPr>
          <w:rFonts w:ascii="Times New Roman" w:hAnsi="Times New Roman" w:cs="Times New Roman"/>
          <w:i/>
          <w:sz w:val="24"/>
          <w:szCs w:val="24"/>
        </w:rPr>
        <w:t>Zhuwarara</w:t>
      </w:r>
      <w:r w:rsidR="00171C42" w:rsidRPr="009C7F85">
        <w:rPr>
          <w:rFonts w:ascii="Times New Roman" w:hAnsi="Times New Roman" w:cs="Times New Roman"/>
          <w:sz w:val="24"/>
          <w:szCs w:val="24"/>
        </w:rPr>
        <w:t xml:space="preserve">, for the applicant, found himself in this very embarrassing situation and he, therefore, decided not to refer to what his clients had stated under oath. He, accordingly, alleged fraud which he claimed to have existed between Tecla and Champion. His well-made statement was that fraud unravels everything. He submitted that, if the order of 14 September, 2011 was built upon fraud, nothing could stand on the default order. He argued that a litigant, the applicant </w:t>
      </w:r>
      <w:r w:rsidR="00171C42" w:rsidRPr="00875DC0">
        <w:rPr>
          <w:rFonts w:ascii="Times New Roman" w:hAnsi="Times New Roman" w:cs="Times New Roman"/>
          <w:i/>
          <w:sz w:val="24"/>
          <w:szCs w:val="24"/>
        </w:rPr>
        <w:t>in casu</w:t>
      </w:r>
      <w:r w:rsidR="00171C42" w:rsidRPr="009C7F85">
        <w:rPr>
          <w:rFonts w:ascii="Times New Roman" w:hAnsi="Times New Roman" w:cs="Times New Roman"/>
          <w:sz w:val="24"/>
          <w:szCs w:val="24"/>
        </w:rPr>
        <w:t xml:space="preserve">, does not lose the right to approach the court if processes have been fraudulently procured. The court, he submitted, can </w:t>
      </w:r>
      <w:r w:rsidR="00171C42" w:rsidRPr="00E25B74">
        <w:rPr>
          <w:rFonts w:ascii="Times New Roman" w:hAnsi="Times New Roman" w:cs="Times New Roman"/>
          <w:i/>
          <w:sz w:val="24"/>
          <w:szCs w:val="24"/>
        </w:rPr>
        <w:t>mero motu</w:t>
      </w:r>
      <w:r w:rsidR="00171C42" w:rsidRPr="009C7F85">
        <w:rPr>
          <w:rFonts w:ascii="Times New Roman" w:hAnsi="Times New Roman" w:cs="Times New Roman"/>
          <w:sz w:val="24"/>
          <w:szCs w:val="24"/>
        </w:rPr>
        <w:t xml:space="preserve"> rescind to ascertain if fraud was employed. He moved me to direct the application to proceed to the merits. He insisted that, because the original plea of prescription was between Max and Tecla, Max and not Champion should have raised the plea of prescription.</w:t>
      </w:r>
    </w:p>
    <w:p w:rsidR="00511B3C" w:rsidRPr="009C7F85" w:rsidRDefault="00511B3C" w:rsidP="003A10FF">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lastRenderedPageBreak/>
        <w:t xml:space="preserve">Mr </w:t>
      </w:r>
      <w:r w:rsidRPr="00C51A76">
        <w:rPr>
          <w:rFonts w:ascii="Times New Roman" w:hAnsi="Times New Roman" w:cs="Times New Roman"/>
          <w:i/>
          <w:sz w:val="24"/>
          <w:szCs w:val="24"/>
        </w:rPr>
        <w:t>Zhuwarara</w:t>
      </w:r>
      <w:r w:rsidR="0029463E">
        <w:rPr>
          <w:rFonts w:ascii="Times New Roman" w:hAnsi="Times New Roman" w:cs="Times New Roman"/>
          <w:sz w:val="24"/>
          <w:szCs w:val="24"/>
        </w:rPr>
        <w:t xml:space="preserve"> did what </w:t>
      </w:r>
      <w:r w:rsidR="00F000F4">
        <w:rPr>
          <w:rFonts w:ascii="Times New Roman" w:hAnsi="Times New Roman" w:cs="Times New Roman"/>
          <w:sz w:val="24"/>
          <w:szCs w:val="24"/>
        </w:rPr>
        <w:t xml:space="preserve">any </w:t>
      </w:r>
      <w:r w:rsidR="00F000F4" w:rsidRPr="009C7F85">
        <w:rPr>
          <w:rFonts w:ascii="Times New Roman" w:hAnsi="Times New Roman" w:cs="Times New Roman"/>
          <w:sz w:val="24"/>
          <w:szCs w:val="24"/>
        </w:rPr>
        <w:t>smart</w:t>
      </w:r>
      <w:r w:rsidRPr="009C7F85">
        <w:rPr>
          <w:rFonts w:ascii="Times New Roman" w:hAnsi="Times New Roman" w:cs="Times New Roman"/>
          <w:sz w:val="24"/>
          <w:szCs w:val="24"/>
        </w:rPr>
        <w:t xml:space="preserve"> legal practitioner would have done. He did not assert that Tecla and Champion committed fraud in the manner that HC 7398/11 was entered against Tecla and others. He </w:t>
      </w:r>
      <w:r w:rsidR="00D062C9" w:rsidRPr="009C7F85">
        <w:rPr>
          <w:rFonts w:ascii="Times New Roman" w:hAnsi="Times New Roman" w:cs="Times New Roman"/>
          <w:sz w:val="24"/>
          <w:szCs w:val="24"/>
        </w:rPr>
        <w:t>predicted</w:t>
      </w:r>
      <w:r w:rsidRPr="009C7F85">
        <w:rPr>
          <w:rFonts w:ascii="Times New Roman" w:hAnsi="Times New Roman" w:cs="Times New Roman"/>
          <w:sz w:val="24"/>
          <w:szCs w:val="24"/>
        </w:rPr>
        <w:t xml:space="preserve"> his submissions by the word ‘</w:t>
      </w:r>
      <w:r w:rsidRPr="0029463E">
        <w:rPr>
          <w:rFonts w:ascii="Times New Roman" w:hAnsi="Times New Roman" w:cs="Times New Roman"/>
          <w:i/>
          <w:sz w:val="24"/>
          <w:szCs w:val="24"/>
        </w:rPr>
        <w:t>if’…then</w:t>
      </w:r>
      <w:r w:rsidR="00BE0A07">
        <w:rPr>
          <w:rFonts w:ascii="Times New Roman" w:hAnsi="Times New Roman" w:cs="Times New Roman"/>
          <w:sz w:val="24"/>
          <w:szCs w:val="24"/>
        </w:rPr>
        <w:t>”</w:t>
      </w:r>
      <w:r w:rsidRPr="009C7F85">
        <w:rPr>
          <w:rFonts w:ascii="Times New Roman" w:hAnsi="Times New Roman" w:cs="Times New Roman"/>
          <w:sz w:val="24"/>
          <w:szCs w:val="24"/>
        </w:rPr>
        <w:t>.</w:t>
      </w:r>
      <w:r w:rsidR="005D2997" w:rsidRPr="009C7F85">
        <w:rPr>
          <w:rFonts w:ascii="Times New Roman" w:hAnsi="Times New Roman" w:cs="Times New Roman"/>
          <w:sz w:val="24"/>
          <w:szCs w:val="24"/>
        </w:rPr>
        <w:t xml:space="preserve"> The reality of the matter is that no fraud was committed by either Tecla or Champion or both. Champion whom the applicant referred to the court of the magistrate for prosecution was acquitted of the charge of fraud. Its hands were observed to have been clean. This renders Mr </w:t>
      </w:r>
      <w:r w:rsidR="005D2997" w:rsidRPr="00C51A76">
        <w:rPr>
          <w:rFonts w:ascii="Times New Roman" w:hAnsi="Times New Roman" w:cs="Times New Roman"/>
          <w:i/>
          <w:sz w:val="24"/>
          <w:szCs w:val="24"/>
        </w:rPr>
        <w:t>Zhuwarara</w:t>
      </w:r>
      <w:r w:rsidR="005D2997" w:rsidRPr="009C7F85">
        <w:rPr>
          <w:rFonts w:ascii="Times New Roman" w:hAnsi="Times New Roman" w:cs="Times New Roman"/>
          <w:sz w:val="24"/>
          <w:szCs w:val="24"/>
        </w:rPr>
        <w:t>’s argument on fraud to be without merit.</w:t>
      </w:r>
    </w:p>
    <w:p w:rsidR="005D2997" w:rsidRPr="009C7F85" w:rsidRDefault="005D2997" w:rsidP="00DB40B9">
      <w:pPr>
        <w:spacing w:after="0" w:line="360" w:lineRule="auto"/>
        <w:ind w:firstLine="720"/>
        <w:rPr>
          <w:rFonts w:ascii="Times New Roman" w:hAnsi="Times New Roman" w:cs="Times New Roman"/>
          <w:sz w:val="24"/>
          <w:szCs w:val="24"/>
        </w:rPr>
      </w:pPr>
      <w:r w:rsidRPr="009C7F85">
        <w:rPr>
          <w:rFonts w:ascii="Times New Roman" w:hAnsi="Times New Roman" w:cs="Times New Roman"/>
          <w:sz w:val="24"/>
          <w:szCs w:val="24"/>
        </w:rPr>
        <w:t xml:space="preserve">Mr </w:t>
      </w:r>
      <w:r w:rsidRPr="00C51A76">
        <w:rPr>
          <w:rFonts w:ascii="Times New Roman" w:hAnsi="Times New Roman" w:cs="Times New Roman"/>
          <w:i/>
          <w:sz w:val="24"/>
          <w:szCs w:val="24"/>
        </w:rPr>
        <w:t>Zhuwarara</w:t>
      </w:r>
      <w:r w:rsidRPr="009C7F85">
        <w:rPr>
          <w:rFonts w:ascii="Times New Roman" w:hAnsi="Times New Roman" w:cs="Times New Roman"/>
          <w:sz w:val="24"/>
          <w:szCs w:val="24"/>
        </w:rPr>
        <w:t>’s submission which is to the effect that Max and not Champion should have raise</w:t>
      </w:r>
      <w:r w:rsidR="0096046E">
        <w:rPr>
          <w:rFonts w:ascii="Times New Roman" w:hAnsi="Times New Roman" w:cs="Times New Roman"/>
          <w:sz w:val="24"/>
          <w:szCs w:val="24"/>
        </w:rPr>
        <w:t>d</w:t>
      </w:r>
      <w:r w:rsidR="00C83AF8">
        <w:rPr>
          <w:rFonts w:ascii="Times New Roman" w:hAnsi="Times New Roman" w:cs="Times New Roman"/>
          <w:sz w:val="24"/>
          <w:szCs w:val="24"/>
        </w:rPr>
        <w:t xml:space="preserve"> </w:t>
      </w:r>
      <w:r w:rsidRPr="009C7F85">
        <w:rPr>
          <w:rFonts w:ascii="Times New Roman" w:hAnsi="Times New Roman" w:cs="Times New Roman"/>
          <w:sz w:val="24"/>
          <w:szCs w:val="24"/>
        </w:rPr>
        <w:t xml:space="preserve">the defence of prescription is without merit. It is trite that a litigant can raise a point of law at any stage of the proceedings. He can do so even where he has not raised the same in his Heads. What he cannot do, however, is to, as it were, ambush his adversary. Where, as </w:t>
      </w:r>
      <w:r w:rsidRPr="0077535A">
        <w:rPr>
          <w:rFonts w:ascii="Times New Roman" w:hAnsi="Times New Roman" w:cs="Times New Roman"/>
          <w:i/>
          <w:sz w:val="24"/>
          <w:szCs w:val="24"/>
        </w:rPr>
        <w:t>in casu</w:t>
      </w:r>
      <w:r w:rsidRPr="009C7F85">
        <w:rPr>
          <w:rFonts w:ascii="Times New Roman" w:hAnsi="Times New Roman" w:cs="Times New Roman"/>
          <w:sz w:val="24"/>
          <w:szCs w:val="24"/>
        </w:rPr>
        <w:t xml:space="preserve">, prescription was raised by Max or Tecla as a defence, the </w:t>
      </w:r>
      <w:r w:rsidR="0096046E" w:rsidRPr="009C7F85">
        <w:rPr>
          <w:rFonts w:ascii="Times New Roman" w:hAnsi="Times New Roman" w:cs="Times New Roman"/>
          <w:sz w:val="24"/>
          <w:szCs w:val="24"/>
        </w:rPr>
        <w:t xml:space="preserve">applicant’s </w:t>
      </w:r>
      <w:r w:rsidR="00DD23AF">
        <w:rPr>
          <w:rFonts w:ascii="Times New Roman" w:hAnsi="Times New Roman" w:cs="Times New Roman"/>
          <w:sz w:val="24"/>
          <w:szCs w:val="24"/>
        </w:rPr>
        <w:t>attention</w:t>
      </w:r>
      <w:r w:rsidR="0096046E">
        <w:rPr>
          <w:rFonts w:ascii="Times New Roman" w:hAnsi="Times New Roman" w:cs="Times New Roman"/>
          <w:sz w:val="24"/>
          <w:szCs w:val="24"/>
        </w:rPr>
        <w:t xml:space="preserve"> </w:t>
      </w:r>
      <w:r w:rsidRPr="009C7F85">
        <w:rPr>
          <w:rFonts w:ascii="Times New Roman" w:hAnsi="Times New Roman" w:cs="Times New Roman"/>
          <w:sz w:val="24"/>
          <w:szCs w:val="24"/>
        </w:rPr>
        <w:t>was drawn to the existence of the same. It cannot therefore complain if Champion raises the same defence.</w:t>
      </w:r>
    </w:p>
    <w:p w:rsidR="00DB40B9" w:rsidRDefault="00D4490F" w:rsidP="00DB40B9">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All the applicant could do was to deal with the defence which had been raised. Its failure to deal</w:t>
      </w:r>
      <w:r w:rsidR="00C83AF8">
        <w:rPr>
          <w:rFonts w:ascii="Times New Roman" w:hAnsi="Times New Roman" w:cs="Times New Roman"/>
          <w:sz w:val="24"/>
          <w:szCs w:val="24"/>
        </w:rPr>
        <w:t xml:space="preserve"> </w:t>
      </w:r>
      <w:r w:rsidRPr="009C7F85">
        <w:rPr>
          <w:rFonts w:ascii="Times New Roman" w:hAnsi="Times New Roman" w:cs="Times New Roman"/>
          <w:sz w:val="24"/>
          <w:szCs w:val="24"/>
        </w:rPr>
        <w:t xml:space="preserve">with it spells doom for it. This is </w:t>
      </w:r>
      <w:r w:rsidRPr="009F5FB1">
        <w:rPr>
          <w:rFonts w:ascii="Times New Roman" w:hAnsi="Times New Roman" w:cs="Times New Roman"/>
          <w:i/>
          <w:sz w:val="24"/>
          <w:szCs w:val="24"/>
        </w:rPr>
        <w:t>a fortiori</w:t>
      </w:r>
      <w:r w:rsidRPr="009C7F85">
        <w:rPr>
          <w:rFonts w:ascii="Times New Roman" w:hAnsi="Times New Roman" w:cs="Times New Roman"/>
          <w:sz w:val="24"/>
          <w:szCs w:val="24"/>
        </w:rPr>
        <w:t xml:space="preserve"> so given that the defence which was raised is the result of its own confession. Mr </w:t>
      </w:r>
      <w:r w:rsidRPr="00C51A76">
        <w:rPr>
          <w:rFonts w:ascii="Times New Roman" w:hAnsi="Times New Roman" w:cs="Times New Roman"/>
          <w:i/>
          <w:sz w:val="24"/>
          <w:szCs w:val="24"/>
        </w:rPr>
        <w:t xml:space="preserve">Zhuwarara </w:t>
      </w:r>
      <w:r w:rsidRPr="009C7F85">
        <w:rPr>
          <w:rFonts w:ascii="Times New Roman" w:hAnsi="Times New Roman" w:cs="Times New Roman"/>
          <w:sz w:val="24"/>
          <w:szCs w:val="24"/>
        </w:rPr>
        <w:t>did not deal with this confession. He left the same</w:t>
      </w:r>
      <w:r w:rsidR="0029463E">
        <w:rPr>
          <w:rFonts w:ascii="Times New Roman" w:hAnsi="Times New Roman" w:cs="Times New Roman"/>
          <w:sz w:val="24"/>
          <w:szCs w:val="24"/>
        </w:rPr>
        <w:t xml:space="preserve"> untouched</w:t>
      </w:r>
      <w:r w:rsidRPr="009C7F85">
        <w:rPr>
          <w:rFonts w:ascii="Times New Roman" w:hAnsi="Times New Roman" w:cs="Times New Roman"/>
          <w:sz w:val="24"/>
          <w:szCs w:val="24"/>
        </w:rPr>
        <w:t>. He, in fact, did not refer to it at all.</w:t>
      </w:r>
      <w:r w:rsidR="00953A9C" w:rsidRPr="009C7F85">
        <w:rPr>
          <w:rFonts w:ascii="Times New Roman" w:hAnsi="Times New Roman" w:cs="Times New Roman"/>
          <w:sz w:val="24"/>
          <w:szCs w:val="24"/>
        </w:rPr>
        <w:t xml:space="preserve"> He referred to allegations of fraud having been committed by Champion and Tecla. He did not, however, prove such. He did not refer to any known defences which are available to a plaintiff or applicant who is faced with the defence of prescription. He did not, for instance, allege that prescription had been interrupted or that it commenced to run on a date which would reduce the period of prescription to less than three years.</w:t>
      </w:r>
      <w:r w:rsidR="00FE073B" w:rsidRPr="009C7F85">
        <w:rPr>
          <w:rFonts w:ascii="Times New Roman" w:hAnsi="Times New Roman" w:cs="Times New Roman"/>
          <w:sz w:val="24"/>
          <w:szCs w:val="24"/>
        </w:rPr>
        <w:t xml:space="preserve"> Champion’s plea of prescription, therefore, stands.</w:t>
      </w:r>
    </w:p>
    <w:p w:rsidR="00FE073B" w:rsidRPr="009C7F85" w:rsidRDefault="00FE073B" w:rsidP="009F1879">
      <w:pPr>
        <w:spacing w:after="0" w:line="360" w:lineRule="auto"/>
        <w:ind w:firstLine="720"/>
        <w:jc w:val="both"/>
        <w:rPr>
          <w:rFonts w:ascii="Times New Roman" w:hAnsi="Times New Roman" w:cs="Times New Roman"/>
          <w:sz w:val="24"/>
          <w:szCs w:val="24"/>
        </w:rPr>
      </w:pPr>
      <w:r w:rsidRPr="009C7F85">
        <w:rPr>
          <w:rFonts w:ascii="Times New Roman" w:hAnsi="Times New Roman" w:cs="Times New Roman"/>
          <w:sz w:val="24"/>
          <w:szCs w:val="24"/>
        </w:rPr>
        <w:t>Cha</w:t>
      </w:r>
      <w:r w:rsidR="005F501F">
        <w:rPr>
          <w:rFonts w:ascii="Times New Roman" w:hAnsi="Times New Roman" w:cs="Times New Roman"/>
          <w:sz w:val="24"/>
          <w:szCs w:val="24"/>
        </w:rPr>
        <w:t>m</w:t>
      </w:r>
      <w:r w:rsidRPr="009C7F85">
        <w:rPr>
          <w:rFonts w:ascii="Times New Roman" w:hAnsi="Times New Roman" w:cs="Times New Roman"/>
          <w:sz w:val="24"/>
          <w:szCs w:val="24"/>
        </w:rPr>
        <w:t xml:space="preserve">pion proved its case on a balance of probabilities. The defences of </w:t>
      </w:r>
      <w:r w:rsidRPr="0077535A">
        <w:rPr>
          <w:rFonts w:ascii="Times New Roman" w:hAnsi="Times New Roman" w:cs="Times New Roman"/>
          <w:i/>
          <w:sz w:val="24"/>
          <w:szCs w:val="24"/>
        </w:rPr>
        <w:t>res judicata</w:t>
      </w:r>
      <w:r w:rsidRPr="009C7F85">
        <w:rPr>
          <w:rFonts w:ascii="Times New Roman" w:hAnsi="Times New Roman" w:cs="Times New Roman"/>
          <w:sz w:val="24"/>
          <w:szCs w:val="24"/>
        </w:rPr>
        <w:t xml:space="preserve"> and prescription which it raised are both </w:t>
      </w:r>
      <w:r w:rsidR="0053060C">
        <w:rPr>
          <w:rFonts w:ascii="Times New Roman" w:hAnsi="Times New Roman" w:cs="Times New Roman"/>
          <w:sz w:val="24"/>
          <w:szCs w:val="24"/>
        </w:rPr>
        <w:t xml:space="preserve">not without merit. They are therefore </w:t>
      </w:r>
      <w:r w:rsidRPr="009C7F85">
        <w:rPr>
          <w:rFonts w:ascii="Times New Roman" w:hAnsi="Times New Roman" w:cs="Times New Roman"/>
          <w:sz w:val="24"/>
          <w:szCs w:val="24"/>
        </w:rPr>
        <w:t xml:space="preserve"> upheld. The application is, accordingly, dismissed with costs.</w:t>
      </w:r>
    </w:p>
    <w:p w:rsidR="00436021" w:rsidRDefault="00436021" w:rsidP="00436021">
      <w:pPr>
        <w:spacing w:after="0" w:line="360" w:lineRule="auto"/>
        <w:jc w:val="both"/>
        <w:rPr>
          <w:rFonts w:ascii="Times New Roman" w:hAnsi="Times New Roman" w:cs="Times New Roman"/>
          <w:sz w:val="24"/>
          <w:szCs w:val="24"/>
        </w:rPr>
      </w:pPr>
    </w:p>
    <w:p w:rsidR="00FF1064" w:rsidRDefault="00FF1064" w:rsidP="00436021">
      <w:pPr>
        <w:spacing w:after="0" w:line="360" w:lineRule="auto"/>
        <w:jc w:val="both"/>
        <w:rPr>
          <w:rFonts w:ascii="Times New Roman" w:hAnsi="Times New Roman" w:cs="Times New Roman"/>
          <w:sz w:val="24"/>
          <w:szCs w:val="24"/>
        </w:rPr>
      </w:pPr>
    </w:p>
    <w:p w:rsidR="00436021" w:rsidRDefault="00436021" w:rsidP="00074089">
      <w:pPr>
        <w:spacing w:after="0" w:line="240" w:lineRule="auto"/>
        <w:jc w:val="both"/>
        <w:rPr>
          <w:rFonts w:ascii="Times New Roman" w:hAnsi="Times New Roman" w:cs="Times New Roman"/>
          <w:sz w:val="24"/>
          <w:szCs w:val="24"/>
        </w:rPr>
      </w:pPr>
      <w:r w:rsidRPr="00393AB9">
        <w:rPr>
          <w:rFonts w:ascii="Times New Roman" w:hAnsi="Times New Roman" w:cs="Times New Roman"/>
          <w:i/>
          <w:sz w:val="24"/>
          <w:szCs w:val="24"/>
        </w:rPr>
        <w:t>Valente Ferrao : Ferrao Law Chmbers</w:t>
      </w:r>
      <w:r w:rsidR="00F44962">
        <w:rPr>
          <w:rFonts w:ascii="Times New Roman" w:hAnsi="Times New Roman" w:cs="Times New Roman"/>
          <w:i/>
          <w:sz w:val="24"/>
          <w:szCs w:val="24"/>
        </w:rPr>
        <w:t>,</w:t>
      </w:r>
      <w:r w:rsidRPr="00393AB9">
        <w:rPr>
          <w:rFonts w:ascii="Times New Roman" w:hAnsi="Times New Roman" w:cs="Times New Roman"/>
          <w:i/>
          <w:sz w:val="24"/>
          <w:szCs w:val="24"/>
        </w:rPr>
        <w:t xml:space="preserve"> </w:t>
      </w:r>
      <w:r w:rsidR="00393AB9">
        <w:rPr>
          <w:rFonts w:ascii="Times New Roman" w:hAnsi="Times New Roman" w:cs="Times New Roman"/>
          <w:sz w:val="24"/>
          <w:szCs w:val="24"/>
        </w:rPr>
        <w:t>a</w:t>
      </w:r>
      <w:r>
        <w:rPr>
          <w:rFonts w:ascii="Times New Roman" w:hAnsi="Times New Roman" w:cs="Times New Roman"/>
          <w:sz w:val="24"/>
          <w:szCs w:val="24"/>
        </w:rPr>
        <w:t xml:space="preserve">pplicant’s </w:t>
      </w:r>
      <w:r w:rsidR="00393AB9">
        <w:rPr>
          <w:rFonts w:ascii="Times New Roman" w:hAnsi="Times New Roman" w:cs="Times New Roman"/>
          <w:sz w:val="24"/>
          <w:szCs w:val="24"/>
        </w:rPr>
        <w:t>lega</w:t>
      </w:r>
      <w:r w:rsidR="00F44962">
        <w:rPr>
          <w:rFonts w:ascii="Times New Roman" w:hAnsi="Times New Roman" w:cs="Times New Roman"/>
          <w:sz w:val="24"/>
          <w:szCs w:val="24"/>
        </w:rPr>
        <w:t>l p</w:t>
      </w:r>
      <w:r>
        <w:rPr>
          <w:rFonts w:ascii="Times New Roman" w:hAnsi="Times New Roman" w:cs="Times New Roman"/>
          <w:sz w:val="24"/>
          <w:szCs w:val="24"/>
        </w:rPr>
        <w:t xml:space="preserve">ractitioners </w:t>
      </w:r>
    </w:p>
    <w:p w:rsidR="001B1D04" w:rsidRDefault="00436021" w:rsidP="00074089">
      <w:pPr>
        <w:spacing w:after="0" w:line="240" w:lineRule="auto"/>
        <w:jc w:val="both"/>
        <w:rPr>
          <w:rFonts w:ascii="Times New Roman" w:hAnsi="Times New Roman" w:cs="Times New Roman"/>
          <w:sz w:val="24"/>
          <w:szCs w:val="24"/>
        </w:rPr>
      </w:pPr>
      <w:r w:rsidRPr="00393AB9">
        <w:rPr>
          <w:rFonts w:ascii="Times New Roman" w:hAnsi="Times New Roman" w:cs="Times New Roman"/>
          <w:i/>
          <w:sz w:val="24"/>
          <w:szCs w:val="24"/>
        </w:rPr>
        <w:t>C</w:t>
      </w:r>
      <w:r w:rsidR="00393AB9" w:rsidRPr="00393AB9">
        <w:rPr>
          <w:rFonts w:ascii="Times New Roman" w:hAnsi="Times New Roman" w:cs="Times New Roman"/>
          <w:i/>
          <w:sz w:val="24"/>
          <w:szCs w:val="24"/>
        </w:rPr>
        <w:t>h</w:t>
      </w:r>
      <w:r w:rsidRPr="00393AB9">
        <w:rPr>
          <w:rFonts w:ascii="Times New Roman" w:hAnsi="Times New Roman" w:cs="Times New Roman"/>
          <w:i/>
          <w:sz w:val="24"/>
          <w:szCs w:val="24"/>
        </w:rPr>
        <w:t>adyiwa and Associates</w:t>
      </w:r>
      <w:r w:rsidR="00B47E26">
        <w:rPr>
          <w:rFonts w:ascii="Times New Roman" w:hAnsi="Times New Roman" w:cs="Times New Roman"/>
          <w:i/>
          <w:sz w:val="24"/>
          <w:szCs w:val="24"/>
        </w:rPr>
        <w:t>,</w:t>
      </w:r>
      <w:r w:rsidRPr="00393AB9">
        <w:rPr>
          <w:rFonts w:ascii="Times New Roman" w:hAnsi="Times New Roman" w:cs="Times New Roman"/>
          <w:i/>
          <w:sz w:val="24"/>
          <w:szCs w:val="24"/>
        </w:rPr>
        <w:t xml:space="preserve"> </w:t>
      </w:r>
      <w:r w:rsidRPr="00B47E26">
        <w:rPr>
          <w:rFonts w:ascii="Times New Roman" w:hAnsi="Times New Roman" w:cs="Times New Roman"/>
          <w:sz w:val="24"/>
          <w:szCs w:val="24"/>
        </w:rPr>
        <w:t xml:space="preserve">respondent’s </w:t>
      </w:r>
      <w:r w:rsidR="00393AB9">
        <w:rPr>
          <w:rFonts w:ascii="Times New Roman" w:hAnsi="Times New Roman" w:cs="Times New Roman"/>
          <w:sz w:val="24"/>
          <w:szCs w:val="24"/>
        </w:rPr>
        <w:t>legal</w:t>
      </w:r>
      <w:r>
        <w:rPr>
          <w:rFonts w:ascii="Times New Roman" w:hAnsi="Times New Roman" w:cs="Times New Roman"/>
          <w:sz w:val="24"/>
          <w:szCs w:val="24"/>
        </w:rPr>
        <w:t xml:space="preserve"> P</w:t>
      </w:r>
      <w:r w:rsidR="001B1D04">
        <w:rPr>
          <w:rFonts w:ascii="Times New Roman" w:hAnsi="Times New Roman" w:cs="Times New Roman"/>
          <w:sz w:val="24"/>
          <w:szCs w:val="24"/>
        </w:rPr>
        <w:t>ractitioners</w:t>
      </w:r>
    </w:p>
    <w:p w:rsidR="001B1D04" w:rsidRPr="00436021" w:rsidRDefault="001B1D04" w:rsidP="00436021">
      <w:pPr>
        <w:spacing w:after="0" w:line="360" w:lineRule="auto"/>
        <w:jc w:val="both"/>
        <w:rPr>
          <w:rFonts w:ascii="Times New Roman" w:hAnsi="Times New Roman" w:cs="Times New Roman"/>
          <w:sz w:val="24"/>
          <w:szCs w:val="24"/>
        </w:rPr>
      </w:pPr>
    </w:p>
    <w:sectPr w:rsidR="001B1D04" w:rsidRPr="004360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40E" w:rsidRDefault="00E4440E" w:rsidP="009C07E3">
      <w:pPr>
        <w:spacing w:after="0" w:line="240" w:lineRule="auto"/>
      </w:pPr>
      <w:r>
        <w:separator/>
      </w:r>
    </w:p>
  </w:endnote>
  <w:endnote w:type="continuationSeparator" w:id="0">
    <w:p w:rsidR="00E4440E" w:rsidRDefault="00E4440E" w:rsidP="009C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40E" w:rsidRDefault="00E4440E" w:rsidP="009C07E3">
      <w:pPr>
        <w:spacing w:after="0" w:line="240" w:lineRule="auto"/>
      </w:pPr>
      <w:r>
        <w:separator/>
      </w:r>
    </w:p>
  </w:footnote>
  <w:footnote w:type="continuationSeparator" w:id="0">
    <w:p w:rsidR="00E4440E" w:rsidRDefault="00E4440E" w:rsidP="009C0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736213"/>
      <w:docPartObj>
        <w:docPartGallery w:val="Page Numbers (Top of Page)"/>
        <w:docPartUnique/>
      </w:docPartObj>
    </w:sdtPr>
    <w:sdtEndPr>
      <w:rPr>
        <w:noProof/>
      </w:rPr>
    </w:sdtEndPr>
    <w:sdtContent>
      <w:p w:rsidR="0034440D" w:rsidRDefault="0034440D">
        <w:pPr>
          <w:pStyle w:val="Header"/>
          <w:jc w:val="right"/>
          <w:rPr>
            <w:noProof/>
          </w:rPr>
        </w:pPr>
        <w:r>
          <w:fldChar w:fldCharType="begin"/>
        </w:r>
        <w:r>
          <w:instrText xml:space="preserve"> PAGE   \* MERGEFORMAT </w:instrText>
        </w:r>
        <w:r>
          <w:fldChar w:fldCharType="separate"/>
        </w:r>
        <w:r w:rsidR="00CA39F7">
          <w:rPr>
            <w:noProof/>
          </w:rPr>
          <w:t>1</w:t>
        </w:r>
        <w:r>
          <w:rPr>
            <w:noProof/>
          </w:rPr>
          <w:fldChar w:fldCharType="end"/>
        </w:r>
      </w:p>
      <w:p w:rsidR="0034440D" w:rsidRDefault="009366F9">
        <w:pPr>
          <w:pStyle w:val="Header"/>
          <w:jc w:val="right"/>
          <w:rPr>
            <w:noProof/>
          </w:rPr>
        </w:pPr>
        <w:r>
          <w:rPr>
            <w:noProof/>
          </w:rPr>
          <w:t>HH 519-2</w:t>
        </w:r>
        <w:r w:rsidR="002D1D73">
          <w:rPr>
            <w:noProof/>
          </w:rPr>
          <w:t>2</w:t>
        </w:r>
      </w:p>
      <w:p w:rsidR="0034440D" w:rsidRDefault="0034440D" w:rsidP="0034440D">
        <w:pPr>
          <w:pStyle w:val="Header"/>
          <w:jc w:val="center"/>
        </w:pPr>
        <w:r>
          <w:rPr>
            <w:noProof/>
          </w:rPr>
          <w:t xml:space="preserve">                                                                        </w:t>
        </w:r>
        <w:r>
          <w:rPr>
            <w:noProof/>
          </w:rPr>
          <w:tab/>
        </w:r>
        <w:r>
          <w:rPr>
            <w:noProof/>
          </w:rPr>
          <w:tab/>
          <w:t xml:space="preserve"> HC 1236/15</w:t>
        </w:r>
      </w:p>
    </w:sdtContent>
  </w:sdt>
  <w:p w:rsidR="009C07E3" w:rsidRDefault="009C07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0C41"/>
    <w:multiLevelType w:val="hybridMultilevel"/>
    <w:tmpl w:val="DE1673B0"/>
    <w:lvl w:ilvl="0" w:tplc="70444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B7C5E"/>
    <w:multiLevelType w:val="hybridMultilevel"/>
    <w:tmpl w:val="84E0F8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4136E"/>
    <w:multiLevelType w:val="hybridMultilevel"/>
    <w:tmpl w:val="7724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35E37"/>
    <w:multiLevelType w:val="hybridMultilevel"/>
    <w:tmpl w:val="927C06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6359B"/>
    <w:multiLevelType w:val="hybridMultilevel"/>
    <w:tmpl w:val="3A1810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EA3080"/>
    <w:multiLevelType w:val="hybridMultilevel"/>
    <w:tmpl w:val="B7E6A3E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42"/>
    <w:rsid w:val="00004AD9"/>
    <w:rsid w:val="0000585C"/>
    <w:rsid w:val="0000667D"/>
    <w:rsid w:val="000136FF"/>
    <w:rsid w:val="00024586"/>
    <w:rsid w:val="00027CC5"/>
    <w:rsid w:val="00074089"/>
    <w:rsid w:val="00085039"/>
    <w:rsid w:val="000A4FAB"/>
    <w:rsid w:val="000B7647"/>
    <w:rsid w:val="000C3376"/>
    <w:rsid w:val="000D56A1"/>
    <w:rsid w:val="000E111B"/>
    <w:rsid w:val="00134134"/>
    <w:rsid w:val="00147547"/>
    <w:rsid w:val="00171C42"/>
    <w:rsid w:val="00181935"/>
    <w:rsid w:val="00192398"/>
    <w:rsid w:val="00197DF4"/>
    <w:rsid w:val="001A21B2"/>
    <w:rsid w:val="001A68C6"/>
    <w:rsid w:val="001B1D04"/>
    <w:rsid w:val="001E3B66"/>
    <w:rsid w:val="001F2AF3"/>
    <w:rsid w:val="001F5B9F"/>
    <w:rsid w:val="002009A4"/>
    <w:rsid w:val="00211FE6"/>
    <w:rsid w:val="002311D6"/>
    <w:rsid w:val="002337D3"/>
    <w:rsid w:val="00245F60"/>
    <w:rsid w:val="00291A8D"/>
    <w:rsid w:val="0029463E"/>
    <w:rsid w:val="002A0D59"/>
    <w:rsid w:val="002B4497"/>
    <w:rsid w:val="002C2C1A"/>
    <w:rsid w:val="002D12C2"/>
    <w:rsid w:val="002D1D73"/>
    <w:rsid w:val="00300939"/>
    <w:rsid w:val="00301E64"/>
    <w:rsid w:val="00312713"/>
    <w:rsid w:val="00322BC2"/>
    <w:rsid w:val="003434A1"/>
    <w:rsid w:val="0034440D"/>
    <w:rsid w:val="00352E98"/>
    <w:rsid w:val="00355AD0"/>
    <w:rsid w:val="003724BF"/>
    <w:rsid w:val="00384569"/>
    <w:rsid w:val="00390915"/>
    <w:rsid w:val="00393AB9"/>
    <w:rsid w:val="00393ABF"/>
    <w:rsid w:val="00395136"/>
    <w:rsid w:val="003A10FF"/>
    <w:rsid w:val="003E631E"/>
    <w:rsid w:val="00436021"/>
    <w:rsid w:val="0045656B"/>
    <w:rsid w:val="004B48CB"/>
    <w:rsid w:val="004C06AB"/>
    <w:rsid w:val="004E659A"/>
    <w:rsid w:val="00511B3C"/>
    <w:rsid w:val="0051276B"/>
    <w:rsid w:val="0053060C"/>
    <w:rsid w:val="0054516C"/>
    <w:rsid w:val="005D2997"/>
    <w:rsid w:val="005E2A7D"/>
    <w:rsid w:val="005F415F"/>
    <w:rsid w:val="005F501F"/>
    <w:rsid w:val="00607FBE"/>
    <w:rsid w:val="006109D3"/>
    <w:rsid w:val="006377A2"/>
    <w:rsid w:val="00676FD6"/>
    <w:rsid w:val="006823F1"/>
    <w:rsid w:val="006B22D4"/>
    <w:rsid w:val="006B7FC7"/>
    <w:rsid w:val="006C087E"/>
    <w:rsid w:val="0077535A"/>
    <w:rsid w:val="00780DB3"/>
    <w:rsid w:val="00781FCD"/>
    <w:rsid w:val="007861C0"/>
    <w:rsid w:val="00796E3D"/>
    <w:rsid w:val="007A2FD5"/>
    <w:rsid w:val="0082403E"/>
    <w:rsid w:val="00845C1C"/>
    <w:rsid w:val="00856CA1"/>
    <w:rsid w:val="00867B29"/>
    <w:rsid w:val="00875DC0"/>
    <w:rsid w:val="00883F99"/>
    <w:rsid w:val="008C04CB"/>
    <w:rsid w:val="009366F9"/>
    <w:rsid w:val="00953A9C"/>
    <w:rsid w:val="0096046E"/>
    <w:rsid w:val="00982380"/>
    <w:rsid w:val="00983DBA"/>
    <w:rsid w:val="009B49F4"/>
    <w:rsid w:val="009C07E3"/>
    <w:rsid w:val="009C7F85"/>
    <w:rsid w:val="009E0459"/>
    <w:rsid w:val="009F1879"/>
    <w:rsid w:val="009F56C7"/>
    <w:rsid w:val="009F5FB1"/>
    <w:rsid w:val="00A166C5"/>
    <w:rsid w:val="00A22CD2"/>
    <w:rsid w:val="00A51680"/>
    <w:rsid w:val="00A567D0"/>
    <w:rsid w:val="00A74901"/>
    <w:rsid w:val="00AB2454"/>
    <w:rsid w:val="00AC285C"/>
    <w:rsid w:val="00AC2C0E"/>
    <w:rsid w:val="00AE565A"/>
    <w:rsid w:val="00AE7555"/>
    <w:rsid w:val="00AF1549"/>
    <w:rsid w:val="00B3770E"/>
    <w:rsid w:val="00B40F94"/>
    <w:rsid w:val="00B478B7"/>
    <w:rsid w:val="00B47E26"/>
    <w:rsid w:val="00B5458F"/>
    <w:rsid w:val="00B9173F"/>
    <w:rsid w:val="00BC1309"/>
    <w:rsid w:val="00BD45E7"/>
    <w:rsid w:val="00BE0A07"/>
    <w:rsid w:val="00C00B90"/>
    <w:rsid w:val="00C02D3D"/>
    <w:rsid w:val="00C328BD"/>
    <w:rsid w:val="00C406B0"/>
    <w:rsid w:val="00C47A64"/>
    <w:rsid w:val="00C51A76"/>
    <w:rsid w:val="00C53730"/>
    <w:rsid w:val="00C71986"/>
    <w:rsid w:val="00C83AF8"/>
    <w:rsid w:val="00C84047"/>
    <w:rsid w:val="00C920AD"/>
    <w:rsid w:val="00CA39F7"/>
    <w:rsid w:val="00CA5305"/>
    <w:rsid w:val="00CB6A06"/>
    <w:rsid w:val="00CD76F9"/>
    <w:rsid w:val="00CF11FD"/>
    <w:rsid w:val="00D009CA"/>
    <w:rsid w:val="00D062C9"/>
    <w:rsid w:val="00D065E9"/>
    <w:rsid w:val="00D4490F"/>
    <w:rsid w:val="00D4523F"/>
    <w:rsid w:val="00D8507A"/>
    <w:rsid w:val="00DA048C"/>
    <w:rsid w:val="00DB40B9"/>
    <w:rsid w:val="00DC2F39"/>
    <w:rsid w:val="00DD23AF"/>
    <w:rsid w:val="00DF35A4"/>
    <w:rsid w:val="00DF3F5B"/>
    <w:rsid w:val="00E108DF"/>
    <w:rsid w:val="00E16719"/>
    <w:rsid w:val="00E25B74"/>
    <w:rsid w:val="00E26A5D"/>
    <w:rsid w:val="00E4440E"/>
    <w:rsid w:val="00E4449C"/>
    <w:rsid w:val="00E82742"/>
    <w:rsid w:val="00EB6D37"/>
    <w:rsid w:val="00EF6444"/>
    <w:rsid w:val="00F000F4"/>
    <w:rsid w:val="00F1768B"/>
    <w:rsid w:val="00F24364"/>
    <w:rsid w:val="00F44962"/>
    <w:rsid w:val="00F848FD"/>
    <w:rsid w:val="00FE073B"/>
    <w:rsid w:val="00FF1064"/>
    <w:rsid w:val="00FF3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076B4-375A-48C0-B601-24318B97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FD5"/>
    <w:pPr>
      <w:ind w:left="720"/>
      <w:contextualSpacing/>
    </w:pPr>
  </w:style>
  <w:style w:type="paragraph" w:styleId="Header">
    <w:name w:val="header"/>
    <w:basedOn w:val="Normal"/>
    <w:link w:val="HeaderChar"/>
    <w:uiPriority w:val="99"/>
    <w:unhideWhenUsed/>
    <w:rsid w:val="009C0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7E3"/>
  </w:style>
  <w:style w:type="paragraph" w:styleId="Footer">
    <w:name w:val="footer"/>
    <w:basedOn w:val="Normal"/>
    <w:link w:val="FooterChar"/>
    <w:uiPriority w:val="99"/>
    <w:unhideWhenUsed/>
    <w:rsid w:val="009C0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7E3"/>
  </w:style>
  <w:style w:type="paragraph" w:styleId="BalloonText">
    <w:name w:val="Balloon Text"/>
    <w:basedOn w:val="Normal"/>
    <w:link w:val="BalloonTextChar"/>
    <w:uiPriority w:val="99"/>
    <w:semiHidden/>
    <w:unhideWhenUsed/>
    <w:rsid w:val="00C83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D81F3-F645-4E04-9D72-9608E494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Mangota</dc:creator>
  <cp:keywords/>
  <dc:description/>
  <cp:lastModifiedBy>JSC</cp:lastModifiedBy>
  <cp:revision>2</cp:revision>
  <cp:lastPrinted>2022-07-22T07:57:00Z</cp:lastPrinted>
  <dcterms:created xsi:type="dcterms:W3CDTF">2022-08-05T08:18:00Z</dcterms:created>
  <dcterms:modified xsi:type="dcterms:W3CDTF">2022-08-05T08:18:00Z</dcterms:modified>
</cp:coreProperties>
</file>