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6"/>
        <w:gridCol w:w="1491"/>
        <w:gridCol w:w="4394"/>
      </w:tblGrid>
      <w:tr w:rsidR="005A4D7A" w14:paraId="4EE034AA" w14:textId="77777777" w:rsidTr="009C18C8">
        <w:trPr>
          <w:trHeight w:val="70"/>
        </w:trPr>
        <w:tc>
          <w:tcPr>
            <w:tcW w:w="3896" w:type="dxa"/>
            <w:tcBorders>
              <w:bottom w:val="nil"/>
            </w:tcBorders>
          </w:tcPr>
          <w:p w14:paraId="2337E6A0" w14:textId="77777777" w:rsidR="005A4D7A" w:rsidRDefault="005A4D7A" w:rsidP="009A35C7">
            <w:pPr>
              <w:tabs>
                <w:tab w:val="left" w:pos="1134"/>
                <w:tab w:val="left" w:pos="1276"/>
                <w:tab w:val="left" w:pos="1560"/>
                <w:tab w:val="center" w:pos="4395"/>
                <w:tab w:val="right" w:pos="8505"/>
              </w:tabs>
              <w:spacing w:line="360" w:lineRule="auto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91" w:type="dxa"/>
            <w:tcBorders>
              <w:bottom w:val="nil"/>
            </w:tcBorders>
          </w:tcPr>
          <w:p w14:paraId="32973FCC" w14:textId="77777777" w:rsidR="005A4D7A" w:rsidRDefault="005A4D7A" w:rsidP="009A35C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6F774D5F" w14:textId="77777777" w:rsidR="005A4D7A" w:rsidRDefault="005A4D7A" w:rsidP="009A35C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b/>
                <w:sz w:val="19"/>
              </w:rPr>
            </w:pPr>
          </w:p>
        </w:tc>
      </w:tr>
    </w:tbl>
    <w:p w14:paraId="6A38E9F5" w14:textId="260F3360" w:rsidR="00B34691" w:rsidRDefault="001F229B" w:rsidP="00077FC2">
      <w:pPr>
        <w:jc w:val="both"/>
      </w:pPr>
      <w:r>
        <w:t>THE LIQUIDATOR OF AFRASIA BANK ZIMBABWE LIMITED</w:t>
      </w:r>
    </w:p>
    <w:p w14:paraId="2474473A" w14:textId="696840D5" w:rsidR="002912A6" w:rsidRDefault="005D2E51" w:rsidP="00077FC2">
      <w:pPr>
        <w:jc w:val="both"/>
      </w:pPr>
      <w:r>
        <w:t>v</w:t>
      </w:r>
      <w:r w:rsidR="00CD12E4">
        <w:t>ersus</w:t>
      </w:r>
    </w:p>
    <w:p w14:paraId="1BDD5324" w14:textId="77777777" w:rsidR="00DC67DE" w:rsidRPr="00DC67DE" w:rsidRDefault="00DC67DE" w:rsidP="00077FC2">
      <w:pPr>
        <w:jc w:val="both"/>
        <w:rPr>
          <w:sz w:val="6"/>
          <w:szCs w:val="6"/>
        </w:rPr>
      </w:pPr>
    </w:p>
    <w:p w14:paraId="14CB421B" w14:textId="485361E5" w:rsidR="002912A6" w:rsidRDefault="001F229B" w:rsidP="00077FC2">
      <w:pPr>
        <w:jc w:val="both"/>
      </w:pPr>
      <w:r>
        <w:t>CRUSTMOON INVESTMENTS (PRIVATE) LIMITED</w:t>
      </w:r>
    </w:p>
    <w:p w14:paraId="54B3B7DC" w14:textId="14FB0C56" w:rsidR="006626BA" w:rsidRDefault="005D2E51" w:rsidP="00077FC2">
      <w:pPr>
        <w:jc w:val="both"/>
      </w:pPr>
      <w:r>
        <w:t>a</w:t>
      </w:r>
      <w:r w:rsidR="006626BA">
        <w:t>nd</w:t>
      </w:r>
    </w:p>
    <w:p w14:paraId="0DA159A7" w14:textId="69318378" w:rsidR="006626BA" w:rsidRDefault="001F229B" w:rsidP="00077FC2">
      <w:pPr>
        <w:jc w:val="both"/>
      </w:pPr>
      <w:r>
        <w:t xml:space="preserve">NIGEL CHANAKIRA </w:t>
      </w:r>
    </w:p>
    <w:p w14:paraId="3E4AF64A" w14:textId="77777777" w:rsidR="00405423" w:rsidRDefault="00405423" w:rsidP="00077FC2">
      <w:pPr>
        <w:jc w:val="both"/>
      </w:pPr>
    </w:p>
    <w:p w14:paraId="5CD7395E" w14:textId="77777777" w:rsidR="009C18C8" w:rsidRDefault="009C18C8" w:rsidP="00AA5A94">
      <w:pPr>
        <w:jc w:val="both"/>
      </w:pPr>
    </w:p>
    <w:p w14:paraId="47C0A5BD" w14:textId="77777777" w:rsidR="005A4D7A" w:rsidRDefault="005A4D7A" w:rsidP="009A35C7">
      <w:pPr>
        <w:jc w:val="both"/>
      </w:pPr>
      <w:r>
        <w:t>HIGH COURT OF ZIMBABWE</w:t>
      </w:r>
    </w:p>
    <w:p w14:paraId="44A30E4A" w14:textId="62001725" w:rsidR="005A4D7A" w:rsidRDefault="00A831D8" w:rsidP="009A35C7">
      <w:pPr>
        <w:jc w:val="both"/>
      </w:pPr>
      <w:r>
        <w:t>CHINAMORA</w:t>
      </w:r>
      <w:r w:rsidR="005A4D7A">
        <w:t xml:space="preserve"> J</w:t>
      </w:r>
    </w:p>
    <w:p w14:paraId="3884E3CC" w14:textId="46E7DA41" w:rsidR="006463C4" w:rsidRDefault="006463C4" w:rsidP="00AA5A94">
      <w:pPr>
        <w:jc w:val="both"/>
      </w:pPr>
      <w:r>
        <w:t xml:space="preserve">HARARE, </w:t>
      </w:r>
      <w:r w:rsidR="003E3C71">
        <w:t xml:space="preserve">11 October 2021 </w:t>
      </w:r>
      <w:r w:rsidR="00EC196E">
        <w:t xml:space="preserve">&amp; 3 </w:t>
      </w:r>
      <w:r w:rsidR="00FB204F">
        <w:t>November 2023</w:t>
      </w:r>
    </w:p>
    <w:p w14:paraId="3E68036D" w14:textId="77777777" w:rsidR="005A4D7A" w:rsidRDefault="005A4D7A" w:rsidP="00AA5A94">
      <w:pPr>
        <w:jc w:val="both"/>
      </w:pPr>
    </w:p>
    <w:p w14:paraId="53C9ED67" w14:textId="77777777" w:rsidR="00AA5A94" w:rsidRDefault="00AA5A94" w:rsidP="00AA5A94">
      <w:pPr>
        <w:jc w:val="both"/>
        <w:rPr>
          <w:b/>
        </w:rPr>
      </w:pPr>
    </w:p>
    <w:p w14:paraId="37583E92" w14:textId="77777777" w:rsidR="005A4D7A" w:rsidRPr="009A017B" w:rsidRDefault="00900FA8" w:rsidP="009A35C7">
      <w:pPr>
        <w:spacing w:line="360" w:lineRule="auto"/>
        <w:jc w:val="both"/>
        <w:rPr>
          <w:b/>
        </w:rPr>
      </w:pPr>
      <w:r>
        <w:rPr>
          <w:b/>
        </w:rPr>
        <w:t>Opposed application</w:t>
      </w:r>
    </w:p>
    <w:p w14:paraId="4F6535F0" w14:textId="77777777" w:rsidR="005A4D7A" w:rsidRDefault="005A4D7A" w:rsidP="009A35C7">
      <w:pPr>
        <w:spacing w:line="360" w:lineRule="auto"/>
        <w:jc w:val="both"/>
      </w:pPr>
    </w:p>
    <w:p w14:paraId="78D31C4A" w14:textId="3D59E89E" w:rsidR="00C835A5" w:rsidRDefault="00913151" w:rsidP="00C835A5">
      <w:pPr>
        <w:jc w:val="both"/>
      </w:pPr>
      <w:r w:rsidRPr="00AA5A94">
        <w:t>Adv</w:t>
      </w:r>
      <w:r w:rsidRPr="00913151">
        <w:rPr>
          <w:i/>
        </w:rPr>
        <w:t xml:space="preserve"> F Girach</w:t>
      </w:r>
      <w:r>
        <w:t xml:space="preserve">, </w:t>
      </w:r>
      <w:r w:rsidR="00FD00F3">
        <w:t xml:space="preserve">for the </w:t>
      </w:r>
      <w:r w:rsidR="00CE42F4">
        <w:t>applicant</w:t>
      </w:r>
      <w:r w:rsidR="00CD12E4">
        <w:t>s</w:t>
      </w:r>
    </w:p>
    <w:p w14:paraId="55F1367F" w14:textId="03076248" w:rsidR="004D0E53" w:rsidRDefault="00913151" w:rsidP="00924BA6">
      <w:pPr>
        <w:jc w:val="both"/>
      </w:pPr>
      <w:r w:rsidRPr="00AA5A94">
        <w:t>Mr</w:t>
      </w:r>
      <w:r>
        <w:rPr>
          <w:i/>
        </w:rPr>
        <w:t xml:space="preserve"> Z T Zvobgo, </w:t>
      </w:r>
      <w:r w:rsidR="00CD12E4">
        <w:t xml:space="preserve">for the </w:t>
      </w:r>
      <w:r w:rsidR="00C835A5">
        <w:t>respondent</w:t>
      </w:r>
    </w:p>
    <w:p w14:paraId="21C48A78" w14:textId="77777777" w:rsidR="00C835A5" w:rsidRDefault="00C835A5" w:rsidP="00924BA6">
      <w:pPr>
        <w:jc w:val="both"/>
      </w:pPr>
    </w:p>
    <w:p w14:paraId="5661445B" w14:textId="77777777" w:rsidR="00924BA6" w:rsidRDefault="00924BA6" w:rsidP="00924BA6">
      <w:pPr>
        <w:ind w:firstLine="720"/>
        <w:jc w:val="both"/>
        <w:rPr>
          <w:b/>
        </w:rPr>
      </w:pPr>
    </w:p>
    <w:p w14:paraId="7F771FEC" w14:textId="099086E9" w:rsidR="00D86BF2" w:rsidRPr="009E0C2F" w:rsidRDefault="004169FF" w:rsidP="00924BA6">
      <w:pPr>
        <w:spacing w:line="360" w:lineRule="auto"/>
        <w:ind w:firstLine="720"/>
        <w:jc w:val="both"/>
        <w:rPr>
          <w:b/>
        </w:rPr>
      </w:pPr>
      <w:r w:rsidRPr="00B16B55">
        <w:rPr>
          <w:b/>
        </w:rPr>
        <w:t>CHINAMORA</w:t>
      </w:r>
      <w:r w:rsidR="005A4D7A" w:rsidRPr="00B16B55">
        <w:rPr>
          <w:b/>
        </w:rPr>
        <w:t xml:space="preserve"> J: </w:t>
      </w:r>
      <w:r w:rsidR="009E0C2F">
        <w:rPr>
          <w:b/>
        </w:rPr>
        <w:t xml:space="preserve">   </w:t>
      </w:r>
      <w:r w:rsidR="001F229B">
        <w:t xml:space="preserve">The Deposit Protection Corporation </w:t>
      </w:r>
      <w:r w:rsidR="001B5AF1">
        <w:t>filed the</w:t>
      </w:r>
      <w:r w:rsidR="001F229B">
        <w:t xml:space="preserve"> present application in its capacity as the liquidator of Afr</w:t>
      </w:r>
      <w:r w:rsidR="00C355B0">
        <w:t>a</w:t>
      </w:r>
      <w:r w:rsidR="001F229B">
        <w:t>sia Bank Zimbabwe Limited</w:t>
      </w:r>
      <w:r w:rsidR="001B5AF1">
        <w:t>. The liquidator sought an order</w:t>
      </w:r>
      <w:r w:rsidR="001F229B">
        <w:t xml:space="preserve"> </w:t>
      </w:r>
      <w:r w:rsidR="009E0C2F">
        <w:t>for the impeachment of first</w:t>
      </w:r>
      <w:r w:rsidR="00236E70">
        <w:t xml:space="preserve"> respondent</w:t>
      </w:r>
      <w:r w:rsidR="001B5AF1">
        <w:t>’s</w:t>
      </w:r>
      <w:r w:rsidR="00236E70">
        <w:t xml:space="preserve"> share repu</w:t>
      </w:r>
      <w:r w:rsidR="00B16B55">
        <w:t>rchase scheme codified under a</w:t>
      </w:r>
      <w:r w:rsidR="00236E70">
        <w:t xml:space="preserve"> Binding Memorandum of Agreement </w:t>
      </w:r>
      <w:r w:rsidR="001B5AF1">
        <w:t>executed on 5 September 2013</w:t>
      </w:r>
      <w:r w:rsidR="00B16B55">
        <w:t>.</w:t>
      </w:r>
      <w:r w:rsidR="001B5AF1">
        <w:t xml:space="preserve"> </w:t>
      </w:r>
      <w:r w:rsidR="00B16B55">
        <w:t>This agreement was signed by</w:t>
      </w:r>
      <w:r w:rsidR="00236E70">
        <w:t xml:space="preserve"> Kingdom Bank Limited, Afrasia Kingdom Zimbabwe Limited, Crustmoon Investments (Pvt) Ltd, Afrasia Kingdom Holdings Limited, Nigel Muranganwa Kudzai Chanakira, Afrasia Holdings Limited and Charles Wawn</w:t>
      </w:r>
      <w:r w:rsidR="001B5AF1">
        <w:t>.</w:t>
      </w:r>
      <w:r w:rsidR="00236E70">
        <w:t xml:space="preserve"> </w:t>
      </w:r>
    </w:p>
    <w:p w14:paraId="5B9962BF" w14:textId="61C0BC71" w:rsidR="00A56C55" w:rsidRDefault="00E55C52" w:rsidP="004924ED">
      <w:pPr>
        <w:spacing w:line="360" w:lineRule="auto"/>
        <w:ind w:firstLine="720"/>
        <w:jc w:val="both"/>
      </w:pPr>
      <w:r>
        <w:t xml:space="preserve">Let me give a bit of detail on what transpired. </w:t>
      </w:r>
      <w:r w:rsidR="00D86BF2">
        <w:t xml:space="preserve">The agreement </w:t>
      </w:r>
      <w:r w:rsidR="001B5AF1">
        <w:t>in question</w:t>
      </w:r>
      <w:r w:rsidR="00D86BF2">
        <w:t xml:space="preserve"> involved the disposal of </w:t>
      </w:r>
      <w:r w:rsidR="009E0C2F">
        <w:t>first</w:t>
      </w:r>
      <w:r w:rsidR="00D86BF2">
        <w:t xml:space="preserve"> respondent’s indirect interest in Afrasia Kingdom Zimbabwe Limited</w:t>
      </w:r>
      <w:r w:rsidR="00F87C85">
        <w:t xml:space="preserve">. The transaction involved </w:t>
      </w:r>
      <w:r w:rsidR="00D86BF2">
        <w:t>a Share Repurchase Scheme for consideration of the sum of twelve million five hundred thousand United States Dollars (US$ 12 500 000</w:t>
      </w:r>
      <w:r w:rsidR="007633DC">
        <w:t>)</w:t>
      </w:r>
      <w:r w:rsidR="00D86BF2">
        <w:t xml:space="preserve">. The </w:t>
      </w:r>
      <w:r w:rsidR="009E0C2F">
        <w:t>first</w:t>
      </w:r>
      <w:r w:rsidR="00F87C85">
        <w:t xml:space="preserve"> respondent’s </w:t>
      </w:r>
      <w:r w:rsidR="00D86BF2">
        <w:t>‘indirect interest’ in Afrasia Kingdom Zimbabwe Limited</w:t>
      </w:r>
      <w:r w:rsidR="00F87C85">
        <w:t xml:space="preserve"> translated to</w:t>
      </w:r>
      <w:r w:rsidR="00D86BF2">
        <w:t xml:space="preserve"> 289 689 352 ordinary shares</w:t>
      </w:r>
      <w:r w:rsidR="00F87C85">
        <w:t xml:space="preserve">. </w:t>
      </w:r>
      <w:r w:rsidR="00D86BF2">
        <w:t xml:space="preserve">The ordinary shares constituted </w:t>
      </w:r>
      <w:r w:rsidR="00B95DE9">
        <w:t>forty-eight</w:t>
      </w:r>
      <w:r w:rsidR="00D86BF2">
        <w:t xml:space="preserve"> percent of the total issued share capital of Afrasia Kingdom Holdings Limited. </w:t>
      </w:r>
      <w:r w:rsidR="00A56C55">
        <w:t xml:space="preserve">In return, the </w:t>
      </w:r>
      <w:r w:rsidR="009E0C2F">
        <w:t xml:space="preserve">first </w:t>
      </w:r>
      <w:r w:rsidR="00A56C55">
        <w:t>respondent would be paid the sum of two million five hundred thousand United States dollars (US$ 2 500 000), get rights to Kingdom Trademarks, get hundred percent shareholding in a company known as Berleo Enterprises (Pvt) Ltd</w:t>
      </w:r>
      <w:r w:rsidR="00CA5C6A">
        <w:t xml:space="preserve">. In addition, the first </w:t>
      </w:r>
      <w:r w:rsidR="00CA5C6A">
        <w:lastRenderedPageBreak/>
        <w:t xml:space="preserve">respondent would </w:t>
      </w:r>
      <w:r w:rsidR="00A56C55">
        <w:t>get hundred percent shareholding in two Special Purpose vehicles</w:t>
      </w:r>
      <w:r w:rsidR="00CA5C6A">
        <w:t>, the first of which was</w:t>
      </w:r>
      <w:r w:rsidR="00A56C55">
        <w:t xml:space="preserve"> Turity Business (Pvt) Ltd (an entity housing non-performing loans amounting to ten million seven hundred and ten thousand eight hundred and </w:t>
      </w:r>
      <w:r w:rsidR="00B95DE9">
        <w:t>eighty-two</w:t>
      </w:r>
      <w:r w:rsidR="00A56C55">
        <w:t xml:space="preserve"> thousand United States Dollars)</w:t>
      </w:r>
      <w:r w:rsidR="006822D2">
        <w:t>,</w:t>
      </w:r>
      <w:r w:rsidR="00A56C55">
        <w:t xml:space="preserve"> which had</w:t>
      </w:r>
      <w:r w:rsidR="00B95DE9">
        <w:t xml:space="preserve"> </w:t>
      </w:r>
      <w:r w:rsidR="00A56C55">
        <w:t xml:space="preserve">been fully provided for and or written off in the </w:t>
      </w:r>
      <w:r w:rsidR="006822D2">
        <w:t xml:space="preserve">bank’s financial statements. The second one was </w:t>
      </w:r>
      <w:r w:rsidR="00A56C55">
        <w:t xml:space="preserve">Gowide Investments (Pvt) Ltd (an entity housing non-performing loans amounting to twenty-three million four thousand and </w:t>
      </w:r>
      <w:r w:rsidR="00B95DE9">
        <w:t>sixty-one</w:t>
      </w:r>
      <w:r w:rsidR="00A56C55">
        <w:t xml:space="preserve"> seven hundred and </w:t>
      </w:r>
      <w:r w:rsidR="00B95DE9">
        <w:t>seventy-four</w:t>
      </w:r>
      <w:r w:rsidR="00A56C55">
        <w:t xml:space="preserve"> United States Dollars)</w:t>
      </w:r>
      <w:r w:rsidR="006822D2">
        <w:t>,</w:t>
      </w:r>
      <w:r w:rsidR="00A56C55">
        <w:t xml:space="preserve"> whi</w:t>
      </w:r>
      <w:r w:rsidR="002B2784">
        <w:t>ch had been fully provided for/</w:t>
      </w:r>
      <w:r w:rsidR="00A56C55">
        <w:t>or written off in the bank’s financial statements.</w:t>
      </w:r>
    </w:p>
    <w:p w14:paraId="69659869" w14:textId="4FF8284F" w:rsidR="00A56C55" w:rsidRDefault="007961B9" w:rsidP="00A56C55">
      <w:pPr>
        <w:spacing w:line="360" w:lineRule="auto"/>
        <w:ind w:firstLine="720"/>
        <w:jc w:val="both"/>
      </w:pPr>
      <w:r>
        <w:t>The parties further agreed that</w:t>
      </w:r>
      <w:r w:rsidR="00263E9B">
        <w:t>,</w:t>
      </w:r>
      <w:r>
        <w:t xml:space="preserve"> </w:t>
      </w:r>
      <w:r w:rsidR="00FD7D38">
        <w:t xml:space="preserve">pending the fulfillment conditions precedent, the </w:t>
      </w:r>
      <w:r w:rsidR="009E0C2F">
        <w:t xml:space="preserve">first </w:t>
      </w:r>
      <w:r w:rsidR="00FD7D38">
        <w:t xml:space="preserve">respondent’s </w:t>
      </w:r>
      <w:r w:rsidR="00B95DE9">
        <w:t>forty-eight</w:t>
      </w:r>
      <w:r w:rsidR="00FD7D38">
        <w:t xml:space="preserve"> percent shareholding in Afrasia Kingdom Holding Limited was </w:t>
      </w:r>
      <w:r>
        <w:t xml:space="preserve">to be </w:t>
      </w:r>
      <w:r w:rsidR="00FD7D38">
        <w:t xml:space="preserve">placed under the custody of one Charles Wawn. </w:t>
      </w:r>
      <w:r w:rsidR="00B95DE9">
        <w:t>If</w:t>
      </w:r>
      <w:r w:rsidR="00FD7D38">
        <w:t xml:space="preserve"> Afrasia Kingdom Holding Limited failed to fulfill the conditions precedent, the said shares would be returned to </w:t>
      </w:r>
      <w:r w:rsidR="00263E9B">
        <w:t xml:space="preserve">the </w:t>
      </w:r>
      <w:r w:rsidR="009E0C2F">
        <w:t xml:space="preserve">first </w:t>
      </w:r>
      <w:r w:rsidR="00FD7D38">
        <w:t xml:space="preserve">respondent. Being part of the subject agreement, Afrasia Kingdom Zimbabwe Limited would settle the following obligations on behalf of the </w:t>
      </w:r>
      <w:r w:rsidR="009E0C2F">
        <w:t>first</w:t>
      </w:r>
      <w:r w:rsidR="00FD7D38">
        <w:t xml:space="preserve"> respondent:</w:t>
      </w:r>
    </w:p>
    <w:p w14:paraId="0F5FD9ED" w14:textId="77777777" w:rsidR="004A6730" w:rsidRPr="00EA591C" w:rsidRDefault="004A6730" w:rsidP="00A56C55">
      <w:pPr>
        <w:spacing w:line="360" w:lineRule="auto"/>
        <w:ind w:firstLine="720"/>
        <w:jc w:val="both"/>
        <w:rPr>
          <w:sz w:val="16"/>
          <w:szCs w:val="16"/>
        </w:rPr>
      </w:pPr>
    </w:p>
    <w:p w14:paraId="317A4C03" w14:textId="74485B6C" w:rsidR="00FD7D38" w:rsidRDefault="00FD7D38" w:rsidP="00FD7D38">
      <w:pPr>
        <w:pStyle w:val="ListParagraph"/>
        <w:numPr>
          <w:ilvl w:val="0"/>
          <w:numId w:val="36"/>
        </w:numPr>
        <w:spacing w:line="360" w:lineRule="auto"/>
        <w:jc w:val="both"/>
      </w:pPr>
      <w:r>
        <w:t>the sum of five hundred thousand United States Dollars that had been previously advanced by Kingdom Bank Limited to</w:t>
      </w:r>
      <w:r w:rsidR="00EA591C">
        <w:t xml:space="preserve"> the</w:t>
      </w:r>
      <w:r>
        <w:t xml:space="preserve"> </w:t>
      </w:r>
      <w:r w:rsidR="009E0C2F">
        <w:t>first</w:t>
      </w:r>
      <w:r>
        <w:t xml:space="preserve"> respondent together with interest at the rate of five percent per annum from the date of the advance to the date of full payment.</w:t>
      </w:r>
    </w:p>
    <w:p w14:paraId="04D32F51" w14:textId="66B0206F" w:rsidR="00FD7D38" w:rsidRDefault="00FD7D38" w:rsidP="00FD7D38">
      <w:pPr>
        <w:pStyle w:val="ListParagraph"/>
        <w:numPr>
          <w:ilvl w:val="0"/>
          <w:numId w:val="36"/>
        </w:numPr>
        <w:spacing w:line="360" w:lineRule="auto"/>
        <w:jc w:val="both"/>
      </w:pPr>
      <w:r>
        <w:t>the sum of nine million and seventy thousand United States Dollars attributable to the value of assets transferred to</w:t>
      </w:r>
      <w:r w:rsidR="00EA591C">
        <w:t xml:space="preserve"> the</w:t>
      </w:r>
      <w:r>
        <w:t xml:space="preserve"> </w:t>
      </w:r>
      <w:r w:rsidR="009E0C2F">
        <w:t xml:space="preserve">first </w:t>
      </w:r>
      <w:r>
        <w:t xml:space="preserve">respondent by </w:t>
      </w:r>
      <w:r w:rsidR="001F0896">
        <w:t>Kingdom Bank Limited, and</w:t>
      </w:r>
    </w:p>
    <w:p w14:paraId="5F02F93B" w14:textId="4702CB2C" w:rsidR="001F0896" w:rsidRDefault="001F0896" w:rsidP="00FD7D38">
      <w:pPr>
        <w:pStyle w:val="ListParagraph"/>
        <w:numPr>
          <w:ilvl w:val="0"/>
          <w:numId w:val="36"/>
        </w:numPr>
        <w:spacing w:line="360" w:lineRule="auto"/>
        <w:jc w:val="both"/>
      </w:pPr>
      <w:r>
        <w:t xml:space="preserve">the tax obligations arising out of the Share Repurchase Scheme. </w:t>
      </w:r>
    </w:p>
    <w:p w14:paraId="198606AA" w14:textId="77777777" w:rsidR="001F0896" w:rsidRPr="00096EF1" w:rsidRDefault="001F0896" w:rsidP="001F0896">
      <w:pPr>
        <w:spacing w:line="360" w:lineRule="auto"/>
        <w:jc w:val="both"/>
        <w:rPr>
          <w:sz w:val="20"/>
          <w:szCs w:val="20"/>
        </w:rPr>
      </w:pPr>
    </w:p>
    <w:p w14:paraId="585A197E" w14:textId="4DC43729" w:rsidR="00385C6B" w:rsidRDefault="00B95DE9" w:rsidP="001F0896">
      <w:pPr>
        <w:spacing w:line="360" w:lineRule="auto"/>
        <w:ind w:firstLine="720"/>
        <w:jc w:val="both"/>
      </w:pPr>
      <w:r>
        <w:t>The</w:t>
      </w:r>
      <w:r w:rsidR="007961B9">
        <w:t xml:space="preserve"> </w:t>
      </w:r>
      <w:r w:rsidR="001F0896">
        <w:t xml:space="preserve">difference between the purchase consideration of twelve million five hundred thousand United States Dollars and the total of the settlements mentioned in the foregoing would be made into a bank account to be nominated by the </w:t>
      </w:r>
      <w:r w:rsidR="009E0C2F">
        <w:t>first</w:t>
      </w:r>
      <w:r w:rsidR="001F0896">
        <w:t xml:space="preserve"> respondent. The share buy-back transaction was finalized on 18 February 2015 after the satisfaction of all the conditions precedent. It is </w:t>
      </w:r>
      <w:r>
        <w:t xml:space="preserve">the </w:t>
      </w:r>
      <w:r w:rsidR="001F0896">
        <w:t xml:space="preserve">applicant’s case that the Share Repurchase Scheme under scrutiny is impeachable in terms of section 45 of the </w:t>
      </w:r>
      <w:r>
        <w:t>repealed</w:t>
      </w:r>
      <w:r w:rsidR="001F0896">
        <w:t xml:space="preserve"> Insolvency Act [</w:t>
      </w:r>
      <w:r w:rsidR="001F0896" w:rsidRPr="001F0896">
        <w:rPr>
          <w:i/>
          <w:iCs/>
        </w:rPr>
        <w:t>Chapter 6:04</w:t>
      </w:r>
      <w:r w:rsidR="001F0896">
        <w:t xml:space="preserve">]. In particular, the disposition in </w:t>
      </w:r>
      <w:r>
        <w:t>favor</w:t>
      </w:r>
      <w:r w:rsidR="001F0896">
        <w:t xml:space="preserve"> of the </w:t>
      </w:r>
      <w:r w:rsidR="009E0C2F">
        <w:t>first</w:t>
      </w:r>
      <w:r w:rsidR="001F0896">
        <w:t xml:space="preserve"> respondent was </w:t>
      </w:r>
      <w:r w:rsidR="00791AE1">
        <w:t>approved</w:t>
      </w:r>
      <w:r w:rsidR="001F0896">
        <w:t xml:space="preserve"> and concluded by Afrasia Kingdom Holdings Limited within </w:t>
      </w:r>
      <w:r w:rsidR="00791AE1">
        <w:t xml:space="preserve">six months immediately preceding the placement of Afrasia Bank Zimbabwe Limited into </w:t>
      </w:r>
      <w:r w:rsidR="00791AE1">
        <w:lastRenderedPageBreak/>
        <w:t xml:space="preserve">liquidation. The applicant argues that the Share Repurchase Scheme had the effect of preferring the </w:t>
      </w:r>
      <w:r w:rsidR="009E0C2F">
        <w:t>first</w:t>
      </w:r>
      <w:r w:rsidR="00791AE1">
        <w:t xml:space="preserve"> and </w:t>
      </w:r>
      <w:r w:rsidR="009E0C2F">
        <w:t xml:space="preserve">second </w:t>
      </w:r>
      <w:r w:rsidR="00791AE1">
        <w:t>respondent</w:t>
      </w:r>
      <w:r w:rsidR="00E4651B">
        <w:t>s</w:t>
      </w:r>
      <w:r w:rsidR="00791AE1">
        <w:t xml:space="preserve"> ahead of all creditors at a time when the liabilities of Afrasia Kingdom Holding Limited </w:t>
      </w:r>
      <w:r>
        <w:t>exceeded</w:t>
      </w:r>
      <w:r w:rsidR="005B62B5">
        <w:t xml:space="preserve"> its assets. </w:t>
      </w:r>
    </w:p>
    <w:p w14:paraId="4EF9F219" w14:textId="46ACB972" w:rsidR="00E06FAA" w:rsidRDefault="005B62B5" w:rsidP="00AA5A9A">
      <w:pPr>
        <w:spacing w:line="360" w:lineRule="auto"/>
        <w:ind w:firstLine="720"/>
        <w:jc w:val="both"/>
      </w:pPr>
      <w:r>
        <w:t>Additionally, t</w:t>
      </w:r>
      <w:r w:rsidR="00791AE1">
        <w:t xml:space="preserve">he applicant submits that the intention of the parties to the Binding Memorandum of Agreement was to protect the interests of the respondents through the preferential treatment of the </w:t>
      </w:r>
      <w:r w:rsidR="009E0C2F">
        <w:t xml:space="preserve">first </w:t>
      </w:r>
      <w:r w:rsidR="00791AE1">
        <w:t xml:space="preserve">and </w:t>
      </w:r>
      <w:r w:rsidR="009E0C2F">
        <w:t xml:space="preserve">second </w:t>
      </w:r>
      <w:r w:rsidR="00B95DE9">
        <w:t>respondents</w:t>
      </w:r>
      <w:r w:rsidR="00791AE1">
        <w:t xml:space="preserve"> above other creditors. The prefe</w:t>
      </w:r>
      <w:r w:rsidR="00DF3FF9">
        <w:t>rence that was extended to the r</w:t>
      </w:r>
      <w:r w:rsidR="00CB6C55">
        <w:t>espondents</w:t>
      </w:r>
      <w:r w:rsidR="00791AE1">
        <w:t xml:space="preserve"> resulted in significant prejudice to Afrasia Bank Zimbabwe Limited as well as to other credit</w:t>
      </w:r>
      <w:r w:rsidR="00CB6C55">
        <w:t xml:space="preserve">ors of the company. The </w:t>
      </w:r>
      <w:r w:rsidR="00791AE1">
        <w:t>disposition through th</w:t>
      </w:r>
      <w:r w:rsidR="00CB6C55">
        <w:t>e Share Repurchase Scheme had</w:t>
      </w:r>
      <w:r w:rsidR="00791AE1">
        <w:t xml:space="preserve"> characteristics of a collusive dealing</w:t>
      </w:r>
      <w:r w:rsidR="00CB6C55">
        <w:t xml:space="preserve">, and disposition of the </w:t>
      </w:r>
      <w:r w:rsidR="009E0C2F">
        <w:t>first</w:t>
      </w:r>
      <w:r w:rsidR="00791AE1">
        <w:t xml:space="preserve"> respondent’s shares by Afrasia Bank Limited </w:t>
      </w:r>
      <w:r w:rsidR="00AA5A9A">
        <w:t>(</w:t>
      </w:r>
      <w:r w:rsidR="00CB6C55">
        <w:t xml:space="preserve">before </w:t>
      </w:r>
      <w:r w:rsidR="00AA5A9A">
        <w:t>placement into liquidation)</w:t>
      </w:r>
      <w:r w:rsidR="00791AE1">
        <w:t xml:space="preserve"> was made outside the ordinary course of business. </w:t>
      </w:r>
    </w:p>
    <w:p w14:paraId="30DBA188" w14:textId="17C95D7D" w:rsidR="00096F9A" w:rsidRDefault="00E06FAA" w:rsidP="000E3CD8">
      <w:pPr>
        <w:spacing w:line="360" w:lineRule="auto"/>
        <w:ind w:firstLine="720"/>
        <w:jc w:val="both"/>
      </w:pPr>
      <w:r>
        <w:t xml:space="preserve">The </w:t>
      </w:r>
      <w:r w:rsidR="009E0C2F">
        <w:t>first</w:t>
      </w:r>
      <w:r>
        <w:t xml:space="preserve"> and </w:t>
      </w:r>
      <w:r w:rsidR="009E0C2F">
        <w:t>second</w:t>
      </w:r>
      <w:r>
        <w:t xml:space="preserve"> respondent</w:t>
      </w:r>
      <w:r w:rsidR="00074A8C">
        <w:t>s opposed the application</w:t>
      </w:r>
      <w:r w:rsidR="00385E6F">
        <w:t>, and began by raising</w:t>
      </w:r>
      <w:r>
        <w:t xml:space="preserve"> preliminary points</w:t>
      </w:r>
      <w:r w:rsidR="00DC3443">
        <w:t xml:space="preserve">. The first was that </w:t>
      </w:r>
      <w:r w:rsidR="002E6007">
        <w:t>there was no cause of action. Secondly, they argued that</w:t>
      </w:r>
      <w:r>
        <w:t xml:space="preserve"> the Insolvency Act does not apply</w:t>
      </w:r>
      <w:r w:rsidR="002E6007">
        <w:t>. Finally, they contended</w:t>
      </w:r>
      <w:r>
        <w:t xml:space="preserve"> that the Reserve</w:t>
      </w:r>
      <w:r w:rsidR="00985341">
        <w:t xml:space="preserve"> Bank of Zimbabwe approved the t</w:t>
      </w:r>
      <w:r>
        <w:t>ransaction as Afrasia Bank’s asset base was sound. On the merits, the respondents</w:t>
      </w:r>
      <w:r w:rsidR="00096F9A">
        <w:t xml:space="preserve"> </w:t>
      </w:r>
      <w:r w:rsidR="00B95DE9">
        <w:t>note</w:t>
      </w:r>
      <w:r w:rsidR="00096F9A">
        <w:t xml:space="preserve"> that the transaction wa</w:t>
      </w:r>
      <w:r w:rsidR="00403AE0">
        <w:t xml:space="preserve">s primarily for the disposal of the </w:t>
      </w:r>
      <w:r w:rsidR="009E0C2F">
        <w:t>first</w:t>
      </w:r>
      <w:r w:rsidR="00096F9A">
        <w:t xml:space="preserve"> respondent’s shares in Afrasia Kingdom Zi</w:t>
      </w:r>
      <w:r w:rsidR="009B1072">
        <w:t>mbabwe Limited. In fact, it involved</w:t>
      </w:r>
      <w:r w:rsidR="00096F9A">
        <w:t xml:space="preserve"> a sale of the shares to the parent company Afrasia Kingdom Zimb</w:t>
      </w:r>
      <w:r w:rsidR="0028065E">
        <w:t>abwe Limited and not to</w:t>
      </w:r>
      <w:r w:rsidR="00096F9A">
        <w:t xml:space="preserve"> Afrasia Kingdom Bank Limited</w:t>
      </w:r>
      <w:r w:rsidR="002E6007">
        <w:t>,</w:t>
      </w:r>
      <w:r w:rsidR="00096F9A">
        <w:t xml:space="preserve"> </w:t>
      </w:r>
      <w:r w:rsidR="00B95DE9">
        <w:t>which</w:t>
      </w:r>
      <w:r w:rsidR="00096F9A">
        <w:t xml:space="preserve"> was eventually placed under liquidation in April 2015. According to the respondents</w:t>
      </w:r>
      <w:r w:rsidR="005615F5">
        <w:t>,</w:t>
      </w:r>
      <w:r>
        <w:t xml:space="preserve"> </w:t>
      </w:r>
      <w:r w:rsidR="00096F9A">
        <w:t xml:space="preserve">the transaction could not have gone through without the approval of the Reserve </w:t>
      </w:r>
      <w:r w:rsidR="00B95DE9">
        <w:t>Bank</w:t>
      </w:r>
      <w:r w:rsidR="005615F5">
        <w:t xml:space="preserve"> of Zimbabwe. They averred that the</w:t>
      </w:r>
      <w:r w:rsidR="00096F9A">
        <w:t xml:space="preserve"> transaction was signed off and approved by the Reserve Bank of Zimb</w:t>
      </w:r>
      <w:r w:rsidR="005615F5">
        <w:t>abwe, and was considered as one</w:t>
      </w:r>
      <w:r w:rsidR="00096F9A">
        <w:t xml:space="preserve"> meant to give liquidity to the bank to help creditors and depositors. </w:t>
      </w:r>
    </w:p>
    <w:p w14:paraId="466881F4" w14:textId="270CF11D" w:rsidR="00A72104" w:rsidRDefault="00096F9A" w:rsidP="001F0896">
      <w:pPr>
        <w:spacing w:line="360" w:lineRule="auto"/>
        <w:ind w:firstLine="720"/>
        <w:jc w:val="both"/>
      </w:pPr>
      <w:r>
        <w:t>The</w:t>
      </w:r>
      <w:r w:rsidR="000F270F">
        <w:t>re was no payment to the</w:t>
      </w:r>
      <w:r>
        <w:t xml:space="preserve"> respondent</w:t>
      </w:r>
      <w:r w:rsidR="000F270F">
        <w:t xml:space="preserve">s </w:t>
      </w:r>
      <w:r>
        <w:t>in actual money</w:t>
      </w:r>
      <w:r w:rsidR="006D07B7">
        <w:t>. I</w:t>
      </w:r>
      <w:r>
        <w:t>nstead</w:t>
      </w:r>
      <w:r w:rsidR="006D07B7">
        <w:t>,</w:t>
      </w:r>
      <w:r>
        <w:t xml:space="preserve"> </w:t>
      </w:r>
      <w:r w:rsidR="00A72104">
        <w:t xml:space="preserve">the sum of two million five hundred thousand United States Dollars was paid </w:t>
      </w:r>
      <w:r w:rsidR="006D07B7">
        <w:t xml:space="preserve">to creditors </w:t>
      </w:r>
      <w:r w:rsidR="00A72104">
        <w:t>as loa</w:t>
      </w:r>
      <w:r w:rsidR="00301D97">
        <w:t>n</w:t>
      </w:r>
      <w:r w:rsidR="006D07B7">
        <w:t xml:space="preserve"> repayments. In effect, it was the</w:t>
      </w:r>
      <w:r w:rsidR="00A72104">
        <w:t xml:space="preserve"> transfer of a non-performing loan book</w:t>
      </w:r>
      <w:r w:rsidR="006D07B7">
        <w:t xml:space="preserve"> and</w:t>
      </w:r>
      <w:r w:rsidR="00A72104">
        <w:t xml:space="preserve"> equipment</w:t>
      </w:r>
      <w:r w:rsidR="006D07B7">
        <w:t>,</w:t>
      </w:r>
      <w:r w:rsidR="00A72104">
        <w:t xml:space="preserve"> which is now with an innocent third party</w:t>
      </w:r>
      <w:r w:rsidR="00CD3F43">
        <w:t>. In any event, t</w:t>
      </w:r>
      <w:r w:rsidR="00A72104">
        <w:t>here wa</w:t>
      </w:r>
      <w:r w:rsidR="000A5397">
        <w:t>s no value retained</w:t>
      </w:r>
      <w:r w:rsidR="00A72104">
        <w:t xml:space="preserve">. The respondents argue that the transaction was above board, </w:t>
      </w:r>
      <w:r w:rsidR="00682C5C">
        <w:t xml:space="preserve">and that it benefitted the bank, </w:t>
      </w:r>
      <w:r w:rsidR="00A72104">
        <w:t xml:space="preserve">its creditors and depositors. The agreement meant that Afrasia Kingdom Zimbabwe Limited was to pay the bank the outstanding obligations of its debtors </w:t>
      </w:r>
      <w:r w:rsidR="00B95DE9">
        <w:t>to</w:t>
      </w:r>
      <w:r w:rsidR="00A72104">
        <w:t xml:space="preserve"> give liquidity to the bank. In essence</w:t>
      </w:r>
      <w:r w:rsidR="00B95DE9">
        <w:t>,</w:t>
      </w:r>
      <w:r w:rsidR="00A72104">
        <w:t xml:space="preserve"> Afrasia Kingdom Zimbabwe Limited would pay: </w:t>
      </w:r>
    </w:p>
    <w:p w14:paraId="42B44076" w14:textId="77777777" w:rsidR="00284468" w:rsidRPr="00284468" w:rsidRDefault="00284468" w:rsidP="001F0896">
      <w:pPr>
        <w:spacing w:line="360" w:lineRule="auto"/>
        <w:ind w:firstLine="720"/>
        <w:jc w:val="both"/>
        <w:rPr>
          <w:sz w:val="12"/>
          <w:szCs w:val="12"/>
        </w:rPr>
      </w:pPr>
    </w:p>
    <w:p w14:paraId="05F9DD68" w14:textId="59ED2E6B" w:rsidR="00096F9A" w:rsidRDefault="00A72104" w:rsidP="00A72104">
      <w:pPr>
        <w:pStyle w:val="ListParagraph"/>
        <w:numPr>
          <w:ilvl w:val="0"/>
          <w:numId w:val="37"/>
        </w:numPr>
        <w:spacing w:line="360" w:lineRule="auto"/>
        <w:jc w:val="both"/>
      </w:pPr>
      <w:r>
        <w:lastRenderedPageBreak/>
        <w:t xml:space="preserve">the bank the sum of five hundred thousand United States Dollars plus interest in settlement of the </w:t>
      </w:r>
      <w:r w:rsidR="009E0C2F">
        <w:t>first</w:t>
      </w:r>
      <w:r>
        <w:t xml:space="preserve"> respondent’s obligation towards the bank; </w:t>
      </w:r>
    </w:p>
    <w:p w14:paraId="291F44FC" w14:textId="262F871D" w:rsidR="00A72104" w:rsidRDefault="00A72104" w:rsidP="00A72104">
      <w:pPr>
        <w:pStyle w:val="ListParagraph"/>
        <w:numPr>
          <w:ilvl w:val="0"/>
          <w:numId w:val="37"/>
        </w:numPr>
        <w:spacing w:line="360" w:lineRule="auto"/>
        <w:jc w:val="both"/>
      </w:pPr>
      <w:r>
        <w:t>the sum of nine hundred and thirty thousand United States Dollars owing on loan account to the bank; and</w:t>
      </w:r>
    </w:p>
    <w:p w14:paraId="381C892A" w14:textId="20124623" w:rsidR="00FE0D82" w:rsidRPr="00DF4D39" w:rsidRDefault="00A72104" w:rsidP="00FE0D82">
      <w:pPr>
        <w:pStyle w:val="ListParagraph"/>
        <w:numPr>
          <w:ilvl w:val="0"/>
          <w:numId w:val="37"/>
        </w:numPr>
        <w:spacing w:line="360" w:lineRule="auto"/>
        <w:jc w:val="both"/>
      </w:pPr>
      <w:r>
        <w:t>the sum of nine million and seventy thousand United States Dollars in settlement of the obligations under the Asset Sale Agreement to the bank.</w:t>
      </w:r>
    </w:p>
    <w:p w14:paraId="58BE8243" w14:textId="60840902" w:rsidR="00026492" w:rsidRDefault="00DF4D39" w:rsidP="00D05BCD">
      <w:pPr>
        <w:spacing w:line="360" w:lineRule="auto"/>
        <w:ind w:firstLine="720"/>
        <w:jc w:val="both"/>
      </w:pPr>
      <w:r>
        <w:t>On the basis of</w:t>
      </w:r>
      <w:r w:rsidR="00FE0D82">
        <w:t xml:space="preserve"> the above </w:t>
      </w:r>
      <w:r w:rsidR="007D5C40">
        <w:t>factual scenario,</w:t>
      </w:r>
      <w:r w:rsidR="00FE0D82">
        <w:t xml:space="preserve"> the respondents argue that there is no legal basis for the purported impeachment of the agreement entered</w:t>
      </w:r>
      <w:r w:rsidR="009A7ECA">
        <w:t xml:space="preserve"> into in 2013 as sought by the a</w:t>
      </w:r>
      <w:r w:rsidR="00FE0D82">
        <w:t xml:space="preserve">pplicant. </w:t>
      </w:r>
      <w:r w:rsidR="002D262C">
        <w:t>The respondents deny that the buy-back transaction was finalized on 18 February 2015</w:t>
      </w:r>
      <w:r w:rsidR="00AA66B1">
        <w:t xml:space="preserve">. On the contrary, they state that </w:t>
      </w:r>
      <w:r w:rsidR="00D2607C">
        <w:t>the agree</w:t>
      </w:r>
      <w:r w:rsidR="00AA66B1">
        <w:t>ment was signed in 2013, which</w:t>
      </w:r>
      <w:r w:rsidR="00D2607C">
        <w:t xml:space="preserve"> remained the date of settlement of the transaction. The respondents also deny that the transaction was meant to prefer</w:t>
      </w:r>
      <w:r w:rsidR="00246DE2">
        <w:t xml:space="preserve"> them above other creditors </w:t>
      </w:r>
      <w:r w:rsidR="00D2607C">
        <w:t xml:space="preserve">to their prejudice. The applicant did not adduce any evidence in this regard. </w:t>
      </w:r>
    </w:p>
    <w:p w14:paraId="61BFD5C1" w14:textId="77777777" w:rsidR="00924BA6" w:rsidRDefault="005F6B80" w:rsidP="004469B8">
      <w:pPr>
        <w:spacing w:line="360" w:lineRule="auto"/>
        <w:ind w:firstLine="720"/>
        <w:jc w:val="both"/>
      </w:pPr>
      <w:r>
        <w:t>T</w:t>
      </w:r>
      <w:r w:rsidR="0057312B">
        <w:t>he respondent</w:t>
      </w:r>
      <w:r w:rsidR="00182E8F">
        <w:t>s</w:t>
      </w:r>
      <w:r w:rsidR="0057312B">
        <w:t xml:space="preserve"> further raised the preliminary point</w:t>
      </w:r>
      <w:r w:rsidR="00026492">
        <w:t xml:space="preserve"> that the applicant </w:t>
      </w:r>
      <w:r w:rsidR="00B95DE9">
        <w:t>cannot</w:t>
      </w:r>
      <w:r w:rsidR="00026492">
        <w:t xml:space="preserve"> institute the present application. It is common cause that a liquidator has </w:t>
      </w:r>
      <w:r w:rsidR="00B95DE9">
        <w:t xml:space="preserve">the </w:t>
      </w:r>
      <w:r w:rsidR="00026492">
        <w:t xml:space="preserve">authority to bring a claim of this nature </w:t>
      </w:r>
      <w:r w:rsidR="00927F10">
        <w:t xml:space="preserve">on behalf of a </w:t>
      </w:r>
      <w:r w:rsidR="00026492">
        <w:t xml:space="preserve">company in liquidation. </w:t>
      </w:r>
      <w:r w:rsidR="000C34BB">
        <w:t xml:space="preserve">In this respect, </w:t>
      </w:r>
      <w:r w:rsidR="008453BB">
        <w:t>s</w:t>
      </w:r>
      <w:r w:rsidR="009E0C2F">
        <w:t xml:space="preserve"> 45</w:t>
      </w:r>
      <w:r w:rsidR="000C34BB">
        <w:t>(1) of the repealed Insolvency Act</w:t>
      </w:r>
      <w:r w:rsidR="00026492">
        <w:t xml:space="preserve"> </w:t>
      </w:r>
      <w:r w:rsidR="00833E9A">
        <w:t xml:space="preserve">empowered the trustee to bring proceedings to set aside any dispositions referred to in </w:t>
      </w:r>
      <w:r w:rsidR="00B95DE9">
        <w:t>ss</w:t>
      </w:r>
      <w:r w:rsidR="00FF6EB3">
        <w:t xml:space="preserve"> 40, 42, 43 or 44 of that Act</w:t>
      </w:r>
      <w:r w:rsidR="00833E9A">
        <w:t xml:space="preserve">. </w:t>
      </w:r>
      <w:r w:rsidR="00C56B10">
        <w:t xml:space="preserve">It is important to briefly state what each of the above sections provides. </w:t>
      </w:r>
      <w:r w:rsidR="004444B0">
        <w:t xml:space="preserve">Disposition without value (made within or before two years of the liquidation application) is dealt with in s 40. </w:t>
      </w:r>
      <w:r w:rsidR="009A2881">
        <w:t>Section 42 deals with voidable preferences, i.e, dispositions of property within six months immediately before the date of liquidation of the company.</w:t>
      </w:r>
      <w:r w:rsidR="00C443F5">
        <w:t xml:space="preserve"> Then </w:t>
      </w:r>
      <w:r w:rsidR="00E801BD">
        <w:t>section 4</w:t>
      </w:r>
      <w:r w:rsidR="005523AF">
        <w:t xml:space="preserve">3 addresses the issue of an undue preference, being a disposition </w:t>
      </w:r>
      <w:r w:rsidR="0096220D">
        <w:t xml:space="preserve">made by a debtor at a time when his liabilities exceeded his assets, with the intention of preferring one creditor over others. </w:t>
      </w:r>
      <w:r w:rsidR="00B62A6C">
        <w:t xml:space="preserve">Lastly, s 44 refers to collusive dealings, which are transactions by a debtor before liquidation in collusion with another person. </w:t>
      </w:r>
      <w:r w:rsidR="00A21468">
        <w:t>The respondents pointedly argued that there is no specific</w:t>
      </w:r>
      <w:r w:rsidR="00AD0607">
        <w:t xml:space="preserve"> cause of action arising from the papers, as the applicant did not state whether the cause of action arose from s</w:t>
      </w:r>
      <w:r w:rsidR="009E0C2F">
        <w:t>s</w:t>
      </w:r>
      <w:r w:rsidR="00AD0607">
        <w:t xml:space="preserve"> 40, 42</w:t>
      </w:r>
      <w:r w:rsidR="00636669">
        <w:t>, 43 or 44.</w:t>
      </w:r>
      <w:r w:rsidR="00D90B3D">
        <w:t xml:space="preserve"> This appears in the </w:t>
      </w:r>
      <w:r w:rsidR="00C76FFF">
        <w:t xml:space="preserve">para 5.5 of the </w:t>
      </w:r>
      <w:r w:rsidR="00D90B3D">
        <w:t xml:space="preserve">opposing affidavit which is on p 70 of the record. </w:t>
      </w:r>
      <w:r w:rsidR="00A21468">
        <w:t xml:space="preserve"> </w:t>
      </w:r>
      <w:r w:rsidR="009D7080">
        <w:t xml:space="preserve">I note that </w:t>
      </w:r>
    </w:p>
    <w:p w14:paraId="77562C73" w14:textId="17783C29" w:rsidR="00A406A1" w:rsidRDefault="004469B8" w:rsidP="00924BA6">
      <w:pPr>
        <w:spacing w:line="360" w:lineRule="auto"/>
        <w:jc w:val="both"/>
      </w:pPr>
      <w:r>
        <w:t>s</w:t>
      </w:r>
      <w:r w:rsidR="009E0C2F">
        <w:t xml:space="preserve"> 45</w:t>
      </w:r>
      <w:r w:rsidR="009D7080">
        <w:t>(1) of the old Act</w:t>
      </w:r>
      <w:r w:rsidR="00833E9A">
        <w:t xml:space="preserve"> does not require the trustee to first seek leave t</w:t>
      </w:r>
      <w:r w:rsidR="009D7080">
        <w:t xml:space="preserve">o do so. </w:t>
      </w:r>
    </w:p>
    <w:p w14:paraId="32B5C230" w14:textId="659B4192" w:rsidR="00A406A1" w:rsidRDefault="00A406A1" w:rsidP="00A406A1">
      <w:pPr>
        <w:spacing w:line="360" w:lineRule="auto"/>
        <w:ind w:firstLine="720"/>
        <w:jc w:val="both"/>
      </w:pPr>
      <w:r>
        <w:t xml:space="preserve">Additionally, the respondents challenged the </w:t>
      </w:r>
      <w:r w:rsidRPr="00A406A1">
        <w:rPr>
          <w:i/>
        </w:rPr>
        <w:t>locus standi</w:t>
      </w:r>
      <w:r>
        <w:t xml:space="preserve"> of the applicants to bring this application. Reliance was placed on s</w:t>
      </w:r>
      <w:r w:rsidR="009E0C2F">
        <w:t xml:space="preserve"> 221</w:t>
      </w:r>
      <w:r w:rsidR="00FA1208">
        <w:t xml:space="preserve">(2) </w:t>
      </w:r>
      <w:r>
        <w:t>of the repealed Companies Act [</w:t>
      </w:r>
      <w:r w:rsidRPr="00833E9A">
        <w:rPr>
          <w:i/>
          <w:iCs/>
        </w:rPr>
        <w:t>Chapter 24:03</w:t>
      </w:r>
      <w:r>
        <w:t>], which provides as follows:</w:t>
      </w:r>
    </w:p>
    <w:p w14:paraId="0F74E658" w14:textId="77777777" w:rsidR="00FA1208" w:rsidRPr="00FA1208" w:rsidRDefault="00FA1208" w:rsidP="00A406A1">
      <w:pPr>
        <w:spacing w:line="360" w:lineRule="auto"/>
        <w:ind w:firstLine="720"/>
        <w:jc w:val="both"/>
        <w:rPr>
          <w:sz w:val="10"/>
          <w:szCs w:val="10"/>
        </w:rPr>
      </w:pPr>
    </w:p>
    <w:p w14:paraId="0E3EEDED" w14:textId="77777777" w:rsidR="00A406A1" w:rsidRPr="00A406A1" w:rsidRDefault="00A406A1" w:rsidP="00A406A1">
      <w:pPr>
        <w:spacing w:line="360" w:lineRule="auto"/>
        <w:ind w:firstLine="720"/>
        <w:jc w:val="both"/>
        <w:rPr>
          <w:sz w:val="2"/>
          <w:szCs w:val="2"/>
        </w:rPr>
      </w:pPr>
    </w:p>
    <w:p w14:paraId="4C841D42" w14:textId="5B3DD186" w:rsidR="00A42319" w:rsidRDefault="00A406A1" w:rsidP="00FA1208">
      <w:pPr>
        <w:ind w:left="720"/>
        <w:jc w:val="both"/>
        <w:rPr>
          <w:sz w:val="22"/>
          <w:szCs w:val="22"/>
        </w:rPr>
      </w:pPr>
      <w:r w:rsidRPr="00FA1208">
        <w:rPr>
          <w:sz w:val="22"/>
          <w:szCs w:val="22"/>
        </w:rPr>
        <w:t>“</w:t>
      </w:r>
      <w:r w:rsidR="00FA1208" w:rsidRPr="00FA1208">
        <w:rPr>
          <w:sz w:val="22"/>
          <w:szCs w:val="22"/>
        </w:rPr>
        <w:t xml:space="preserve">The liquidator shall have power, </w:t>
      </w:r>
      <w:r w:rsidR="00FA1208" w:rsidRPr="00555C14">
        <w:rPr>
          <w:sz w:val="22"/>
          <w:szCs w:val="22"/>
          <w:u w:val="single"/>
        </w:rPr>
        <w:t>with the leave of the court</w:t>
      </w:r>
      <w:r w:rsidR="00FA1208" w:rsidRPr="00FA1208">
        <w:rPr>
          <w:sz w:val="22"/>
          <w:szCs w:val="22"/>
        </w:rPr>
        <w:t xml:space="preserve"> or with the authority mentioned</w:t>
      </w:r>
      <w:r w:rsidR="00FA1208">
        <w:rPr>
          <w:sz w:val="22"/>
          <w:szCs w:val="22"/>
        </w:rPr>
        <w:t xml:space="preserve"> </w:t>
      </w:r>
      <w:r w:rsidR="00950C68">
        <w:rPr>
          <w:sz w:val="22"/>
          <w:szCs w:val="22"/>
        </w:rPr>
        <w:t>in subsection (4) or in paragraph (a) of subsection (4) of section two hundred and eighteen</w:t>
      </w:r>
      <w:r w:rsidR="00A42319">
        <w:rPr>
          <w:sz w:val="22"/>
          <w:szCs w:val="22"/>
        </w:rPr>
        <w:t xml:space="preserve"> –</w:t>
      </w:r>
    </w:p>
    <w:p w14:paraId="41DEAF8F" w14:textId="77777777" w:rsidR="00A42319" w:rsidRPr="00A42319" w:rsidRDefault="00A42319" w:rsidP="00FA1208">
      <w:pPr>
        <w:ind w:left="720"/>
        <w:jc w:val="both"/>
        <w:rPr>
          <w:sz w:val="6"/>
          <w:szCs w:val="6"/>
        </w:rPr>
      </w:pPr>
    </w:p>
    <w:p w14:paraId="411E20F9" w14:textId="3645A2D3" w:rsidR="00FA1208" w:rsidRDefault="00A42319" w:rsidP="00A42319">
      <w:pPr>
        <w:pStyle w:val="ListParagraph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bring or defend in the name of the company any action or other legal proceedings of a civil nature and, subject to any law relating to criminal procedure, any criminal proceedings”.</w:t>
      </w:r>
      <w:r w:rsidR="00FA1208" w:rsidRPr="00A42319">
        <w:rPr>
          <w:sz w:val="22"/>
          <w:szCs w:val="22"/>
        </w:rPr>
        <w:t xml:space="preserve"> </w:t>
      </w:r>
    </w:p>
    <w:p w14:paraId="288448D4" w14:textId="3BC4C8B5" w:rsidR="00555C14" w:rsidRPr="00555C14" w:rsidRDefault="00555C14" w:rsidP="00555C14">
      <w:pPr>
        <w:ind w:left="720"/>
        <w:jc w:val="both"/>
        <w:rPr>
          <w:b/>
          <w:sz w:val="8"/>
          <w:szCs w:val="8"/>
        </w:rPr>
      </w:pPr>
    </w:p>
    <w:p w14:paraId="07548A98" w14:textId="1696B5E3" w:rsidR="00555C14" w:rsidRPr="00555C14" w:rsidRDefault="00555C14" w:rsidP="00555C14">
      <w:pPr>
        <w:ind w:left="720"/>
        <w:jc w:val="both"/>
        <w:rPr>
          <w:b/>
          <w:sz w:val="22"/>
          <w:szCs w:val="22"/>
        </w:rPr>
      </w:pPr>
      <w:r w:rsidRPr="00555C14">
        <w:rPr>
          <w:b/>
          <w:sz w:val="22"/>
          <w:szCs w:val="22"/>
        </w:rPr>
        <w:t>[My own emphasis]</w:t>
      </w:r>
    </w:p>
    <w:p w14:paraId="7B1A676D" w14:textId="4376D6E0" w:rsidR="00A406A1" w:rsidRDefault="00A406A1" w:rsidP="00A406A1">
      <w:pPr>
        <w:spacing w:line="360" w:lineRule="auto"/>
        <w:ind w:firstLine="720"/>
        <w:jc w:val="both"/>
      </w:pPr>
      <w:r>
        <w:t xml:space="preserve">  </w:t>
      </w:r>
    </w:p>
    <w:p w14:paraId="4EC5991E" w14:textId="77777777" w:rsidR="009E0C2F" w:rsidRDefault="00C9555A" w:rsidP="009E0C2F">
      <w:pPr>
        <w:spacing w:line="360" w:lineRule="auto"/>
        <w:ind w:firstLine="720"/>
        <w:jc w:val="both"/>
      </w:pPr>
      <w:r>
        <w:t>Just by way of clarification, s</w:t>
      </w:r>
      <w:r w:rsidR="00343526">
        <w:t>ubsection (4) of s 221 mentioned above, provides that the liquidator may, with the authority of a resolution of creditors</w:t>
      </w:r>
      <w:r w:rsidR="00B858C6">
        <w:t xml:space="preserve"> and contributories, duly by this Act expressly to obtain leave of the court.</w:t>
      </w:r>
      <w:r w:rsidR="00343526">
        <w:t xml:space="preserve"> </w:t>
      </w:r>
      <w:r w:rsidR="009E1CF8">
        <w:t xml:space="preserve">Therefore, it is clear that </w:t>
      </w:r>
      <w:r w:rsidR="00740419">
        <w:t>s</w:t>
      </w:r>
      <w:r w:rsidR="009D7080">
        <w:t xml:space="preserve"> 221 of the </w:t>
      </w:r>
      <w:r w:rsidR="00833E9A">
        <w:t>repealed Companies Act [</w:t>
      </w:r>
      <w:r w:rsidR="00833E9A" w:rsidRPr="00833E9A">
        <w:rPr>
          <w:i/>
          <w:iCs/>
        </w:rPr>
        <w:t>Chapter 24:03</w:t>
      </w:r>
      <w:r w:rsidR="007B06B7">
        <w:t xml:space="preserve">] </w:t>
      </w:r>
      <w:r w:rsidR="002B2D04">
        <w:t>required</w:t>
      </w:r>
      <w:r w:rsidR="00833E9A">
        <w:t xml:space="preserve"> the liquidator</w:t>
      </w:r>
      <w:r w:rsidR="00C12233">
        <w:t xml:space="preserve"> </w:t>
      </w:r>
      <w:r w:rsidR="002B2D04">
        <w:t xml:space="preserve">who </w:t>
      </w:r>
      <w:r w:rsidR="00C12233">
        <w:t>institute</w:t>
      </w:r>
      <w:r w:rsidR="002B2D04">
        <w:t>s</w:t>
      </w:r>
      <w:r w:rsidR="00C12233">
        <w:t xml:space="preserve"> or defend</w:t>
      </w:r>
      <w:r w:rsidR="002B2D04">
        <w:t>s</w:t>
      </w:r>
      <w:r w:rsidR="00C12233">
        <w:t xml:space="preserve"> proceedings</w:t>
      </w:r>
      <w:r w:rsidR="002B2D04">
        <w:t xml:space="preserve"> in the name of the company to</w:t>
      </w:r>
      <w:r w:rsidR="00C12233">
        <w:t xml:space="preserve"> meet</w:t>
      </w:r>
      <w:r w:rsidR="002B2D04">
        <w:t xml:space="preserve"> </w:t>
      </w:r>
      <w:r w:rsidR="00C12233">
        <w:t>certain conditions. Such a liquidator had</w:t>
      </w:r>
      <w:r w:rsidR="00740E89">
        <w:t xml:space="preserve">, </w:t>
      </w:r>
      <w:r w:rsidR="00740E89" w:rsidRPr="00740E89">
        <w:rPr>
          <w:i/>
        </w:rPr>
        <w:t>inter alia</w:t>
      </w:r>
      <w:r w:rsidR="00740E89">
        <w:t xml:space="preserve">, </w:t>
      </w:r>
      <w:r w:rsidR="00C12233">
        <w:t xml:space="preserve">to obtain </w:t>
      </w:r>
      <w:r w:rsidR="00833E9A">
        <w:t xml:space="preserve">the leave of the </w:t>
      </w:r>
      <w:r w:rsidR="00E91CAC">
        <w:t>court or</w:t>
      </w:r>
      <w:r w:rsidR="00833E9A">
        <w:t xml:space="preserve"> authority of a resolution of creditors and contributories</w:t>
      </w:r>
      <w:r w:rsidR="00740E89">
        <w:t>.</w:t>
      </w:r>
      <w:r w:rsidR="00685A02">
        <w:t xml:space="preserve"> Before I conclude, it is necessary to examine the final preliminary point, namely, </w:t>
      </w:r>
      <w:r w:rsidR="008D5F8D">
        <w:t>that the Insolvency Act does not apply to this case.</w:t>
      </w:r>
      <w:r w:rsidR="000B535C">
        <w:t xml:space="preserve"> The respondents contend that the Act would not apply because the bank was not wound up on account of its inability to pay its debts.</w:t>
      </w:r>
      <w:r w:rsidR="000A75C1">
        <w:t xml:space="preserve"> </w:t>
      </w:r>
      <w:r w:rsidR="004E4FA6">
        <w:t>Firstly, they relied on s 270 of the Co</w:t>
      </w:r>
      <w:r w:rsidR="009E0C2F">
        <w:t>mpanies Act</w:t>
      </w:r>
    </w:p>
    <w:p w14:paraId="71E20B65" w14:textId="65137216" w:rsidR="00E91CAC" w:rsidRDefault="004E4FA6" w:rsidP="009E0C2F">
      <w:pPr>
        <w:spacing w:line="360" w:lineRule="auto"/>
        <w:jc w:val="both"/>
      </w:pPr>
      <w:r>
        <w:t>[</w:t>
      </w:r>
      <w:r w:rsidRPr="009E0C2F">
        <w:rPr>
          <w:i/>
        </w:rPr>
        <w:t>Chapter 24:03</w:t>
      </w:r>
      <w:r>
        <w:t xml:space="preserve">], which stipulates that, in the case of a company being wound up for failure to pay its debts, the law governing insolvent estates shall apply with appropriate modifications. </w:t>
      </w:r>
      <w:r w:rsidR="0096320D">
        <w:t xml:space="preserve">Secondly, the respondents argued that, in </w:t>
      </w:r>
      <w:r w:rsidR="0096320D" w:rsidRPr="0096320D">
        <w:rPr>
          <w:i/>
        </w:rPr>
        <w:t>casu</w:t>
      </w:r>
      <w:r w:rsidR="000A75C1">
        <w:t>, the bank was liquidated in terms of s 206(a) of the Companies Act [</w:t>
      </w:r>
      <w:r w:rsidR="000A75C1" w:rsidRPr="009E0C2F">
        <w:rPr>
          <w:i/>
        </w:rPr>
        <w:t>Chapter 24:03</w:t>
      </w:r>
      <w:r w:rsidR="000A75C1">
        <w:t>]</w:t>
      </w:r>
      <w:r w:rsidR="00434CEF">
        <w:t>, by way of surrendering its bank licence to the Reserve Bank of Zimbabwe</w:t>
      </w:r>
      <w:r w:rsidR="006558DF">
        <w:t xml:space="preserve">. In this connection, the respondents relied on </w:t>
      </w:r>
      <w:r w:rsidR="003636C8" w:rsidRPr="00610520">
        <w:rPr>
          <w:i/>
        </w:rPr>
        <w:t>Afrasia Bank</w:t>
      </w:r>
      <w:r w:rsidR="00195BAA" w:rsidRPr="00610520">
        <w:rPr>
          <w:i/>
        </w:rPr>
        <w:t xml:space="preserve"> Bank Zimbabwe Limited </w:t>
      </w:r>
      <w:r w:rsidR="00195BAA">
        <w:t>SC 39-18</w:t>
      </w:r>
      <w:r w:rsidR="00610520">
        <w:t>, where the Supreme Court held that, if there was n</w:t>
      </w:r>
      <w:r w:rsidR="00993D51">
        <w:t>o</w:t>
      </w:r>
      <w:r w:rsidR="00610520">
        <w:t xml:space="preserve"> evidence that the bank was unable to pay its debts, the provisions of the Insolvency Act are inapplicable.</w:t>
      </w:r>
      <w:r w:rsidR="00E91CAC">
        <w:t xml:space="preserve"> </w:t>
      </w:r>
    </w:p>
    <w:p w14:paraId="38FBA0F5" w14:textId="20A9A80D" w:rsidR="00301D97" w:rsidRDefault="00204BC4" w:rsidP="004469B8">
      <w:pPr>
        <w:spacing w:line="360" w:lineRule="auto"/>
        <w:ind w:firstLine="720"/>
        <w:jc w:val="both"/>
      </w:pPr>
      <w:r>
        <w:t>On a consideration of the t</w:t>
      </w:r>
      <w:r w:rsidR="000A47A5">
        <w:t>hree</w:t>
      </w:r>
      <w:r>
        <w:t xml:space="preserve"> points in</w:t>
      </w:r>
      <w:r w:rsidRPr="00204BC4">
        <w:rPr>
          <w:i/>
        </w:rPr>
        <w:t xml:space="preserve"> limine</w:t>
      </w:r>
      <w:r>
        <w:t xml:space="preserve">, I am prepared to be generous </w:t>
      </w:r>
      <w:r w:rsidR="005E563F">
        <w:t xml:space="preserve">to the applicant </w:t>
      </w:r>
      <w:r>
        <w:t xml:space="preserve">and find that the objection based on lack of cause of action has no merit. The applicant has alleged </w:t>
      </w:r>
      <w:r w:rsidR="006C3638">
        <w:t>that the agreement signed by the respondents was meant to give preference to them over other creditors. Consequently, I will dismiss this preliminary point. Turning to the second objection, i</w:t>
      </w:r>
      <w:r w:rsidR="00E91CAC">
        <w:t xml:space="preserve">t is important to point out that the repealed </w:t>
      </w:r>
      <w:r w:rsidR="004469B8">
        <w:t xml:space="preserve">Insolvency Act did not stipulate </w:t>
      </w:r>
      <w:r w:rsidR="00E91CAC">
        <w:t xml:space="preserve">the powers of a liquidator, </w:t>
      </w:r>
      <w:r w:rsidR="004469B8">
        <w:t>as did the repealed Companies Act</w:t>
      </w:r>
      <w:r w:rsidR="00702727">
        <w:t xml:space="preserve">. In </w:t>
      </w:r>
      <w:r w:rsidR="00CA250D" w:rsidRPr="00CA250D">
        <w:rPr>
          <w:i/>
        </w:rPr>
        <w:t>casu</w:t>
      </w:r>
      <w:r w:rsidR="00CA250D">
        <w:t xml:space="preserve">. in the absence of </w:t>
      </w:r>
      <w:r w:rsidR="006276F3">
        <w:t xml:space="preserve">leave of the court </w:t>
      </w:r>
      <w:r w:rsidR="00702727">
        <w:t xml:space="preserve">or authority from a resolution of creditors and or contributories, the applicant </w:t>
      </w:r>
      <w:r w:rsidR="00B95DE9">
        <w:t>is</w:t>
      </w:r>
      <w:r w:rsidR="00702727">
        <w:t xml:space="preserve"> improperly before thi</w:t>
      </w:r>
      <w:r w:rsidR="0028203A">
        <w:t xml:space="preserve">s court.  I am inclined to agree </w:t>
      </w:r>
      <w:r w:rsidR="00182E8F">
        <w:t>that there is merit in</w:t>
      </w:r>
      <w:r w:rsidR="0028203A">
        <w:t xml:space="preserve"> </w:t>
      </w:r>
      <w:r w:rsidR="00702727">
        <w:t xml:space="preserve">the respondents’ </w:t>
      </w:r>
      <w:r w:rsidR="0028203A">
        <w:t xml:space="preserve">preliminary point </w:t>
      </w:r>
      <w:r w:rsidR="00702727">
        <w:t xml:space="preserve">that the applicant </w:t>
      </w:r>
      <w:r w:rsidR="00B95DE9">
        <w:t>cannot</w:t>
      </w:r>
      <w:r w:rsidR="00702727">
        <w:t xml:space="preserve"> bring the present </w:t>
      </w:r>
      <w:r w:rsidR="0028203A">
        <w:t>application</w:t>
      </w:r>
      <w:r w:rsidR="00702727">
        <w:t xml:space="preserve">. </w:t>
      </w:r>
      <w:r w:rsidR="005E563F">
        <w:t xml:space="preserve">As I have decided this application on the basis of </w:t>
      </w:r>
      <w:r w:rsidR="005E563F">
        <w:lastRenderedPageBreak/>
        <w:t xml:space="preserve">the point </w:t>
      </w:r>
      <w:r w:rsidR="005E563F" w:rsidRPr="005E563F">
        <w:rPr>
          <w:i/>
        </w:rPr>
        <w:t>in limine</w:t>
      </w:r>
      <w:r w:rsidR="005E563F">
        <w:t xml:space="preserve"> on </w:t>
      </w:r>
      <w:r w:rsidR="005E563F" w:rsidRPr="005E563F">
        <w:rPr>
          <w:i/>
        </w:rPr>
        <w:t>locus standi</w:t>
      </w:r>
      <w:r w:rsidR="005E563F">
        <w:t xml:space="preserve">, I find it unnecessary to rule on the last objection that the Insolvency Act does not apply in the circumstances in </w:t>
      </w:r>
      <w:r w:rsidR="005E563F" w:rsidRPr="005E563F">
        <w:rPr>
          <w:i/>
        </w:rPr>
        <w:t>casu</w:t>
      </w:r>
      <w:r w:rsidR="005E563F">
        <w:t xml:space="preserve">. </w:t>
      </w:r>
    </w:p>
    <w:p w14:paraId="322EC810" w14:textId="36774BED" w:rsidR="006276F3" w:rsidRDefault="00182E8F" w:rsidP="004469B8">
      <w:pPr>
        <w:spacing w:line="360" w:lineRule="auto"/>
        <w:ind w:firstLine="720"/>
        <w:jc w:val="both"/>
      </w:pPr>
      <w:r>
        <w:t xml:space="preserve">Accordingly, </w:t>
      </w:r>
      <w:r w:rsidR="006276F3">
        <w:t>I make the following order:</w:t>
      </w:r>
    </w:p>
    <w:p w14:paraId="1A153C41" w14:textId="77777777" w:rsidR="006276F3" w:rsidRPr="006276F3" w:rsidRDefault="006276F3" w:rsidP="004469B8">
      <w:pPr>
        <w:spacing w:line="360" w:lineRule="auto"/>
        <w:ind w:firstLine="720"/>
        <w:jc w:val="both"/>
        <w:rPr>
          <w:sz w:val="8"/>
          <w:szCs w:val="8"/>
        </w:rPr>
      </w:pPr>
    </w:p>
    <w:p w14:paraId="69B3BCA6" w14:textId="44DEC6C0" w:rsidR="008B286B" w:rsidRDefault="008B286B" w:rsidP="006276F3">
      <w:pPr>
        <w:pStyle w:val="ListParagraph"/>
        <w:numPr>
          <w:ilvl w:val="0"/>
          <w:numId w:val="39"/>
        </w:numPr>
        <w:spacing w:line="360" w:lineRule="auto"/>
        <w:jc w:val="both"/>
      </w:pPr>
      <w:r>
        <w:t xml:space="preserve">The point </w:t>
      </w:r>
      <w:r w:rsidRPr="008B286B">
        <w:rPr>
          <w:i/>
        </w:rPr>
        <w:t>in limine</w:t>
      </w:r>
      <w:r>
        <w:t xml:space="preserve"> on absence of a cause of action be and is hereby dismissed.</w:t>
      </w:r>
    </w:p>
    <w:p w14:paraId="317B88CB" w14:textId="3503A07B" w:rsidR="008B286B" w:rsidRDefault="008B286B" w:rsidP="006276F3">
      <w:pPr>
        <w:pStyle w:val="ListParagraph"/>
        <w:numPr>
          <w:ilvl w:val="0"/>
          <w:numId w:val="39"/>
        </w:numPr>
        <w:spacing w:line="360" w:lineRule="auto"/>
        <w:jc w:val="both"/>
      </w:pPr>
      <w:r>
        <w:t xml:space="preserve">The point </w:t>
      </w:r>
      <w:r w:rsidRPr="008B286B">
        <w:rPr>
          <w:i/>
        </w:rPr>
        <w:t>in limine</w:t>
      </w:r>
      <w:r>
        <w:t xml:space="preserve"> on lack of </w:t>
      </w:r>
      <w:r w:rsidRPr="008B286B">
        <w:rPr>
          <w:i/>
        </w:rPr>
        <w:t>locus standi</w:t>
      </w:r>
      <w:r>
        <w:t xml:space="preserve"> be and is hereby upheld.</w:t>
      </w:r>
    </w:p>
    <w:p w14:paraId="12433E82" w14:textId="77777777" w:rsidR="008B286B" w:rsidRDefault="006276F3" w:rsidP="006276F3">
      <w:pPr>
        <w:pStyle w:val="ListParagraph"/>
        <w:numPr>
          <w:ilvl w:val="0"/>
          <w:numId w:val="39"/>
        </w:numPr>
        <w:spacing w:line="360" w:lineRule="auto"/>
        <w:jc w:val="both"/>
      </w:pPr>
      <w:r>
        <w:t>Th</w:t>
      </w:r>
      <w:r w:rsidR="008B286B">
        <w:t>is</w:t>
      </w:r>
      <w:r w:rsidR="00182E8F">
        <w:t xml:space="preserve"> application be an</w:t>
      </w:r>
      <w:r w:rsidR="008B286B">
        <w:t>d is hereby struck off the roll.</w:t>
      </w:r>
    </w:p>
    <w:p w14:paraId="5AD15A04" w14:textId="7D1FF324" w:rsidR="008B286B" w:rsidRDefault="008B286B" w:rsidP="00E81EB4">
      <w:pPr>
        <w:pStyle w:val="ListParagraph"/>
        <w:numPr>
          <w:ilvl w:val="0"/>
          <w:numId w:val="39"/>
        </w:numPr>
        <w:spacing w:line="360" w:lineRule="auto"/>
        <w:jc w:val="both"/>
      </w:pPr>
      <w:r>
        <w:t xml:space="preserve">The applicant shall bear the respondents’ </w:t>
      </w:r>
      <w:r w:rsidR="00182E8F">
        <w:t>costs on the ordinar</w:t>
      </w:r>
      <w:r w:rsidR="00E81EB4">
        <w:t>y scale</w:t>
      </w:r>
    </w:p>
    <w:p w14:paraId="70FAA7D5" w14:textId="3328B1AB" w:rsidR="008B286B" w:rsidRDefault="008B286B" w:rsidP="00E81EB4">
      <w:pPr>
        <w:spacing w:line="360" w:lineRule="auto"/>
        <w:jc w:val="both"/>
      </w:pPr>
    </w:p>
    <w:p w14:paraId="337AD4FB" w14:textId="77777777" w:rsidR="008B286B" w:rsidRDefault="008B286B" w:rsidP="00214431">
      <w:pPr>
        <w:spacing w:line="360" w:lineRule="auto"/>
        <w:ind w:firstLine="720"/>
        <w:jc w:val="both"/>
      </w:pPr>
    </w:p>
    <w:p w14:paraId="360C96CD" w14:textId="77777777" w:rsidR="009E0C2F" w:rsidRDefault="009E0C2F" w:rsidP="008B286B">
      <w:pPr>
        <w:jc w:val="both"/>
        <w:rPr>
          <w:i/>
        </w:rPr>
      </w:pPr>
    </w:p>
    <w:p w14:paraId="1C020407" w14:textId="77777777" w:rsidR="009E0C2F" w:rsidRDefault="009E0C2F" w:rsidP="008B286B">
      <w:pPr>
        <w:jc w:val="both"/>
        <w:rPr>
          <w:i/>
        </w:rPr>
      </w:pPr>
    </w:p>
    <w:p w14:paraId="146133F2" w14:textId="77777777" w:rsidR="009E0C2F" w:rsidRDefault="009E0C2F" w:rsidP="008B286B">
      <w:pPr>
        <w:jc w:val="both"/>
        <w:rPr>
          <w:i/>
        </w:rPr>
      </w:pPr>
    </w:p>
    <w:p w14:paraId="758C86B9" w14:textId="77777777" w:rsidR="0089541C" w:rsidRDefault="0089541C" w:rsidP="008B286B">
      <w:pPr>
        <w:jc w:val="both"/>
        <w:rPr>
          <w:i/>
        </w:rPr>
      </w:pPr>
    </w:p>
    <w:p w14:paraId="2B196C95" w14:textId="77777777" w:rsidR="0089541C" w:rsidRDefault="0089541C" w:rsidP="008B286B">
      <w:pPr>
        <w:jc w:val="both"/>
        <w:rPr>
          <w:i/>
        </w:rPr>
      </w:pPr>
    </w:p>
    <w:p w14:paraId="79A6698B" w14:textId="32837253" w:rsidR="0078604C" w:rsidRDefault="008B286B" w:rsidP="008B286B">
      <w:pPr>
        <w:jc w:val="both"/>
      </w:pPr>
      <w:r w:rsidRPr="008B286B">
        <w:rPr>
          <w:i/>
        </w:rPr>
        <w:t>Athrstone &amp; Cook,</w:t>
      </w:r>
      <w:r>
        <w:t xml:space="preserve"> the applicant’s legal practitioners</w:t>
      </w:r>
    </w:p>
    <w:p w14:paraId="77C5AFA4" w14:textId="71E81877" w:rsidR="008B286B" w:rsidRPr="007C7786" w:rsidRDefault="008B286B" w:rsidP="008B286B">
      <w:pPr>
        <w:jc w:val="both"/>
      </w:pPr>
      <w:r w:rsidRPr="008B286B">
        <w:rPr>
          <w:i/>
        </w:rPr>
        <w:t>Dube</w:t>
      </w:r>
      <w:r>
        <w:rPr>
          <w:i/>
        </w:rPr>
        <w:t xml:space="preserve">, </w:t>
      </w:r>
      <w:r w:rsidRPr="008B286B">
        <w:rPr>
          <w:i/>
        </w:rPr>
        <w:t>Manikai &amp; Hwacha,</w:t>
      </w:r>
      <w:r>
        <w:t xml:space="preserve"> the respondents’ legal practitioners</w:t>
      </w:r>
    </w:p>
    <w:sectPr w:rsidR="008B286B" w:rsidRPr="007C7786" w:rsidSect="00500A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5CFAD" w14:textId="77777777" w:rsidR="00EC6B0C" w:rsidRDefault="00EC6B0C" w:rsidP="005A4D7A">
      <w:r>
        <w:separator/>
      </w:r>
    </w:p>
  </w:endnote>
  <w:endnote w:type="continuationSeparator" w:id="0">
    <w:p w14:paraId="070A9506" w14:textId="77777777" w:rsidR="00EC6B0C" w:rsidRDefault="00EC6B0C" w:rsidP="005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95E42" w14:textId="77777777" w:rsidR="00EC6B0C" w:rsidRDefault="00EC6B0C" w:rsidP="005A4D7A">
      <w:r>
        <w:separator/>
      </w:r>
    </w:p>
  </w:footnote>
  <w:footnote w:type="continuationSeparator" w:id="0">
    <w:p w14:paraId="1C595C4C" w14:textId="77777777" w:rsidR="00EC6B0C" w:rsidRDefault="00EC6B0C" w:rsidP="005A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647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0CE10F" w14:textId="626CB5C9" w:rsidR="00AA5A94" w:rsidRDefault="00A406A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3E7">
          <w:rPr>
            <w:noProof/>
          </w:rPr>
          <w:t>1</w:t>
        </w:r>
        <w:r>
          <w:rPr>
            <w:noProof/>
          </w:rPr>
          <w:fldChar w:fldCharType="end"/>
        </w:r>
      </w:p>
      <w:p w14:paraId="61A5DFC0" w14:textId="167AEBA1" w:rsidR="00AA5A94" w:rsidRDefault="00AA5A94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7633DC">
          <w:rPr>
            <w:noProof/>
          </w:rPr>
          <w:t xml:space="preserve"> 598-23</w:t>
        </w:r>
      </w:p>
      <w:p w14:paraId="3E0BD15E" w14:textId="2995C2B3" w:rsidR="00A406A1" w:rsidRDefault="00AA5A94">
        <w:pPr>
          <w:pStyle w:val="Header"/>
          <w:jc w:val="right"/>
        </w:pPr>
        <w:r>
          <w:rPr>
            <w:noProof/>
          </w:rPr>
          <w:t>HC 10824/17</w:t>
        </w:r>
      </w:p>
    </w:sdtContent>
  </w:sdt>
  <w:p w14:paraId="5046F6C3" w14:textId="77777777" w:rsidR="00A406A1" w:rsidRDefault="00A40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FA"/>
    <w:multiLevelType w:val="hybridMultilevel"/>
    <w:tmpl w:val="1A160BE4"/>
    <w:lvl w:ilvl="0" w:tplc="AAECC5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C4031"/>
    <w:multiLevelType w:val="hybridMultilevel"/>
    <w:tmpl w:val="8D2A0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1B24"/>
    <w:multiLevelType w:val="hybridMultilevel"/>
    <w:tmpl w:val="C45A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E31"/>
    <w:multiLevelType w:val="hybridMultilevel"/>
    <w:tmpl w:val="29945FD2"/>
    <w:lvl w:ilvl="0" w:tplc="56FA20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32837"/>
    <w:multiLevelType w:val="hybridMultilevel"/>
    <w:tmpl w:val="E946B29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07925"/>
    <w:multiLevelType w:val="hybridMultilevel"/>
    <w:tmpl w:val="CE460C06"/>
    <w:lvl w:ilvl="0" w:tplc="412CBD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B721D"/>
    <w:multiLevelType w:val="hybridMultilevel"/>
    <w:tmpl w:val="FE0CA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F22DE"/>
    <w:multiLevelType w:val="hybridMultilevel"/>
    <w:tmpl w:val="A6E637D2"/>
    <w:lvl w:ilvl="0" w:tplc="96D4C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402EF"/>
    <w:multiLevelType w:val="hybridMultilevel"/>
    <w:tmpl w:val="9848A35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ABE"/>
    <w:multiLevelType w:val="hybridMultilevel"/>
    <w:tmpl w:val="6C267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80812"/>
    <w:multiLevelType w:val="hybridMultilevel"/>
    <w:tmpl w:val="0612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66D01"/>
    <w:multiLevelType w:val="hybridMultilevel"/>
    <w:tmpl w:val="A9D0178A"/>
    <w:lvl w:ilvl="0" w:tplc="1194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F0DA7"/>
    <w:multiLevelType w:val="hybridMultilevel"/>
    <w:tmpl w:val="027CBE7C"/>
    <w:lvl w:ilvl="0" w:tplc="C7B02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C575EB"/>
    <w:multiLevelType w:val="hybridMultilevel"/>
    <w:tmpl w:val="1690D5BE"/>
    <w:lvl w:ilvl="0" w:tplc="209A3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E6911"/>
    <w:multiLevelType w:val="hybridMultilevel"/>
    <w:tmpl w:val="223E0B8C"/>
    <w:lvl w:ilvl="0" w:tplc="638A22B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3A7594"/>
    <w:multiLevelType w:val="hybridMultilevel"/>
    <w:tmpl w:val="24F40968"/>
    <w:lvl w:ilvl="0" w:tplc="ACE8E2C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9017C6"/>
    <w:multiLevelType w:val="hybridMultilevel"/>
    <w:tmpl w:val="090EB506"/>
    <w:lvl w:ilvl="0" w:tplc="EDFA10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F53390"/>
    <w:multiLevelType w:val="hybridMultilevel"/>
    <w:tmpl w:val="EEA282FA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F94F51"/>
    <w:multiLevelType w:val="hybridMultilevel"/>
    <w:tmpl w:val="3E0E0702"/>
    <w:lvl w:ilvl="0" w:tplc="C58621C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D10756"/>
    <w:multiLevelType w:val="hybridMultilevel"/>
    <w:tmpl w:val="3986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31F3A"/>
    <w:multiLevelType w:val="hybridMultilevel"/>
    <w:tmpl w:val="3F18F61A"/>
    <w:lvl w:ilvl="0" w:tplc="45D44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2C5438"/>
    <w:multiLevelType w:val="hybridMultilevel"/>
    <w:tmpl w:val="2F38E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6236B"/>
    <w:multiLevelType w:val="hybridMultilevel"/>
    <w:tmpl w:val="D2603F36"/>
    <w:lvl w:ilvl="0" w:tplc="AC7461B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4366E14"/>
    <w:multiLevelType w:val="hybridMultilevel"/>
    <w:tmpl w:val="7390EA22"/>
    <w:lvl w:ilvl="0" w:tplc="C85AB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5615F1"/>
    <w:multiLevelType w:val="hybridMultilevel"/>
    <w:tmpl w:val="77EE8AD8"/>
    <w:lvl w:ilvl="0" w:tplc="CDB40C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5F4204"/>
    <w:multiLevelType w:val="hybridMultilevel"/>
    <w:tmpl w:val="BB3C769E"/>
    <w:lvl w:ilvl="0" w:tplc="A99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2070AE"/>
    <w:multiLevelType w:val="hybridMultilevel"/>
    <w:tmpl w:val="F266F6B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6B2"/>
    <w:multiLevelType w:val="hybridMultilevel"/>
    <w:tmpl w:val="3C9204A0"/>
    <w:lvl w:ilvl="0" w:tplc="5C34B7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B7A68"/>
    <w:multiLevelType w:val="hybridMultilevel"/>
    <w:tmpl w:val="BDF60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54BE"/>
    <w:multiLevelType w:val="hybridMultilevel"/>
    <w:tmpl w:val="9C5876A0"/>
    <w:lvl w:ilvl="0" w:tplc="AA04DE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6E6658"/>
    <w:multiLevelType w:val="hybridMultilevel"/>
    <w:tmpl w:val="2C7CF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F4E62"/>
    <w:multiLevelType w:val="hybridMultilevel"/>
    <w:tmpl w:val="60DC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67AE1"/>
    <w:multiLevelType w:val="hybridMultilevel"/>
    <w:tmpl w:val="1EB2D6A0"/>
    <w:lvl w:ilvl="0" w:tplc="6AF2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C94474"/>
    <w:multiLevelType w:val="hybridMultilevel"/>
    <w:tmpl w:val="232A74FA"/>
    <w:lvl w:ilvl="0" w:tplc="1ECA9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E43ABB"/>
    <w:multiLevelType w:val="hybridMultilevel"/>
    <w:tmpl w:val="697893A0"/>
    <w:lvl w:ilvl="0" w:tplc="401CF9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04263"/>
    <w:multiLevelType w:val="hybridMultilevel"/>
    <w:tmpl w:val="6964899E"/>
    <w:lvl w:ilvl="0" w:tplc="150C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F74E4D"/>
    <w:multiLevelType w:val="hybridMultilevel"/>
    <w:tmpl w:val="07F8F8EE"/>
    <w:lvl w:ilvl="0" w:tplc="61A43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D0EC3"/>
    <w:multiLevelType w:val="hybridMultilevel"/>
    <w:tmpl w:val="0A7A51CA"/>
    <w:lvl w:ilvl="0" w:tplc="D834C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9E4F49"/>
    <w:multiLevelType w:val="hybridMultilevel"/>
    <w:tmpl w:val="75B8A838"/>
    <w:lvl w:ilvl="0" w:tplc="BD9445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9"/>
  </w:num>
  <w:num w:numId="3">
    <w:abstractNumId w:val="38"/>
  </w:num>
  <w:num w:numId="4">
    <w:abstractNumId w:val="22"/>
  </w:num>
  <w:num w:numId="5">
    <w:abstractNumId w:val="14"/>
  </w:num>
  <w:num w:numId="6">
    <w:abstractNumId w:val="18"/>
  </w:num>
  <w:num w:numId="7">
    <w:abstractNumId w:val="17"/>
  </w:num>
  <w:num w:numId="8">
    <w:abstractNumId w:val="15"/>
  </w:num>
  <w:num w:numId="9">
    <w:abstractNumId w:val="0"/>
  </w:num>
  <w:num w:numId="10">
    <w:abstractNumId w:val="11"/>
  </w:num>
  <w:num w:numId="11">
    <w:abstractNumId w:val="23"/>
  </w:num>
  <w:num w:numId="12">
    <w:abstractNumId w:val="8"/>
  </w:num>
  <w:num w:numId="13">
    <w:abstractNumId w:val="35"/>
  </w:num>
  <w:num w:numId="14">
    <w:abstractNumId w:val="12"/>
  </w:num>
  <w:num w:numId="15">
    <w:abstractNumId w:val="25"/>
  </w:num>
  <w:num w:numId="16">
    <w:abstractNumId w:val="26"/>
  </w:num>
  <w:num w:numId="17">
    <w:abstractNumId w:val="4"/>
  </w:num>
  <w:num w:numId="18">
    <w:abstractNumId w:val="28"/>
  </w:num>
  <w:num w:numId="19">
    <w:abstractNumId w:val="10"/>
  </w:num>
  <w:num w:numId="20">
    <w:abstractNumId w:val="33"/>
  </w:num>
  <w:num w:numId="21">
    <w:abstractNumId w:val="6"/>
  </w:num>
  <w:num w:numId="22">
    <w:abstractNumId w:val="29"/>
  </w:num>
  <w:num w:numId="23">
    <w:abstractNumId w:val="16"/>
  </w:num>
  <w:num w:numId="24">
    <w:abstractNumId w:val="13"/>
  </w:num>
  <w:num w:numId="25">
    <w:abstractNumId w:val="37"/>
  </w:num>
  <w:num w:numId="26">
    <w:abstractNumId w:val="31"/>
  </w:num>
  <w:num w:numId="27">
    <w:abstractNumId w:val="1"/>
  </w:num>
  <w:num w:numId="28">
    <w:abstractNumId w:val="34"/>
  </w:num>
  <w:num w:numId="29">
    <w:abstractNumId w:val="20"/>
  </w:num>
  <w:num w:numId="30">
    <w:abstractNumId w:val="32"/>
  </w:num>
  <w:num w:numId="31">
    <w:abstractNumId w:val="30"/>
  </w:num>
  <w:num w:numId="32">
    <w:abstractNumId w:val="27"/>
  </w:num>
  <w:num w:numId="33">
    <w:abstractNumId w:val="36"/>
  </w:num>
  <w:num w:numId="34">
    <w:abstractNumId w:val="21"/>
  </w:num>
  <w:num w:numId="35">
    <w:abstractNumId w:val="9"/>
  </w:num>
  <w:num w:numId="36">
    <w:abstractNumId w:val="3"/>
  </w:num>
  <w:num w:numId="37">
    <w:abstractNumId w:val="5"/>
  </w:num>
  <w:num w:numId="38">
    <w:abstractNumId w:val="2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MbEwtbA0MjEzNzRV0lEKTi0uzszPAykwrgUAq7ZWpSwAAAA="/>
  </w:docVars>
  <w:rsids>
    <w:rsidRoot w:val="005A4D7A"/>
    <w:rsid w:val="0000187D"/>
    <w:rsid w:val="00003953"/>
    <w:rsid w:val="00014283"/>
    <w:rsid w:val="00015011"/>
    <w:rsid w:val="000160D4"/>
    <w:rsid w:val="00016103"/>
    <w:rsid w:val="00016290"/>
    <w:rsid w:val="000178BC"/>
    <w:rsid w:val="00020014"/>
    <w:rsid w:val="0002003E"/>
    <w:rsid w:val="00024363"/>
    <w:rsid w:val="00024984"/>
    <w:rsid w:val="0002538E"/>
    <w:rsid w:val="00026492"/>
    <w:rsid w:val="00036F12"/>
    <w:rsid w:val="0003708D"/>
    <w:rsid w:val="00040C2D"/>
    <w:rsid w:val="000437A6"/>
    <w:rsid w:val="00044F27"/>
    <w:rsid w:val="0004559A"/>
    <w:rsid w:val="00047457"/>
    <w:rsid w:val="00051BCE"/>
    <w:rsid w:val="00056DE1"/>
    <w:rsid w:val="000571B7"/>
    <w:rsid w:val="00060409"/>
    <w:rsid w:val="000611E9"/>
    <w:rsid w:val="0006233A"/>
    <w:rsid w:val="000642DE"/>
    <w:rsid w:val="00066EA2"/>
    <w:rsid w:val="000672F9"/>
    <w:rsid w:val="00067E90"/>
    <w:rsid w:val="0007272F"/>
    <w:rsid w:val="00074A8C"/>
    <w:rsid w:val="00077FC2"/>
    <w:rsid w:val="00080A17"/>
    <w:rsid w:val="00080CB4"/>
    <w:rsid w:val="00081C16"/>
    <w:rsid w:val="00086001"/>
    <w:rsid w:val="000865EA"/>
    <w:rsid w:val="00090A23"/>
    <w:rsid w:val="00090E2C"/>
    <w:rsid w:val="000952B7"/>
    <w:rsid w:val="00095349"/>
    <w:rsid w:val="000965BC"/>
    <w:rsid w:val="00096EF1"/>
    <w:rsid w:val="00096F9A"/>
    <w:rsid w:val="0009791D"/>
    <w:rsid w:val="000A47A5"/>
    <w:rsid w:val="000A5397"/>
    <w:rsid w:val="000A59D6"/>
    <w:rsid w:val="000A5B71"/>
    <w:rsid w:val="000A6E82"/>
    <w:rsid w:val="000A75C1"/>
    <w:rsid w:val="000A7E30"/>
    <w:rsid w:val="000B2097"/>
    <w:rsid w:val="000B535C"/>
    <w:rsid w:val="000B67D7"/>
    <w:rsid w:val="000B7869"/>
    <w:rsid w:val="000C2DF8"/>
    <w:rsid w:val="000C34BB"/>
    <w:rsid w:val="000C41BF"/>
    <w:rsid w:val="000D04FF"/>
    <w:rsid w:val="000D059C"/>
    <w:rsid w:val="000D0B80"/>
    <w:rsid w:val="000D0D48"/>
    <w:rsid w:val="000D2E54"/>
    <w:rsid w:val="000D534A"/>
    <w:rsid w:val="000D58E2"/>
    <w:rsid w:val="000D71D6"/>
    <w:rsid w:val="000E04DE"/>
    <w:rsid w:val="000E0734"/>
    <w:rsid w:val="000E158A"/>
    <w:rsid w:val="000E203B"/>
    <w:rsid w:val="000E2799"/>
    <w:rsid w:val="000E3CD8"/>
    <w:rsid w:val="000E4218"/>
    <w:rsid w:val="000F1728"/>
    <w:rsid w:val="000F17BB"/>
    <w:rsid w:val="000F1D04"/>
    <w:rsid w:val="000F26B8"/>
    <w:rsid w:val="000F270F"/>
    <w:rsid w:val="000F2A05"/>
    <w:rsid w:val="000F3663"/>
    <w:rsid w:val="000F4196"/>
    <w:rsid w:val="000F5D3E"/>
    <w:rsid w:val="000F5F75"/>
    <w:rsid w:val="00102516"/>
    <w:rsid w:val="0010433B"/>
    <w:rsid w:val="00104513"/>
    <w:rsid w:val="00111097"/>
    <w:rsid w:val="00116A7B"/>
    <w:rsid w:val="00117A1A"/>
    <w:rsid w:val="001204CB"/>
    <w:rsid w:val="00121ABB"/>
    <w:rsid w:val="00122F4E"/>
    <w:rsid w:val="00123848"/>
    <w:rsid w:val="001243E4"/>
    <w:rsid w:val="00131316"/>
    <w:rsid w:val="00134BA3"/>
    <w:rsid w:val="00136D44"/>
    <w:rsid w:val="00141FC5"/>
    <w:rsid w:val="00146041"/>
    <w:rsid w:val="00150382"/>
    <w:rsid w:val="00151BAF"/>
    <w:rsid w:val="001528F8"/>
    <w:rsid w:val="001532D5"/>
    <w:rsid w:val="00153963"/>
    <w:rsid w:val="001550E0"/>
    <w:rsid w:val="00155A31"/>
    <w:rsid w:val="00160404"/>
    <w:rsid w:val="0016302F"/>
    <w:rsid w:val="0016794A"/>
    <w:rsid w:val="00171E1D"/>
    <w:rsid w:val="0017224B"/>
    <w:rsid w:val="00181783"/>
    <w:rsid w:val="00182E8F"/>
    <w:rsid w:val="0018577E"/>
    <w:rsid w:val="00193712"/>
    <w:rsid w:val="00195BAA"/>
    <w:rsid w:val="00196891"/>
    <w:rsid w:val="00197BA6"/>
    <w:rsid w:val="001A0769"/>
    <w:rsid w:val="001A0DED"/>
    <w:rsid w:val="001A36C2"/>
    <w:rsid w:val="001A4C1C"/>
    <w:rsid w:val="001B1927"/>
    <w:rsid w:val="001B19B6"/>
    <w:rsid w:val="001B5AF1"/>
    <w:rsid w:val="001C1FD5"/>
    <w:rsid w:val="001C2442"/>
    <w:rsid w:val="001C5CAC"/>
    <w:rsid w:val="001D0246"/>
    <w:rsid w:val="001D166B"/>
    <w:rsid w:val="001D5A7E"/>
    <w:rsid w:val="001D681C"/>
    <w:rsid w:val="001D69CA"/>
    <w:rsid w:val="001E2CB7"/>
    <w:rsid w:val="001E3A2E"/>
    <w:rsid w:val="001E3F92"/>
    <w:rsid w:val="001E4D55"/>
    <w:rsid w:val="001E6128"/>
    <w:rsid w:val="001E67D3"/>
    <w:rsid w:val="001F0896"/>
    <w:rsid w:val="001F09AE"/>
    <w:rsid w:val="001F229B"/>
    <w:rsid w:val="001F26A1"/>
    <w:rsid w:val="001F66F3"/>
    <w:rsid w:val="00204BC4"/>
    <w:rsid w:val="00210AA3"/>
    <w:rsid w:val="0021311B"/>
    <w:rsid w:val="002135CB"/>
    <w:rsid w:val="00214036"/>
    <w:rsid w:val="00214431"/>
    <w:rsid w:val="00216164"/>
    <w:rsid w:val="0021673D"/>
    <w:rsid w:val="00222C3C"/>
    <w:rsid w:val="0022768B"/>
    <w:rsid w:val="002320CE"/>
    <w:rsid w:val="002327DD"/>
    <w:rsid w:val="00232A80"/>
    <w:rsid w:val="00233AEE"/>
    <w:rsid w:val="00236E70"/>
    <w:rsid w:val="00240C5D"/>
    <w:rsid w:val="00241B7C"/>
    <w:rsid w:val="0024550C"/>
    <w:rsid w:val="0024593E"/>
    <w:rsid w:val="00245C7E"/>
    <w:rsid w:val="00246DE2"/>
    <w:rsid w:val="002506EF"/>
    <w:rsid w:val="00254367"/>
    <w:rsid w:val="00256EB3"/>
    <w:rsid w:val="00260491"/>
    <w:rsid w:val="002610EF"/>
    <w:rsid w:val="0026143F"/>
    <w:rsid w:val="00261F3E"/>
    <w:rsid w:val="00263E9B"/>
    <w:rsid w:val="00264E2F"/>
    <w:rsid w:val="00272EAD"/>
    <w:rsid w:val="0028065E"/>
    <w:rsid w:val="0028203A"/>
    <w:rsid w:val="00282614"/>
    <w:rsid w:val="00284468"/>
    <w:rsid w:val="0028493F"/>
    <w:rsid w:val="002850F5"/>
    <w:rsid w:val="00285E64"/>
    <w:rsid w:val="002862F4"/>
    <w:rsid w:val="002912A6"/>
    <w:rsid w:val="002918E2"/>
    <w:rsid w:val="00291D53"/>
    <w:rsid w:val="00293088"/>
    <w:rsid w:val="00293B8C"/>
    <w:rsid w:val="002955E3"/>
    <w:rsid w:val="002A0A83"/>
    <w:rsid w:val="002A2898"/>
    <w:rsid w:val="002A3CB3"/>
    <w:rsid w:val="002A6F91"/>
    <w:rsid w:val="002B2577"/>
    <w:rsid w:val="002B2784"/>
    <w:rsid w:val="002B2D04"/>
    <w:rsid w:val="002B549F"/>
    <w:rsid w:val="002D1758"/>
    <w:rsid w:val="002D2008"/>
    <w:rsid w:val="002D262C"/>
    <w:rsid w:val="002D2D9C"/>
    <w:rsid w:val="002D34A3"/>
    <w:rsid w:val="002E127B"/>
    <w:rsid w:val="002E6007"/>
    <w:rsid w:val="002E6FBD"/>
    <w:rsid w:val="002F05E9"/>
    <w:rsid w:val="002F183A"/>
    <w:rsid w:val="002F286B"/>
    <w:rsid w:val="002F60DF"/>
    <w:rsid w:val="00301131"/>
    <w:rsid w:val="00301D97"/>
    <w:rsid w:val="0030244B"/>
    <w:rsid w:val="00302E9F"/>
    <w:rsid w:val="00306E52"/>
    <w:rsid w:val="0031037A"/>
    <w:rsid w:val="00310778"/>
    <w:rsid w:val="00311638"/>
    <w:rsid w:val="0031216D"/>
    <w:rsid w:val="003126EF"/>
    <w:rsid w:val="003128D2"/>
    <w:rsid w:val="00312EB5"/>
    <w:rsid w:val="003155F3"/>
    <w:rsid w:val="00316234"/>
    <w:rsid w:val="003269B4"/>
    <w:rsid w:val="0032732D"/>
    <w:rsid w:val="0033030F"/>
    <w:rsid w:val="00337377"/>
    <w:rsid w:val="00337DAA"/>
    <w:rsid w:val="003414FF"/>
    <w:rsid w:val="00343526"/>
    <w:rsid w:val="00345AEE"/>
    <w:rsid w:val="003463B3"/>
    <w:rsid w:val="0034645B"/>
    <w:rsid w:val="00350971"/>
    <w:rsid w:val="00350B7A"/>
    <w:rsid w:val="00350E8E"/>
    <w:rsid w:val="00355D5A"/>
    <w:rsid w:val="00356BD2"/>
    <w:rsid w:val="003612A4"/>
    <w:rsid w:val="003636C8"/>
    <w:rsid w:val="00363C81"/>
    <w:rsid w:val="003648FB"/>
    <w:rsid w:val="00367E09"/>
    <w:rsid w:val="003713EA"/>
    <w:rsid w:val="003731B8"/>
    <w:rsid w:val="003735AC"/>
    <w:rsid w:val="0037364A"/>
    <w:rsid w:val="00375350"/>
    <w:rsid w:val="00376C8F"/>
    <w:rsid w:val="00384ACD"/>
    <w:rsid w:val="00385C6B"/>
    <w:rsid w:val="00385E6F"/>
    <w:rsid w:val="00387BF0"/>
    <w:rsid w:val="003919A9"/>
    <w:rsid w:val="00391D01"/>
    <w:rsid w:val="00392198"/>
    <w:rsid w:val="00393314"/>
    <w:rsid w:val="003937C0"/>
    <w:rsid w:val="0039522E"/>
    <w:rsid w:val="0039564B"/>
    <w:rsid w:val="00395ACD"/>
    <w:rsid w:val="00397C25"/>
    <w:rsid w:val="003A0463"/>
    <w:rsid w:val="003A20F2"/>
    <w:rsid w:val="003A404E"/>
    <w:rsid w:val="003A6699"/>
    <w:rsid w:val="003A67B7"/>
    <w:rsid w:val="003A7DFB"/>
    <w:rsid w:val="003B04C6"/>
    <w:rsid w:val="003B089D"/>
    <w:rsid w:val="003B46C1"/>
    <w:rsid w:val="003B5F17"/>
    <w:rsid w:val="003B7670"/>
    <w:rsid w:val="003C00A5"/>
    <w:rsid w:val="003D16C4"/>
    <w:rsid w:val="003D2D31"/>
    <w:rsid w:val="003D3A9D"/>
    <w:rsid w:val="003E2799"/>
    <w:rsid w:val="003E2A69"/>
    <w:rsid w:val="003E3469"/>
    <w:rsid w:val="003E3C71"/>
    <w:rsid w:val="003E3FBE"/>
    <w:rsid w:val="003F16BA"/>
    <w:rsid w:val="003F1C94"/>
    <w:rsid w:val="003F1C99"/>
    <w:rsid w:val="003F281B"/>
    <w:rsid w:val="003F46E1"/>
    <w:rsid w:val="003F5FB6"/>
    <w:rsid w:val="003F6A14"/>
    <w:rsid w:val="003F6C9D"/>
    <w:rsid w:val="003F7E0D"/>
    <w:rsid w:val="004006A1"/>
    <w:rsid w:val="00400F8F"/>
    <w:rsid w:val="00401C12"/>
    <w:rsid w:val="00403AE0"/>
    <w:rsid w:val="00405423"/>
    <w:rsid w:val="00406705"/>
    <w:rsid w:val="0041120D"/>
    <w:rsid w:val="004129F4"/>
    <w:rsid w:val="0041384D"/>
    <w:rsid w:val="0041406F"/>
    <w:rsid w:val="00414FA6"/>
    <w:rsid w:val="004169FF"/>
    <w:rsid w:val="004233D1"/>
    <w:rsid w:val="00426038"/>
    <w:rsid w:val="00427C32"/>
    <w:rsid w:val="00427E63"/>
    <w:rsid w:val="00430154"/>
    <w:rsid w:val="00434024"/>
    <w:rsid w:val="004348C6"/>
    <w:rsid w:val="00434CEF"/>
    <w:rsid w:val="004363EE"/>
    <w:rsid w:val="00436BCA"/>
    <w:rsid w:val="00437249"/>
    <w:rsid w:val="00440149"/>
    <w:rsid w:val="00440FE6"/>
    <w:rsid w:val="0044147E"/>
    <w:rsid w:val="00442BE2"/>
    <w:rsid w:val="004444B0"/>
    <w:rsid w:val="004469B8"/>
    <w:rsid w:val="00446C70"/>
    <w:rsid w:val="00447503"/>
    <w:rsid w:val="0045012B"/>
    <w:rsid w:val="0045356E"/>
    <w:rsid w:val="00461487"/>
    <w:rsid w:val="0046215A"/>
    <w:rsid w:val="004633DB"/>
    <w:rsid w:val="004655E0"/>
    <w:rsid w:val="0047026A"/>
    <w:rsid w:val="00472847"/>
    <w:rsid w:val="00480ADB"/>
    <w:rsid w:val="0048216B"/>
    <w:rsid w:val="00483E55"/>
    <w:rsid w:val="00486278"/>
    <w:rsid w:val="004906BC"/>
    <w:rsid w:val="00491D97"/>
    <w:rsid w:val="004924ED"/>
    <w:rsid w:val="0049394A"/>
    <w:rsid w:val="00494246"/>
    <w:rsid w:val="0049730D"/>
    <w:rsid w:val="00497D81"/>
    <w:rsid w:val="004A2BE1"/>
    <w:rsid w:val="004A3FB2"/>
    <w:rsid w:val="004A61A8"/>
    <w:rsid w:val="004A6730"/>
    <w:rsid w:val="004B10DD"/>
    <w:rsid w:val="004B158B"/>
    <w:rsid w:val="004B317E"/>
    <w:rsid w:val="004B56B5"/>
    <w:rsid w:val="004B6342"/>
    <w:rsid w:val="004B682A"/>
    <w:rsid w:val="004B6F2C"/>
    <w:rsid w:val="004B73BD"/>
    <w:rsid w:val="004C01D6"/>
    <w:rsid w:val="004C6E2F"/>
    <w:rsid w:val="004D0E53"/>
    <w:rsid w:val="004D1790"/>
    <w:rsid w:val="004D20EB"/>
    <w:rsid w:val="004D3C5A"/>
    <w:rsid w:val="004D529D"/>
    <w:rsid w:val="004D72F2"/>
    <w:rsid w:val="004E1ABB"/>
    <w:rsid w:val="004E1CA6"/>
    <w:rsid w:val="004E2DB6"/>
    <w:rsid w:val="004E4FA6"/>
    <w:rsid w:val="004E6230"/>
    <w:rsid w:val="004F10AC"/>
    <w:rsid w:val="004F3423"/>
    <w:rsid w:val="004F7E77"/>
    <w:rsid w:val="00500A5F"/>
    <w:rsid w:val="00503F0D"/>
    <w:rsid w:val="00510068"/>
    <w:rsid w:val="005179AE"/>
    <w:rsid w:val="00522AE8"/>
    <w:rsid w:val="005235E2"/>
    <w:rsid w:val="005258BA"/>
    <w:rsid w:val="00530CAF"/>
    <w:rsid w:val="00536DD0"/>
    <w:rsid w:val="00541304"/>
    <w:rsid w:val="00541615"/>
    <w:rsid w:val="0054216A"/>
    <w:rsid w:val="00545E10"/>
    <w:rsid w:val="00546B12"/>
    <w:rsid w:val="00550006"/>
    <w:rsid w:val="00551345"/>
    <w:rsid w:val="005523AF"/>
    <w:rsid w:val="005525DF"/>
    <w:rsid w:val="005542E0"/>
    <w:rsid w:val="00555C14"/>
    <w:rsid w:val="0055781E"/>
    <w:rsid w:val="005615F5"/>
    <w:rsid w:val="00565C43"/>
    <w:rsid w:val="00570DA7"/>
    <w:rsid w:val="00572285"/>
    <w:rsid w:val="0057312B"/>
    <w:rsid w:val="0057514A"/>
    <w:rsid w:val="00576AB1"/>
    <w:rsid w:val="00582248"/>
    <w:rsid w:val="00582299"/>
    <w:rsid w:val="0058439D"/>
    <w:rsid w:val="00585ADB"/>
    <w:rsid w:val="005907B6"/>
    <w:rsid w:val="005A4D7A"/>
    <w:rsid w:val="005A7000"/>
    <w:rsid w:val="005A7777"/>
    <w:rsid w:val="005B0A12"/>
    <w:rsid w:val="005B1138"/>
    <w:rsid w:val="005B531F"/>
    <w:rsid w:val="005B62B5"/>
    <w:rsid w:val="005B7086"/>
    <w:rsid w:val="005C4004"/>
    <w:rsid w:val="005C4C0C"/>
    <w:rsid w:val="005C70F6"/>
    <w:rsid w:val="005D29EF"/>
    <w:rsid w:val="005D2E51"/>
    <w:rsid w:val="005D37E8"/>
    <w:rsid w:val="005D5403"/>
    <w:rsid w:val="005E2CC4"/>
    <w:rsid w:val="005E3DC3"/>
    <w:rsid w:val="005E53B8"/>
    <w:rsid w:val="005E563F"/>
    <w:rsid w:val="005E5CDB"/>
    <w:rsid w:val="005F3CDC"/>
    <w:rsid w:val="005F6B80"/>
    <w:rsid w:val="00602A43"/>
    <w:rsid w:val="00602A48"/>
    <w:rsid w:val="00603CBA"/>
    <w:rsid w:val="0060785B"/>
    <w:rsid w:val="00607D87"/>
    <w:rsid w:val="00610520"/>
    <w:rsid w:val="006126E2"/>
    <w:rsid w:val="006133AF"/>
    <w:rsid w:val="0061454C"/>
    <w:rsid w:val="00617518"/>
    <w:rsid w:val="006212E7"/>
    <w:rsid w:val="00624989"/>
    <w:rsid w:val="00625475"/>
    <w:rsid w:val="006276F3"/>
    <w:rsid w:val="006312A6"/>
    <w:rsid w:val="0063201B"/>
    <w:rsid w:val="006334B3"/>
    <w:rsid w:val="006358B4"/>
    <w:rsid w:val="00635CC0"/>
    <w:rsid w:val="00636669"/>
    <w:rsid w:val="0064272D"/>
    <w:rsid w:val="00643EFC"/>
    <w:rsid w:val="006463C4"/>
    <w:rsid w:val="00646519"/>
    <w:rsid w:val="00650456"/>
    <w:rsid w:val="00651661"/>
    <w:rsid w:val="00651C0C"/>
    <w:rsid w:val="00651C5A"/>
    <w:rsid w:val="006522CB"/>
    <w:rsid w:val="00654D61"/>
    <w:rsid w:val="006558DF"/>
    <w:rsid w:val="00656189"/>
    <w:rsid w:val="0065777F"/>
    <w:rsid w:val="0066174C"/>
    <w:rsid w:val="006621C8"/>
    <w:rsid w:val="006626BA"/>
    <w:rsid w:val="00662E5E"/>
    <w:rsid w:val="0066397C"/>
    <w:rsid w:val="00664246"/>
    <w:rsid w:val="00664375"/>
    <w:rsid w:val="006657D9"/>
    <w:rsid w:val="0066779B"/>
    <w:rsid w:val="00671F28"/>
    <w:rsid w:val="006822D2"/>
    <w:rsid w:val="0068294A"/>
    <w:rsid w:val="00682C5C"/>
    <w:rsid w:val="00684658"/>
    <w:rsid w:val="00684BCF"/>
    <w:rsid w:val="00685A02"/>
    <w:rsid w:val="00686691"/>
    <w:rsid w:val="006871EE"/>
    <w:rsid w:val="00687741"/>
    <w:rsid w:val="00690749"/>
    <w:rsid w:val="00690812"/>
    <w:rsid w:val="00690BD4"/>
    <w:rsid w:val="00692503"/>
    <w:rsid w:val="00693119"/>
    <w:rsid w:val="00693980"/>
    <w:rsid w:val="00694EE5"/>
    <w:rsid w:val="006967A1"/>
    <w:rsid w:val="006A2FBF"/>
    <w:rsid w:val="006A3152"/>
    <w:rsid w:val="006B2068"/>
    <w:rsid w:val="006B30B6"/>
    <w:rsid w:val="006C3638"/>
    <w:rsid w:val="006C4C49"/>
    <w:rsid w:val="006C55EA"/>
    <w:rsid w:val="006D07B7"/>
    <w:rsid w:val="006D5948"/>
    <w:rsid w:val="006D7540"/>
    <w:rsid w:val="006D7B81"/>
    <w:rsid w:val="006E0D5C"/>
    <w:rsid w:val="006E3078"/>
    <w:rsid w:val="006E4F06"/>
    <w:rsid w:val="006E58AE"/>
    <w:rsid w:val="006E65FF"/>
    <w:rsid w:val="006E7CF0"/>
    <w:rsid w:val="006F1C05"/>
    <w:rsid w:val="006F4D38"/>
    <w:rsid w:val="006F623A"/>
    <w:rsid w:val="00702727"/>
    <w:rsid w:val="007036FF"/>
    <w:rsid w:val="00705FFC"/>
    <w:rsid w:val="00707C19"/>
    <w:rsid w:val="00710177"/>
    <w:rsid w:val="00717EC6"/>
    <w:rsid w:val="00725659"/>
    <w:rsid w:val="00726400"/>
    <w:rsid w:val="00731A1B"/>
    <w:rsid w:val="007344EE"/>
    <w:rsid w:val="007356A8"/>
    <w:rsid w:val="00735D94"/>
    <w:rsid w:val="00740419"/>
    <w:rsid w:val="00740E89"/>
    <w:rsid w:val="007432D9"/>
    <w:rsid w:val="00743437"/>
    <w:rsid w:val="00743671"/>
    <w:rsid w:val="00744F95"/>
    <w:rsid w:val="00745A88"/>
    <w:rsid w:val="00745DDE"/>
    <w:rsid w:val="00746347"/>
    <w:rsid w:val="00751708"/>
    <w:rsid w:val="00751B16"/>
    <w:rsid w:val="007533C7"/>
    <w:rsid w:val="0075667E"/>
    <w:rsid w:val="007601EC"/>
    <w:rsid w:val="007604BD"/>
    <w:rsid w:val="0076159A"/>
    <w:rsid w:val="00763074"/>
    <w:rsid w:val="007633DC"/>
    <w:rsid w:val="007645BC"/>
    <w:rsid w:val="00766A26"/>
    <w:rsid w:val="00771BAA"/>
    <w:rsid w:val="007732FE"/>
    <w:rsid w:val="00774077"/>
    <w:rsid w:val="00781B19"/>
    <w:rsid w:val="00782208"/>
    <w:rsid w:val="00782EBD"/>
    <w:rsid w:val="0078604C"/>
    <w:rsid w:val="00791AE1"/>
    <w:rsid w:val="007928D0"/>
    <w:rsid w:val="007961B9"/>
    <w:rsid w:val="00797CDD"/>
    <w:rsid w:val="007A4D77"/>
    <w:rsid w:val="007A7354"/>
    <w:rsid w:val="007B06B7"/>
    <w:rsid w:val="007B1D00"/>
    <w:rsid w:val="007B2FED"/>
    <w:rsid w:val="007B54BF"/>
    <w:rsid w:val="007C47AD"/>
    <w:rsid w:val="007C5075"/>
    <w:rsid w:val="007C5FC8"/>
    <w:rsid w:val="007C6197"/>
    <w:rsid w:val="007C681A"/>
    <w:rsid w:val="007C6ADB"/>
    <w:rsid w:val="007C7407"/>
    <w:rsid w:val="007D021B"/>
    <w:rsid w:val="007D2C19"/>
    <w:rsid w:val="007D3D7E"/>
    <w:rsid w:val="007D4377"/>
    <w:rsid w:val="007D5C40"/>
    <w:rsid w:val="007E2071"/>
    <w:rsid w:val="007E4A9B"/>
    <w:rsid w:val="007E531D"/>
    <w:rsid w:val="007E61CA"/>
    <w:rsid w:val="007F13A7"/>
    <w:rsid w:val="007F548B"/>
    <w:rsid w:val="007F6C87"/>
    <w:rsid w:val="00800AA5"/>
    <w:rsid w:val="00804E6A"/>
    <w:rsid w:val="008059A6"/>
    <w:rsid w:val="00806DA7"/>
    <w:rsid w:val="0081259F"/>
    <w:rsid w:val="0081551A"/>
    <w:rsid w:val="0082157B"/>
    <w:rsid w:val="00833E9A"/>
    <w:rsid w:val="008352B8"/>
    <w:rsid w:val="0084029F"/>
    <w:rsid w:val="00844403"/>
    <w:rsid w:val="008453BB"/>
    <w:rsid w:val="00861F9C"/>
    <w:rsid w:val="0086470B"/>
    <w:rsid w:val="00865937"/>
    <w:rsid w:val="00866A63"/>
    <w:rsid w:val="00866CC9"/>
    <w:rsid w:val="00870ED5"/>
    <w:rsid w:val="0087256C"/>
    <w:rsid w:val="0087664B"/>
    <w:rsid w:val="00880747"/>
    <w:rsid w:val="00890055"/>
    <w:rsid w:val="00890C2B"/>
    <w:rsid w:val="00893340"/>
    <w:rsid w:val="0089437C"/>
    <w:rsid w:val="0089541C"/>
    <w:rsid w:val="00895640"/>
    <w:rsid w:val="008978E6"/>
    <w:rsid w:val="008A0B77"/>
    <w:rsid w:val="008A13E0"/>
    <w:rsid w:val="008A4817"/>
    <w:rsid w:val="008B286B"/>
    <w:rsid w:val="008B5ABF"/>
    <w:rsid w:val="008B6914"/>
    <w:rsid w:val="008C0425"/>
    <w:rsid w:val="008C362C"/>
    <w:rsid w:val="008C7AEC"/>
    <w:rsid w:val="008D5F8D"/>
    <w:rsid w:val="008D6634"/>
    <w:rsid w:val="008E05A8"/>
    <w:rsid w:val="008E7622"/>
    <w:rsid w:val="008F555E"/>
    <w:rsid w:val="009000AB"/>
    <w:rsid w:val="00900FA8"/>
    <w:rsid w:val="0090407F"/>
    <w:rsid w:val="009047B4"/>
    <w:rsid w:val="00913151"/>
    <w:rsid w:val="00914F63"/>
    <w:rsid w:val="00916FBE"/>
    <w:rsid w:val="0092009B"/>
    <w:rsid w:val="0092043A"/>
    <w:rsid w:val="00920A1A"/>
    <w:rsid w:val="00924BA6"/>
    <w:rsid w:val="00927F10"/>
    <w:rsid w:val="00933E47"/>
    <w:rsid w:val="009371D8"/>
    <w:rsid w:val="00944FD8"/>
    <w:rsid w:val="00950C68"/>
    <w:rsid w:val="009537B3"/>
    <w:rsid w:val="009539AD"/>
    <w:rsid w:val="00955031"/>
    <w:rsid w:val="00955404"/>
    <w:rsid w:val="00956603"/>
    <w:rsid w:val="0096220D"/>
    <w:rsid w:val="0096320D"/>
    <w:rsid w:val="009649BC"/>
    <w:rsid w:val="009662B4"/>
    <w:rsid w:val="00970CB3"/>
    <w:rsid w:val="0097319C"/>
    <w:rsid w:val="009733E7"/>
    <w:rsid w:val="00973C82"/>
    <w:rsid w:val="0097512A"/>
    <w:rsid w:val="009771F7"/>
    <w:rsid w:val="00980E7E"/>
    <w:rsid w:val="00985341"/>
    <w:rsid w:val="009856EF"/>
    <w:rsid w:val="00993D51"/>
    <w:rsid w:val="00994144"/>
    <w:rsid w:val="009A2881"/>
    <w:rsid w:val="009A304E"/>
    <w:rsid w:val="009A35C7"/>
    <w:rsid w:val="009A3715"/>
    <w:rsid w:val="009A3D40"/>
    <w:rsid w:val="009A5E66"/>
    <w:rsid w:val="009A7838"/>
    <w:rsid w:val="009A7ECA"/>
    <w:rsid w:val="009B1072"/>
    <w:rsid w:val="009B2188"/>
    <w:rsid w:val="009B26A0"/>
    <w:rsid w:val="009B4BAB"/>
    <w:rsid w:val="009B77C1"/>
    <w:rsid w:val="009C0AD8"/>
    <w:rsid w:val="009C18C8"/>
    <w:rsid w:val="009D4C6C"/>
    <w:rsid w:val="009D5426"/>
    <w:rsid w:val="009D5DC1"/>
    <w:rsid w:val="009D7080"/>
    <w:rsid w:val="009D7E96"/>
    <w:rsid w:val="009E026D"/>
    <w:rsid w:val="009E057B"/>
    <w:rsid w:val="009E0ABA"/>
    <w:rsid w:val="009E0C2F"/>
    <w:rsid w:val="009E136D"/>
    <w:rsid w:val="009E1CF8"/>
    <w:rsid w:val="009E2C74"/>
    <w:rsid w:val="009E41AC"/>
    <w:rsid w:val="009E4D0A"/>
    <w:rsid w:val="009F1254"/>
    <w:rsid w:val="009F1EE6"/>
    <w:rsid w:val="009F328A"/>
    <w:rsid w:val="009F5882"/>
    <w:rsid w:val="009F7257"/>
    <w:rsid w:val="00A05784"/>
    <w:rsid w:val="00A113D8"/>
    <w:rsid w:val="00A15259"/>
    <w:rsid w:val="00A15C72"/>
    <w:rsid w:val="00A17652"/>
    <w:rsid w:val="00A17BFD"/>
    <w:rsid w:val="00A2030D"/>
    <w:rsid w:val="00A21468"/>
    <w:rsid w:val="00A264C8"/>
    <w:rsid w:val="00A264D7"/>
    <w:rsid w:val="00A27912"/>
    <w:rsid w:val="00A34C5A"/>
    <w:rsid w:val="00A406A1"/>
    <w:rsid w:val="00A42319"/>
    <w:rsid w:val="00A43366"/>
    <w:rsid w:val="00A51299"/>
    <w:rsid w:val="00A55111"/>
    <w:rsid w:val="00A55D96"/>
    <w:rsid w:val="00A56C55"/>
    <w:rsid w:val="00A574F2"/>
    <w:rsid w:val="00A61D81"/>
    <w:rsid w:val="00A648DF"/>
    <w:rsid w:val="00A714CE"/>
    <w:rsid w:val="00A72104"/>
    <w:rsid w:val="00A722B7"/>
    <w:rsid w:val="00A72B47"/>
    <w:rsid w:val="00A7475A"/>
    <w:rsid w:val="00A77D68"/>
    <w:rsid w:val="00A800BF"/>
    <w:rsid w:val="00A81FE3"/>
    <w:rsid w:val="00A831D8"/>
    <w:rsid w:val="00A83860"/>
    <w:rsid w:val="00A83ECD"/>
    <w:rsid w:val="00A87CA1"/>
    <w:rsid w:val="00AA243F"/>
    <w:rsid w:val="00AA285B"/>
    <w:rsid w:val="00AA2E8A"/>
    <w:rsid w:val="00AA30A6"/>
    <w:rsid w:val="00AA5A94"/>
    <w:rsid w:val="00AA5A9A"/>
    <w:rsid w:val="00AA66B1"/>
    <w:rsid w:val="00AB0879"/>
    <w:rsid w:val="00AB66E0"/>
    <w:rsid w:val="00AB6AAC"/>
    <w:rsid w:val="00AC1FE7"/>
    <w:rsid w:val="00AC6CF4"/>
    <w:rsid w:val="00AC719A"/>
    <w:rsid w:val="00AD0607"/>
    <w:rsid w:val="00AD233D"/>
    <w:rsid w:val="00AD2F06"/>
    <w:rsid w:val="00AD41C4"/>
    <w:rsid w:val="00AD4C7B"/>
    <w:rsid w:val="00AD5601"/>
    <w:rsid w:val="00AD681C"/>
    <w:rsid w:val="00AE1292"/>
    <w:rsid w:val="00AE2D98"/>
    <w:rsid w:val="00AE480F"/>
    <w:rsid w:val="00AE7A15"/>
    <w:rsid w:val="00AF29B0"/>
    <w:rsid w:val="00AF3D0A"/>
    <w:rsid w:val="00AF4DB5"/>
    <w:rsid w:val="00AF549A"/>
    <w:rsid w:val="00AF5526"/>
    <w:rsid w:val="00AF7156"/>
    <w:rsid w:val="00B01025"/>
    <w:rsid w:val="00B01F42"/>
    <w:rsid w:val="00B03919"/>
    <w:rsid w:val="00B054C7"/>
    <w:rsid w:val="00B1049C"/>
    <w:rsid w:val="00B10C6D"/>
    <w:rsid w:val="00B11A35"/>
    <w:rsid w:val="00B11FF9"/>
    <w:rsid w:val="00B1216B"/>
    <w:rsid w:val="00B14242"/>
    <w:rsid w:val="00B16B55"/>
    <w:rsid w:val="00B17373"/>
    <w:rsid w:val="00B22029"/>
    <w:rsid w:val="00B223FE"/>
    <w:rsid w:val="00B22F3F"/>
    <w:rsid w:val="00B2319D"/>
    <w:rsid w:val="00B23941"/>
    <w:rsid w:val="00B33738"/>
    <w:rsid w:val="00B34691"/>
    <w:rsid w:val="00B3518D"/>
    <w:rsid w:val="00B40A62"/>
    <w:rsid w:val="00B41690"/>
    <w:rsid w:val="00B41DB3"/>
    <w:rsid w:val="00B43B15"/>
    <w:rsid w:val="00B44BAA"/>
    <w:rsid w:val="00B45D95"/>
    <w:rsid w:val="00B45F49"/>
    <w:rsid w:val="00B52494"/>
    <w:rsid w:val="00B560BD"/>
    <w:rsid w:val="00B568E0"/>
    <w:rsid w:val="00B57BE2"/>
    <w:rsid w:val="00B602F2"/>
    <w:rsid w:val="00B61E1C"/>
    <w:rsid w:val="00B628A5"/>
    <w:rsid w:val="00B62A6C"/>
    <w:rsid w:val="00B631EE"/>
    <w:rsid w:val="00B6330D"/>
    <w:rsid w:val="00B65351"/>
    <w:rsid w:val="00B678AE"/>
    <w:rsid w:val="00B75FCD"/>
    <w:rsid w:val="00B76E0F"/>
    <w:rsid w:val="00B802E2"/>
    <w:rsid w:val="00B80E31"/>
    <w:rsid w:val="00B83F70"/>
    <w:rsid w:val="00B8536B"/>
    <w:rsid w:val="00B858C6"/>
    <w:rsid w:val="00B869D8"/>
    <w:rsid w:val="00B879C8"/>
    <w:rsid w:val="00B87B13"/>
    <w:rsid w:val="00B90284"/>
    <w:rsid w:val="00B95DE9"/>
    <w:rsid w:val="00BA55BE"/>
    <w:rsid w:val="00BB03DD"/>
    <w:rsid w:val="00BB13BE"/>
    <w:rsid w:val="00BC1321"/>
    <w:rsid w:val="00BC2345"/>
    <w:rsid w:val="00BC5352"/>
    <w:rsid w:val="00BD2C84"/>
    <w:rsid w:val="00BD2FF4"/>
    <w:rsid w:val="00BE36FF"/>
    <w:rsid w:val="00BE40D7"/>
    <w:rsid w:val="00BE5E41"/>
    <w:rsid w:val="00BF2527"/>
    <w:rsid w:val="00BF43C2"/>
    <w:rsid w:val="00BF7893"/>
    <w:rsid w:val="00BF7BFC"/>
    <w:rsid w:val="00C03FF2"/>
    <w:rsid w:val="00C06CD9"/>
    <w:rsid w:val="00C06DF5"/>
    <w:rsid w:val="00C1024D"/>
    <w:rsid w:val="00C12233"/>
    <w:rsid w:val="00C1322C"/>
    <w:rsid w:val="00C13DF8"/>
    <w:rsid w:val="00C14F18"/>
    <w:rsid w:val="00C15C85"/>
    <w:rsid w:val="00C16E9B"/>
    <w:rsid w:val="00C20D4D"/>
    <w:rsid w:val="00C251E9"/>
    <w:rsid w:val="00C301FD"/>
    <w:rsid w:val="00C355B0"/>
    <w:rsid w:val="00C443F5"/>
    <w:rsid w:val="00C45974"/>
    <w:rsid w:val="00C45AD7"/>
    <w:rsid w:val="00C52288"/>
    <w:rsid w:val="00C56B10"/>
    <w:rsid w:val="00C57737"/>
    <w:rsid w:val="00C61531"/>
    <w:rsid w:val="00C62A45"/>
    <w:rsid w:val="00C63D1E"/>
    <w:rsid w:val="00C659C4"/>
    <w:rsid w:val="00C65BAF"/>
    <w:rsid w:val="00C704A0"/>
    <w:rsid w:val="00C71FB5"/>
    <w:rsid w:val="00C74E5B"/>
    <w:rsid w:val="00C76FFF"/>
    <w:rsid w:val="00C77795"/>
    <w:rsid w:val="00C821E4"/>
    <w:rsid w:val="00C82738"/>
    <w:rsid w:val="00C83510"/>
    <w:rsid w:val="00C835A5"/>
    <w:rsid w:val="00C87CDA"/>
    <w:rsid w:val="00C90A12"/>
    <w:rsid w:val="00C91487"/>
    <w:rsid w:val="00C9237D"/>
    <w:rsid w:val="00C92F51"/>
    <w:rsid w:val="00C9555A"/>
    <w:rsid w:val="00CA0E43"/>
    <w:rsid w:val="00CA250D"/>
    <w:rsid w:val="00CA4A61"/>
    <w:rsid w:val="00CA5C6A"/>
    <w:rsid w:val="00CA68DA"/>
    <w:rsid w:val="00CB6C55"/>
    <w:rsid w:val="00CC05CA"/>
    <w:rsid w:val="00CC074F"/>
    <w:rsid w:val="00CC2D0E"/>
    <w:rsid w:val="00CC3CCE"/>
    <w:rsid w:val="00CD12E4"/>
    <w:rsid w:val="00CD1DCF"/>
    <w:rsid w:val="00CD205D"/>
    <w:rsid w:val="00CD2266"/>
    <w:rsid w:val="00CD3F43"/>
    <w:rsid w:val="00CD551B"/>
    <w:rsid w:val="00CD67B2"/>
    <w:rsid w:val="00CE1A51"/>
    <w:rsid w:val="00CE37B8"/>
    <w:rsid w:val="00CE42F4"/>
    <w:rsid w:val="00CE5F3F"/>
    <w:rsid w:val="00CE6CD3"/>
    <w:rsid w:val="00CE71F7"/>
    <w:rsid w:val="00CF03B8"/>
    <w:rsid w:val="00CF13FA"/>
    <w:rsid w:val="00CF2C19"/>
    <w:rsid w:val="00CF2F9C"/>
    <w:rsid w:val="00CF3048"/>
    <w:rsid w:val="00CF3683"/>
    <w:rsid w:val="00CF4CD8"/>
    <w:rsid w:val="00CF514A"/>
    <w:rsid w:val="00CF7486"/>
    <w:rsid w:val="00D0115D"/>
    <w:rsid w:val="00D03463"/>
    <w:rsid w:val="00D03DA6"/>
    <w:rsid w:val="00D0424C"/>
    <w:rsid w:val="00D05BCD"/>
    <w:rsid w:val="00D11D6C"/>
    <w:rsid w:val="00D1468B"/>
    <w:rsid w:val="00D17074"/>
    <w:rsid w:val="00D221E4"/>
    <w:rsid w:val="00D229F7"/>
    <w:rsid w:val="00D22B29"/>
    <w:rsid w:val="00D233F5"/>
    <w:rsid w:val="00D256EE"/>
    <w:rsid w:val="00D2607C"/>
    <w:rsid w:val="00D27A4B"/>
    <w:rsid w:val="00D34EB7"/>
    <w:rsid w:val="00D3556F"/>
    <w:rsid w:val="00D375C6"/>
    <w:rsid w:val="00D411BC"/>
    <w:rsid w:val="00D442D8"/>
    <w:rsid w:val="00D454A3"/>
    <w:rsid w:val="00D45BC9"/>
    <w:rsid w:val="00D4619C"/>
    <w:rsid w:val="00D47D22"/>
    <w:rsid w:val="00D50D83"/>
    <w:rsid w:val="00D52F95"/>
    <w:rsid w:val="00D53AC2"/>
    <w:rsid w:val="00D546E2"/>
    <w:rsid w:val="00D5556E"/>
    <w:rsid w:val="00D56C36"/>
    <w:rsid w:val="00D57B0C"/>
    <w:rsid w:val="00D60C39"/>
    <w:rsid w:val="00D610A0"/>
    <w:rsid w:val="00D67CA0"/>
    <w:rsid w:val="00D7118C"/>
    <w:rsid w:val="00D73B56"/>
    <w:rsid w:val="00D8078C"/>
    <w:rsid w:val="00D8336B"/>
    <w:rsid w:val="00D84A30"/>
    <w:rsid w:val="00D85FA4"/>
    <w:rsid w:val="00D86BF2"/>
    <w:rsid w:val="00D90B3D"/>
    <w:rsid w:val="00D91253"/>
    <w:rsid w:val="00D94006"/>
    <w:rsid w:val="00D952FF"/>
    <w:rsid w:val="00D9603F"/>
    <w:rsid w:val="00D96C7F"/>
    <w:rsid w:val="00D978CD"/>
    <w:rsid w:val="00DA22AB"/>
    <w:rsid w:val="00DA3D80"/>
    <w:rsid w:val="00DA487D"/>
    <w:rsid w:val="00DA4CCD"/>
    <w:rsid w:val="00DA67EF"/>
    <w:rsid w:val="00DA6877"/>
    <w:rsid w:val="00DA68EE"/>
    <w:rsid w:val="00DB3F3F"/>
    <w:rsid w:val="00DC02B4"/>
    <w:rsid w:val="00DC31A1"/>
    <w:rsid w:val="00DC3443"/>
    <w:rsid w:val="00DC67DE"/>
    <w:rsid w:val="00DD0051"/>
    <w:rsid w:val="00DD316A"/>
    <w:rsid w:val="00DD53F9"/>
    <w:rsid w:val="00DD5F5C"/>
    <w:rsid w:val="00DD6155"/>
    <w:rsid w:val="00DD6400"/>
    <w:rsid w:val="00DD6846"/>
    <w:rsid w:val="00DD7ABA"/>
    <w:rsid w:val="00DE07AE"/>
    <w:rsid w:val="00DE0E4F"/>
    <w:rsid w:val="00DE1A4B"/>
    <w:rsid w:val="00DE29AF"/>
    <w:rsid w:val="00DE2B30"/>
    <w:rsid w:val="00DE4B06"/>
    <w:rsid w:val="00DE5EA0"/>
    <w:rsid w:val="00DE72E7"/>
    <w:rsid w:val="00DF0BEC"/>
    <w:rsid w:val="00DF1C6B"/>
    <w:rsid w:val="00DF3FF9"/>
    <w:rsid w:val="00DF4D39"/>
    <w:rsid w:val="00E00E80"/>
    <w:rsid w:val="00E0317A"/>
    <w:rsid w:val="00E0653E"/>
    <w:rsid w:val="00E06FAA"/>
    <w:rsid w:val="00E104FA"/>
    <w:rsid w:val="00E120FB"/>
    <w:rsid w:val="00E13434"/>
    <w:rsid w:val="00E13D2B"/>
    <w:rsid w:val="00E169E5"/>
    <w:rsid w:val="00E17B12"/>
    <w:rsid w:val="00E24E67"/>
    <w:rsid w:val="00E26252"/>
    <w:rsid w:val="00E265C2"/>
    <w:rsid w:val="00E3427A"/>
    <w:rsid w:val="00E426B2"/>
    <w:rsid w:val="00E43CF6"/>
    <w:rsid w:val="00E44C2B"/>
    <w:rsid w:val="00E4651B"/>
    <w:rsid w:val="00E468F7"/>
    <w:rsid w:val="00E529ED"/>
    <w:rsid w:val="00E55C52"/>
    <w:rsid w:val="00E56569"/>
    <w:rsid w:val="00E63094"/>
    <w:rsid w:val="00E631D6"/>
    <w:rsid w:val="00E6468D"/>
    <w:rsid w:val="00E658BB"/>
    <w:rsid w:val="00E65C65"/>
    <w:rsid w:val="00E708FC"/>
    <w:rsid w:val="00E7504A"/>
    <w:rsid w:val="00E76A2A"/>
    <w:rsid w:val="00E7721E"/>
    <w:rsid w:val="00E801BD"/>
    <w:rsid w:val="00E809B8"/>
    <w:rsid w:val="00E8133B"/>
    <w:rsid w:val="00E813FF"/>
    <w:rsid w:val="00E81EB4"/>
    <w:rsid w:val="00E8221E"/>
    <w:rsid w:val="00E82BEA"/>
    <w:rsid w:val="00E84888"/>
    <w:rsid w:val="00E85328"/>
    <w:rsid w:val="00E85449"/>
    <w:rsid w:val="00E85474"/>
    <w:rsid w:val="00E86990"/>
    <w:rsid w:val="00E910DB"/>
    <w:rsid w:val="00E91CAC"/>
    <w:rsid w:val="00E91E91"/>
    <w:rsid w:val="00E92F13"/>
    <w:rsid w:val="00EA0B2D"/>
    <w:rsid w:val="00EA4B21"/>
    <w:rsid w:val="00EA54ED"/>
    <w:rsid w:val="00EA591C"/>
    <w:rsid w:val="00EA6B9F"/>
    <w:rsid w:val="00EA6D42"/>
    <w:rsid w:val="00EB09DB"/>
    <w:rsid w:val="00EB17A0"/>
    <w:rsid w:val="00EB1F7C"/>
    <w:rsid w:val="00EB7F34"/>
    <w:rsid w:val="00EC196E"/>
    <w:rsid w:val="00EC2011"/>
    <w:rsid w:val="00EC6B0C"/>
    <w:rsid w:val="00EC704D"/>
    <w:rsid w:val="00ED1097"/>
    <w:rsid w:val="00ED1587"/>
    <w:rsid w:val="00ED2D19"/>
    <w:rsid w:val="00ED46AD"/>
    <w:rsid w:val="00ED4F11"/>
    <w:rsid w:val="00ED519A"/>
    <w:rsid w:val="00EE11FB"/>
    <w:rsid w:val="00EE3C79"/>
    <w:rsid w:val="00EE7F03"/>
    <w:rsid w:val="00EF1459"/>
    <w:rsid w:val="00EF26A1"/>
    <w:rsid w:val="00EF542B"/>
    <w:rsid w:val="00F0470F"/>
    <w:rsid w:val="00F05724"/>
    <w:rsid w:val="00F116E5"/>
    <w:rsid w:val="00F118C4"/>
    <w:rsid w:val="00F118D2"/>
    <w:rsid w:val="00F12BF1"/>
    <w:rsid w:val="00F14FD6"/>
    <w:rsid w:val="00F218E9"/>
    <w:rsid w:val="00F23213"/>
    <w:rsid w:val="00F31270"/>
    <w:rsid w:val="00F32BA5"/>
    <w:rsid w:val="00F355B7"/>
    <w:rsid w:val="00F42E41"/>
    <w:rsid w:val="00F43344"/>
    <w:rsid w:val="00F44761"/>
    <w:rsid w:val="00F450C2"/>
    <w:rsid w:val="00F569B2"/>
    <w:rsid w:val="00F632E0"/>
    <w:rsid w:val="00F67590"/>
    <w:rsid w:val="00F707A7"/>
    <w:rsid w:val="00F71DAB"/>
    <w:rsid w:val="00F7408D"/>
    <w:rsid w:val="00F84B40"/>
    <w:rsid w:val="00F85543"/>
    <w:rsid w:val="00F861AA"/>
    <w:rsid w:val="00F86EDF"/>
    <w:rsid w:val="00F87C85"/>
    <w:rsid w:val="00F926A8"/>
    <w:rsid w:val="00F96531"/>
    <w:rsid w:val="00F97933"/>
    <w:rsid w:val="00FA1208"/>
    <w:rsid w:val="00FA7B2C"/>
    <w:rsid w:val="00FB14D5"/>
    <w:rsid w:val="00FB204F"/>
    <w:rsid w:val="00FB4552"/>
    <w:rsid w:val="00FB762D"/>
    <w:rsid w:val="00FC1427"/>
    <w:rsid w:val="00FC2AF6"/>
    <w:rsid w:val="00FC30B9"/>
    <w:rsid w:val="00FC3D61"/>
    <w:rsid w:val="00FC70A6"/>
    <w:rsid w:val="00FD00F3"/>
    <w:rsid w:val="00FD1B1A"/>
    <w:rsid w:val="00FD1BB0"/>
    <w:rsid w:val="00FD4B96"/>
    <w:rsid w:val="00FD5E8E"/>
    <w:rsid w:val="00FD5FDC"/>
    <w:rsid w:val="00FD7D38"/>
    <w:rsid w:val="00FE02C3"/>
    <w:rsid w:val="00FE0D64"/>
    <w:rsid w:val="00FE0D82"/>
    <w:rsid w:val="00FE1B4D"/>
    <w:rsid w:val="00FE23F2"/>
    <w:rsid w:val="00FE2D6C"/>
    <w:rsid w:val="00FE37F9"/>
    <w:rsid w:val="00FE3D99"/>
    <w:rsid w:val="00FE7983"/>
    <w:rsid w:val="00FE7EAA"/>
    <w:rsid w:val="00FF17A2"/>
    <w:rsid w:val="00FF19A1"/>
    <w:rsid w:val="00FF2966"/>
    <w:rsid w:val="00FF2DDE"/>
    <w:rsid w:val="00FF50D1"/>
    <w:rsid w:val="00FF657B"/>
    <w:rsid w:val="00FF6EB3"/>
    <w:rsid w:val="00FF72D2"/>
    <w:rsid w:val="00FF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D05E5"/>
  <w15:docId w15:val="{86432FDD-24CB-4CBC-82DC-7D631136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6B"/>
    <w:rPr>
      <w:rFonts w:ascii="Segoe UI" w:eastAsia="Times New Roman" w:hAnsi="Segoe UI" w:cs="Segoe UI"/>
      <w:sz w:val="18"/>
      <w:szCs w:val="18"/>
    </w:rPr>
  </w:style>
  <w:style w:type="paragraph" w:customStyle="1" w:styleId="nl--1-">
    <w:name w:val="nl--1-"/>
    <w:basedOn w:val="Normal"/>
    <w:rsid w:val="00B678AE"/>
    <w:pPr>
      <w:spacing w:before="100" w:beforeAutospacing="1" w:after="100" w:afterAutospacing="1"/>
    </w:pPr>
    <w:rPr>
      <w:lang w:val="en-ZW" w:eastAsia="en-ZW"/>
    </w:rPr>
  </w:style>
  <w:style w:type="paragraph" w:customStyle="1" w:styleId="ll">
    <w:name w:val="ll"/>
    <w:basedOn w:val="Normal"/>
    <w:rsid w:val="00B678AE"/>
    <w:pPr>
      <w:spacing w:before="100" w:beforeAutospacing="1" w:after="100" w:afterAutospacing="1"/>
    </w:pPr>
    <w:rPr>
      <w:lang w:val="en-ZW" w:eastAsia="en-ZW"/>
    </w:rPr>
  </w:style>
  <w:style w:type="paragraph" w:customStyle="1" w:styleId="test">
    <w:name w:val="test"/>
    <w:basedOn w:val="Normal"/>
    <w:rsid w:val="00B678AE"/>
    <w:pPr>
      <w:spacing w:before="100" w:beforeAutospacing="1" w:after="100" w:afterAutospacing="1"/>
    </w:pPr>
    <w:rPr>
      <w:lang w:val="en-ZW" w:eastAsia="en-ZW"/>
    </w:rPr>
  </w:style>
  <w:style w:type="paragraph" w:customStyle="1" w:styleId="h1">
    <w:name w:val="h1"/>
    <w:basedOn w:val="Normal"/>
    <w:rsid w:val="00160404"/>
    <w:pPr>
      <w:spacing w:before="100" w:beforeAutospacing="1" w:after="100" w:afterAutospacing="1"/>
    </w:pPr>
    <w:rPr>
      <w:lang w:val="en-ZW" w:eastAsia="en-ZW"/>
    </w:rPr>
  </w:style>
  <w:style w:type="character" w:customStyle="1" w:styleId="bold">
    <w:name w:val="bold"/>
    <w:basedOn w:val="DefaultParagraphFont"/>
    <w:rsid w:val="00160404"/>
  </w:style>
  <w:style w:type="paragraph" w:customStyle="1" w:styleId="text">
    <w:name w:val="text"/>
    <w:basedOn w:val="Normal"/>
    <w:rsid w:val="00160404"/>
    <w:pPr>
      <w:spacing w:before="100" w:beforeAutospacing="1" w:after="100" w:afterAutospacing="1"/>
    </w:pPr>
    <w:rPr>
      <w:lang w:val="en-ZW" w:eastAsia="en-ZW"/>
    </w:rPr>
  </w:style>
  <w:style w:type="paragraph" w:styleId="NormalWeb">
    <w:name w:val="Normal (Web)"/>
    <w:basedOn w:val="Normal"/>
    <w:uiPriority w:val="99"/>
    <w:semiHidden/>
    <w:unhideWhenUsed/>
    <w:rsid w:val="009E026D"/>
    <w:pPr>
      <w:spacing w:before="100" w:beforeAutospacing="1" w:after="100" w:afterAutospacing="1"/>
    </w:pPr>
    <w:rPr>
      <w:lang w:val="en-ZW" w:eastAsia="en-ZW"/>
    </w:rPr>
  </w:style>
  <w:style w:type="character" w:styleId="Emphasis">
    <w:name w:val="Emphasis"/>
    <w:basedOn w:val="DefaultParagraphFont"/>
    <w:uiPriority w:val="20"/>
    <w:qFormat/>
    <w:rsid w:val="009E0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jsc-Mujuru</dc:creator>
  <cp:lastModifiedBy>JSC</cp:lastModifiedBy>
  <cp:revision>2</cp:revision>
  <cp:lastPrinted>2021-11-03T07:39:00Z</cp:lastPrinted>
  <dcterms:created xsi:type="dcterms:W3CDTF">2023-11-24T11:25:00Z</dcterms:created>
  <dcterms:modified xsi:type="dcterms:W3CDTF">2023-11-24T11:25:00Z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48f48dab132b64e2488053ca5adbad474aa0110e7e4cff2a781be40c95226500</vt:lpwstr>
  </property>
</Properties>
</file>