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1759A" w14:textId="6240CF7E" w:rsidR="00F3087A" w:rsidRPr="00BA2D43" w:rsidRDefault="00F3087A" w:rsidP="00BA2D43">
      <w:pPr>
        <w:pStyle w:val="NoSpacing"/>
        <w:rPr>
          <w:rFonts w:ascii="Times New Roman" w:hAnsi="Times New Roman" w:cs="Times New Roman"/>
          <w:b/>
          <w:sz w:val="24"/>
          <w:szCs w:val="24"/>
        </w:rPr>
      </w:pPr>
      <w:r w:rsidRPr="00BA2D43">
        <w:rPr>
          <w:rFonts w:ascii="Times New Roman" w:hAnsi="Times New Roman" w:cs="Times New Roman"/>
          <w:b/>
          <w:sz w:val="24"/>
          <w:szCs w:val="24"/>
        </w:rPr>
        <w:t>T</w:t>
      </w:r>
      <w:r w:rsidR="00FD0109" w:rsidRPr="00BA2D43">
        <w:rPr>
          <w:rFonts w:ascii="Times New Roman" w:hAnsi="Times New Roman" w:cs="Times New Roman"/>
          <w:b/>
          <w:sz w:val="24"/>
          <w:szCs w:val="24"/>
        </w:rPr>
        <w:t>HE ESTATE LATE GODFREY MADA</w:t>
      </w:r>
      <w:bookmarkStart w:id="0" w:name="_GoBack"/>
      <w:bookmarkEnd w:id="0"/>
      <w:r w:rsidR="00FD0109" w:rsidRPr="00BA2D43">
        <w:rPr>
          <w:rFonts w:ascii="Times New Roman" w:hAnsi="Times New Roman" w:cs="Times New Roman"/>
          <w:b/>
          <w:sz w:val="24"/>
          <w:szCs w:val="24"/>
        </w:rPr>
        <w:t>MOMBE</w:t>
      </w:r>
    </w:p>
    <w:p w14:paraId="68DF4616" w14:textId="73D98BA1" w:rsidR="00ED584D" w:rsidRPr="00BA2D43" w:rsidRDefault="00FD0109" w:rsidP="00BA2D43">
      <w:pPr>
        <w:pStyle w:val="NoSpacing"/>
        <w:rPr>
          <w:rFonts w:ascii="Times New Roman" w:hAnsi="Times New Roman" w:cs="Times New Roman"/>
          <w:b/>
        </w:rPr>
      </w:pPr>
      <w:r w:rsidRPr="00BA2D43">
        <w:rPr>
          <w:rFonts w:ascii="Times New Roman" w:hAnsi="Times New Roman" w:cs="Times New Roman"/>
          <w:b/>
        </w:rPr>
        <w:t xml:space="preserve"> </w:t>
      </w:r>
      <w:r w:rsidR="00ED584D" w:rsidRPr="00BA2D43">
        <w:rPr>
          <w:rFonts w:ascii="Times New Roman" w:hAnsi="Times New Roman" w:cs="Times New Roman"/>
          <w:b/>
        </w:rPr>
        <w:t xml:space="preserve">(Represented by Angela </w:t>
      </w:r>
      <w:proofErr w:type="spellStart"/>
      <w:r w:rsidR="00ED584D" w:rsidRPr="00BA2D43">
        <w:rPr>
          <w:rFonts w:ascii="Times New Roman" w:hAnsi="Times New Roman" w:cs="Times New Roman"/>
          <w:b/>
        </w:rPr>
        <w:t>Madamombe</w:t>
      </w:r>
      <w:proofErr w:type="spellEnd"/>
      <w:r w:rsidR="00ED584D" w:rsidRPr="00BA2D43">
        <w:rPr>
          <w:rFonts w:ascii="Times New Roman" w:hAnsi="Times New Roman" w:cs="Times New Roman"/>
          <w:b/>
        </w:rPr>
        <w:t>, Executrix Dative)</w:t>
      </w:r>
    </w:p>
    <w:p w14:paraId="02C9EE29" w14:textId="77777777" w:rsidR="00BA2D43" w:rsidRDefault="00BA2D43" w:rsidP="00FD0109">
      <w:pPr>
        <w:spacing w:line="360" w:lineRule="auto"/>
        <w:jc w:val="both"/>
        <w:rPr>
          <w:rFonts w:ascii="Times New Roman" w:hAnsi="Times New Roman" w:cs="Times New Roman"/>
          <w:b/>
          <w:bCs/>
          <w:sz w:val="24"/>
          <w:szCs w:val="24"/>
        </w:rPr>
      </w:pPr>
    </w:p>
    <w:p w14:paraId="5890A091" w14:textId="77777777" w:rsidR="00ED584D" w:rsidRPr="0084507C" w:rsidRDefault="00ED584D" w:rsidP="00FD0109">
      <w:pPr>
        <w:spacing w:line="360" w:lineRule="auto"/>
        <w:jc w:val="both"/>
        <w:rPr>
          <w:rFonts w:ascii="Times New Roman" w:hAnsi="Times New Roman" w:cs="Times New Roman"/>
          <w:b/>
          <w:bCs/>
          <w:sz w:val="24"/>
          <w:szCs w:val="24"/>
        </w:rPr>
      </w:pPr>
      <w:proofErr w:type="gramStart"/>
      <w:r w:rsidRPr="0084507C">
        <w:rPr>
          <w:rFonts w:ascii="Times New Roman" w:hAnsi="Times New Roman" w:cs="Times New Roman"/>
          <w:b/>
          <w:bCs/>
          <w:sz w:val="24"/>
          <w:szCs w:val="24"/>
        </w:rPr>
        <w:t>and</w:t>
      </w:r>
      <w:proofErr w:type="gramEnd"/>
    </w:p>
    <w:p w14:paraId="3F6CCE11" w14:textId="77777777" w:rsidR="00ED584D" w:rsidRPr="0084507C" w:rsidRDefault="00ED584D" w:rsidP="00FD0109">
      <w:pPr>
        <w:spacing w:line="360" w:lineRule="auto"/>
        <w:jc w:val="both"/>
        <w:rPr>
          <w:rFonts w:ascii="Times New Roman" w:hAnsi="Times New Roman" w:cs="Times New Roman"/>
          <w:b/>
          <w:bCs/>
          <w:sz w:val="24"/>
          <w:szCs w:val="24"/>
        </w:rPr>
      </w:pPr>
      <w:r w:rsidRPr="0084507C">
        <w:rPr>
          <w:rFonts w:ascii="Times New Roman" w:hAnsi="Times New Roman" w:cs="Times New Roman"/>
          <w:b/>
          <w:bCs/>
          <w:sz w:val="24"/>
          <w:szCs w:val="24"/>
        </w:rPr>
        <w:t>TAWANDA MIKE MATANI</w:t>
      </w:r>
    </w:p>
    <w:p w14:paraId="4C2A3186" w14:textId="77777777" w:rsidR="0084507C" w:rsidRPr="0084507C" w:rsidRDefault="0084507C" w:rsidP="00FD0109">
      <w:pPr>
        <w:spacing w:line="360" w:lineRule="auto"/>
        <w:jc w:val="both"/>
        <w:rPr>
          <w:rFonts w:ascii="Times New Roman" w:hAnsi="Times New Roman" w:cs="Times New Roman"/>
          <w:b/>
          <w:bCs/>
          <w:sz w:val="24"/>
          <w:szCs w:val="24"/>
        </w:rPr>
      </w:pPr>
      <w:r w:rsidRPr="0084507C">
        <w:rPr>
          <w:rFonts w:ascii="Times New Roman" w:hAnsi="Times New Roman" w:cs="Times New Roman"/>
          <w:b/>
          <w:bCs/>
          <w:sz w:val="24"/>
          <w:szCs w:val="24"/>
        </w:rPr>
        <w:t>And</w:t>
      </w:r>
    </w:p>
    <w:p w14:paraId="09BAC93C" w14:textId="77777777" w:rsidR="0084507C" w:rsidRPr="0084507C" w:rsidRDefault="0084507C" w:rsidP="00FD0109">
      <w:pPr>
        <w:spacing w:line="360" w:lineRule="auto"/>
        <w:jc w:val="both"/>
        <w:rPr>
          <w:rFonts w:ascii="Times New Roman" w:hAnsi="Times New Roman" w:cs="Times New Roman"/>
          <w:b/>
          <w:bCs/>
          <w:sz w:val="24"/>
          <w:szCs w:val="24"/>
        </w:rPr>
      </w:pPr>
      <w:r w:rsidRPr="0084507C">
        <w:rPr>
          <w:rFonts w:ascii="Times New Roman" w:hAnsi="Times New Roman" w:cs="Times New Roman"/>
          <w:b/>
          <w:bCs/>
          <w:sz w:val="24"/>
          <w:szCs w:val="24"/>
        </w:rPr>
        <w:t>THE REGISTRAR OF DEEDS BULAWAYO</w:t>
      </w:r>
    </w:p>
    <w:p w14:paraId="5DC6B752" w14:textId="7BCE94E6" w:rsidR="00ED584D" w:rsidRPr="0084507C" w:rsidRDefault="00ED584D" w:rsidP="00FD0109">
      <w:pPr>
        <w:spacing w:line="360" w:lineRule="auto"/>
        <w:jc w:val="both"/>
        <w:rPr>
          <w:rFonts w:ascii="Times New Roman" w:hAnsi="Times New Roman" w:cs="Times New Roman"/>
          <w:b/>
          <w:bCs/>
          <w:sz w:val="24"/>
          <w:szCs w:val="24"/>
        </w:rPr>
      </w:pPr>
      <w:r w:rsidRPr="0084507C">
        <w:rPr>
          <w:rFonts w:ascii="Times New Roman" w:hAnsi="Times New Roman" w:cs="Times New Roman"/>
          <w:b/>
          <w:bCs/>
          <w:sz w:val="24"/>
          <w:szCs w:val="24"/>
        </w:rPr>
        <w:t xml:space="preserve">                   </w:t>
      </w:r>
    </w:p>
    <w:p w14:paraId="2B73AB4B" w14:textId="77777777" w:rsidR="00ED584D" w:rsidRPr="00F3087A" w:rsidRDefault="00ED584D" w:rsidP="00F3087A">
      <w:pPr>
        <w:pStyle w:val="NoSpacing"/>
        <w:rPr>
          <w:rFonts w:ascii="Times New Roman" w:hAnsi="Times New Roman" w:cs="Times New Roman"/>
          <w:sz w:val="24"/>
          <w:szCs w:val="24"/>
        </w:rPr>
      </w:pPr>
      <w:r w:rsidRPr="00F3087A">
        <w:rPr>
          <w:rFonts w:ascii="Times New Roman" w:hAnsi="Times New Roman" w:cs="Times New Roman"/>
          <w:sz w:val="24"/>
          <w:szCs w:val="24"/>
        </w:rPr>
        <w:t>IN THE HIGH COURT OF ZIMBABWE</w:t>
      </w:r>
    </w:p>
    <w:p w14:paraId="73FE7A28" w14:textId="77777777" w:rsidR="00F3087A" w:rsidRPr="00F3087A" w:rsidRDefault="00F3087A" w:rsidP="00F3087A">
      <w:pPr>
        <w:pStyle w:val="NoSpacing"/>
        <w:rPr>
          <w:rFonts w:ascii="Times New Roman" w:hAnsi="Times New Roman" w:cs="Times New Roman"/>
          <w:sz w:val="24"/>
          <w:szCs w:val="24"/>
        </w:rPr>
      </w:pPr>
      <w:r w:rsidRPr="00F3087A">
        <w:rPr>
          <w:rFonts w:ascii="Times New Roman" w:hAnsi="Times New Roman" w:cs="Times New Roman"/>
          <w:sz w:val="24"/>
          <w:szCs w:val="24"/>
        </w:rPr>
        <w:t>NDUNA J</w:t>
      </w:r>
    </w:p>
    <w:p w14:paraId="0F7F224F" w14:textId="77777777" w:rsidR="00471D00" w:rsidRPr="00F3087A" w:rsidRDefault="00471D00" w:rsidP="00F3087A">
      <w:pPr>
        <w:pStyle w:val="NoSpacing"/>
        <w:rPr>
          <w:rFonts w:ascii="Times New Roman" w:hAnsi="Times New Roman" w:cs="Times New Roman"/>
          <w:sz w:val="24"/>
          <w:szCs w:val="24"/>
        </w:rPr>
      </w:pPr>
      <w:r w:rsidRPr="00F3087A">
        <w:rPr>
          <w:rFonts w:ascii="Times New Roman" w:hAnsi="Times New Roman" w:cs="Times New Roman"/>
          <w:sz w:val="24"/>
          <w:szCs w:val="24"/>
        </w:rPr>
        <w:t>BULAWAYO 13 FEBRUARY 2025</w:t>
      </w:r>
    </w:p>
    <w:p w14:paraId="7B710F02" w14:textId="77777777" w:rsidR="00B37761" w:rsidRPr="0084507C" w:rsidRDefault="00B37761" w:rsidP="00FD0109">
      <w:pPr>
        <w:spacing w:line="360" w:lineRule="auto"/>
        <w:jc w:val="both"/>
        <w:rPr>
          <w:rFonts w:ascii="Times New Roman" w:hAnsi="Times New Roman" w:cs="Times New Roman"/>
          <w:b/>
          <w:sz w:val="24"/>
          <w:szCs w:val="24"/>
        </w:rPr>
      </w:pPr>
    </w:p>
    <w:p w14:paraId="3B59C480" w14:textId="77777777" w:rsidR="00ED584D" w:rsidRPr="00F3087A" w:rsidRDefault="00ED584D" w:rsidP="00F3087A">
      <w:pPr>
        <w:pStyle w:val="NoSpacing"/>
        <w:rPr>
          <w:rFonts w:ascii="Times New Roman" w:hAnsi="Times New Roman" w:cs="Times New Roman"/>
          <w:sz w:val="24"/>
          <w:szCs w:val="24"/>
          <w:lang w:val="en-ZW"/>
        </w:rPr>
      </w:pPr>
      <w:r w:rsidRPr="00F3087A">
        <w:rPr>
          <w:rFonts w:ascii="Times New Roman" w:hAnsi="Times New Roman" w:cs="Times New Roman"/>
          <w:i/>
          <w:sz w:val="24"/>
          <w:szCs w:val="24"/>
          <w:lang w:val="en-ZW"/>
        </w:rPr>
        <w:t xml:space="preserve">J </w:t>
      </w:r>
      <w:proofErr w:type="spellStart"/>
      <w:r w:rsidRPr="00F3087A">
        <w:rPr>
          <w:rFonts w:ascii="Times New Roman" w:hAnsi="Times New Roman" w:cs="Times New Roman"/>
          <w:i/>
          <w:sz w:val="24"/>
          <w:szCs w:val="24"/>
          <w:lang w:val="en-ZW"/>
        </w:rPr>
        <w:t>Sibanda</w:t>
      </w:r>
      <w:proofErr w:type="spellEnd"/>
      <w:r w:rsidRPr="00F3087A">
        <w:rPr>
          <w:rFonts w:ascii="Times New Roman" w:hAnsi="Times New Roman" w:cs="Times New Roman"/>
          <w:sz w:val="24"/>
          <w:szCs w:val="24"/>
          <w:lang w:val="en-ZW"/>
        </w:rPr>
        <w:t xml:space="preserve"> for the Applicant</w:t>
      </w:r>
    </w:p>
    <w:p w14:paraId="7DD4373E" w14:textId="77777777" w:rsidR="00ED584D" w:rsidRPr="00F3087A" w:rsidRDefault="00ED584D" w:rsidP="00F3087A">
      <w:pPr>
        <w:pStyle w:val="NoSpacing"/>
        <w:rPr>
          <w:rFonts w:ascii="Times New Roman" w:hAnsi="Times New Roman" w:cs="Times New Roman"/>
          <w:sz w:val="24"/>
          <w:szCs w:val="24"/>
          <w:lang w:val="en-ZW"/>
        </w:rPr>
      </w:pPr>
      <w:r w:rsidRPr="00F3087A">
        <w:rPr>
          <w:rFonts w:ascii="Times New Roman" w:hAnsi="Times New Roman" w:cs="Times New Roman"/>
          <w:i/>
          <w:sz w:val="24"/>
          <w:szCs w:val="24"/>
          <w:lang w:val="en-ZW"/>
        </w:rPr>
        <w:t xml:space="preserve">L </w:t>
      </w:r>
      <w:proofErr w:type="spellStart"/>
      <w:r w:rsidRPr="00F3087A">
        <w:rPr>
          <w:rFonts w:ascii="Times New Roman" w:hAnsi="Times New Roman" w:cs="Times New Roman"/>
          <w:i/>
          <w:sz w:val="24"/>
          <w:szCs w:val="24"/>
          <w:lang w:val="en-ZW"/>
        </w:rPr>
        <w:t>Nkomo</w:t>
      </w:r>
      <w:proofErr w:type="spellEnd"/>
      <w:r w:rsidRPr="00F3087A">
        <w:rPr>
          <w:rFonts w:ascii="Times New Roman" w:hAnsi="Times New Roman" w:cs="Times New Roman"/>
          <w:sz w:val="24"/>
          <w:szCs w:val="24"/>
          <w:lang w:val="en-ZW"/>
        </w:rPr>
        <w:t xml:space="preserve"> for the first Respondent</w:t>
      </w:r>
    </w:p>
    <w:p w14:paraId="51583012" w14:textId="77777777" w:rsidR="00471D00" w:rsidRPr="0084507C" w:rsidRDefault="00471D00" w:rsidP="00FD0109">
      <w:pPr>
        <w:spacing w:line="360" w:lineRule="auto"/>
        <w:jc w:val="both"/>
        <w:rPr>
          <w:rFonts w:ascii="Times New Roman" w:hAnsi="Times New Roman" w:cs="Times New Roman"/>
          <w:sz w:val="24"/>
          <w:szCs w:val="24"/>
          <w:lang w:val="en-ZW"/>
        </w:rPr>
      </w:pPr>
    </w:p>
    <w:p w14:paraId="3F3907C4" w14:textId="77777777" w:rsidR="00471D00" w:rsidRPr="0084507C" w:rsidRDefault="00471D00" w:rsidP="00FD0109">
      <w:pPr>
        <w:spacing w:line="360" w:lineRule="auto"/>
        <w:jc w:val="both"/>
        <w:rPr>
          <w:rFonts w:ascii="Times New Roman" w:hAnsi="Times New Roman" w:cs="Times New Roman"/>
          <w:b/>
          <w:sz w:val="24"/>
          <w:szCs w:val="24"/>
          <w:lang w:val="en-ZW"/>
        </w:rPr>
      </w:pPr>
      <w:r w:rsidRPr="0084507C">
        <w:rPr>
          <w:rFonts w:ascii="Times New Roman" w:hAnsi="Times New Roman" w:cs="Times New Roman"/>
          <w:b/>
          <w:sz w:val="24"/>
          <w:szCs w:val="24"/>
          <w:lang w:val="en-ZW"/>
        </w:rPr>
        <w:t>NDUNA</w:t>
      </w:r>
      <w:r w:rsidR="00B37761" w:rsidRPr="0084507C">
        <w:rPr>
          <w:rFonts w:ascii="Times New Roman" w:hAnsi="Times New Roman" w:cs="Times New Roman"/>
          <w:b/>
          <w:sz w:val="24"/>
          <w:szCs w:val="24"/>
          <w:lang w:val="en-ZW"/>
        </w:rPr>
        <w:t xml:space="preserve"> JA:</w:t>
      </w:r>
    </w:p>
    <w:p w14:paraId="133C7E67" w14:textId="159F42E2" w:rsidR="003B23A6" w:rsidRPr="0084507C" w:rsidRDefault="00ED584D" w:rsidP="003B23A6">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 xml:space="preserve">This is an opposed chamber application in which the applicant, Angela </w:t>
      </w:r>
      <w:proofErr w:type="spellStart"/>
      <w:r w:rsidRPr="0084507C">
        <w:rPr>
          <w:rFonts w:ascii="Times New Roman" w:hAnsi="Times New Roman" w:cs="Times New Roman"/>
          <w:sz w:val="24"/>
          <w:szCs w:val="24"/>
        </w:rPr>
        <w:t>Madamombe</w:t>
      </w:r>
      <w:proofErr w:type="spellEnd"/>
      <w:r w:rsidRPr="0084507C">
        <w:rPr>
          <w:rFonts w:ascii="Times New Roman" w:hAnsi="Times New Roman" w:cs="Times New Roman"/>
          <w:sz w:val="24"/>
          <w:szCs w:val="24"/>
        </w:rPr>
        <w:t xml:space="preserve">, </w:t>
      </w:r>
      <w:r w:rsidR="003B23A6">
        <w:rPr>
          <w:rFonts w:ascii="Times New Roman" w:hAnsi="Times New Roman" w:cs="Times New Roman"/>
          <w:sz w:val="24"/>
          <w:szCs w:val="24"/>
        </w:rPr>
        <w:t xml:space="preserve">is cited </w:t>
      </w:r>
      <w:r w:rsidRPr="0084507C">
        <w:rPr>
          <w:rFonts w:ascii="Times New Roman" w:hAnsi="Times New Roman" w:cs="Times New Roman"/>
          <w:sz w:val="24"/>
          <w:szCs w:val="24"/>
        </w:rPr>
        <w:t xml:space="preserve">in her capacity as executrix dative of the estate of the late Godfrey </w:t>
      </w:r>
      <w:proofErr w:type="spellStart"/>
      <w:r w:rsidRPr="0084507C">
        <w:rPr>
          <w:rFonts w:ascii="Times New Roman" w:hAnsi="Times New Roman" w:cs="Times New Roman"/>
          <w:sz w:val="24"/>
          <w:szCs w:val="24"/>
        </w:rPr>
        <w:t>Madamombe</w:t>
      </w:r>
      <w:proofErr w:type="spellEnd"/>
      <w:r w:rsidR="003B23A6">
        <w:rPr>
          <w:rFonts w:ascii="Times New Roman" w:hAnsi="Times New Roman" w:cs="Times New Roman"/>
          <w:sz w:val="24"/>
          <w:szCs w:val="24"/>
        </w:rPr>
        <w:t xml:space="preserve">. The applicant </w:t>
      </w:r>
      <w:r w:rsidR="00265859">
        <w:rPr>
          <w:rFonts w:ascii="Times New Roman" w:hAnsi="Times New Roman" w:cs="Times New Roman"/>
          <w:sz w:val="24"/>
          <w:szCs w:val="24"/>
        </w:rPr>
        <w:t>is</w:t>
      </w:r>
      <w:r w:rsidR="00265859" w:rsidRPr="0084507C">
        <w:rPr>
          <w:rFonts w:ascii="Times New Roman" w:hAnsi="Times New Roman" w:cs="Times New Roman"/>
          <w:sz w:val="24"/>
          <w:szCs w:val="24"/>
        </w:rPr>
        <w:t xml:space="preserve"> </w:t>
      </w:r>
      <w:r w:rsidR="00265859">
        <w:rPr>
          <w:rFonts w:ascii="Times New Roman" w:hAnsi="Times New Roman" w:cs="Times New Roman"/>
          <w:sz w:val="24"/>
          <w:szCs w:val="24"/>
        </w:rPr>
        <w:t>the</w:t>
      </w:r>
      <w:r w:rsidR="00CF10A1">
        <w:rPr>
          <w:rFonts w:ascii="Times New Roman" w:hAnsi="Times New Roman" w:cs="Times New Roman"/>
          <w:sz w:val="24"/>
          <w:szCs w:val="24"/>
        </w:rPr>
        <w:t xml:space="preserve"> daughter </w:t>
      </w:r>
      <w:r w:rsidR="003B23A6">
        <w:rPr>
          <w:rFonts w:ascii="Times New Roman" w:hAnsi="Times New Roman" w:cs="Times New Roman"/>
          <w:sz w:val="24"/>
          <w:szCs w:val="24"/>
        </w:rPr>
        <w:t xml:space="preserve">of the late Godfrey </w:t>
      </w:r>
      <w:proofErr w:type="spellStart"/>
      <w:r w:rsidR="003B23A6">
        <w:rPr>
          <w:rFonts w:ascii="Times New Roman" w:hAnsi="Times New Roman" w:cs="Times New Roman"/>
          <w:sz w:val="24"/>
          <w:szCs w:val="24"/>
        </w:rPr>
        <w:t>Madamombe</w:t>
      </w:r>
      <w:proofErr w:type="spellEnd"/>
      <w:r w:rsidR="003B23A6">
        <w:rPr>
          <w:rFonts w:ascii="Times New Roman" w:hAnsi="Times New Roman" w:cs="Times New Roman"/>
          <w:sz w:val="24"/>
          <w:szCs w:val="24"/>
        </w:rPr>
        <w:t xml:space="preserve">. </w:t>
      </w:r>
      <w:r w:rsidR="00265859">
        <w:rPr>
          <w:rFonts w:ascii="Times New Roman" w:hAnsi="Times New Roman" w:cs="Times New Roman"/>
          <w:sz w:val="24"/>
          <w:szCs w:val="24"/>
        </w:rPr>
        <w:t>The first</w:t>
      </w:r>
      <w:r w:rsidR="003B23A6">
        <w:rPr>
          <w:rFonts w:ascii="Times New Roman" w:hAnsi="Times New Roman" w:cs="Times New Roman"/>
          <w:sz w:val="24"/>
          <w:szCs w:val="24"/>
        </w:rPr>
        <w:t xml:space="preserve"> respondent is</w:t>
      </w:r>
      <w:r w:rsidR="00CF10A1">
        <w:rPr>
          <w:rFonts w:ascii="Times New Roman" w:hAnsi="Times New Roman" w:cs="Times New Roman"/>
          <w:sz w:val="24"/>
          <w:szCs w:val="24"/>
        </w:rPr>
        <w:t xml:space="preserve"> a buyer of the property in dispute</w:t>
      </w:r>
      <w:r w:rsidR="003B23A6">
        <w:rPr>
          <w:rFonts w:ascii="Times New Roman" w:hAnsi="Times New Roman" w:cs="Times New Roman"/>
          <w:sz w:val="24"/>
          <w:szCs w:val="24"/>
        </w:rPr>
        <w:t xml:space="preserve">.  </w:t>
      </w:r>
      <w:r w:rsidR="00265859">
        <w:rPr>
          <w:rFonts w:ascii="Times New Roman" w:hAnsi="Times New Roman" w:cs="Times New Roman"/>
          <w:sz w:val="24"/>
          <w:szCs w:val="24"/>
        </w:rPr>
        <w:t>The second</w:t>
      </w:r>
      <w:r w:rsidR="003B23A6" w:rsidRPr="0084507C">
        <w:rPr>
          <w:rFonts w:ascii="Times New Roman" w:hAnsi="Times New Roman" w:cs="Times New Roman"/>
          <w:sz w:val="24"/>
          <w:szCs w:val="24"/>
        </w:rPr>
        <w:t xml:space="preserve"> respondent is</w:t>
      </w:r>
      <w:r w:rsidR="003B23A6">
        <w:rPr>
          <w:rFonts w:ascii="Times New Roman" w:hAnsi="Times New Roman" w:cs="Times New Roman"/>
          <w:sz w:val="24"/>
          <w:szCs w:val="24"/>
        </w:rPr>
        <w:t xml:space="preserve"> cited in his official capacity as</w:t>
      </w:r>
      <w:r w:rsidR="003B23A6" w:rsidRPr="0084507C">
        <w:rPr>
          <w:rFonts w:ascii="Times New Roman" w:hAnsi="Times New Roman" w:cs="Times New Roman"/>
          <w:sz w:val="24"/>
          <w:szCs w:val="24"/>
        </w:rPr>
        <w:t xml:space="preserve"> the Registrar of Deeds, Bulawayo</w:t>
      </w:r>
      <w:r w:rsidR="003B23A6">
        <w:rPr>
          <w:rFonts w:ascii="Times New Roman" w:hAnsi="Times New Roman" w:cs="Times New Roman"/>
          <w:sz w:val="24"/>
          <w:szCs w:val="24"/>
        </w:rPr>
        <w:t>.</w:t>
      </w:r>
    </w:p>
    <w:p w14:paraId="1B5F9748" w14:textId="1467E2A3" w:rsidR="00265859" w:rsidRDefault="003B23A6" w:rsidP="002658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has filed the present application </w:t>
      </w:r>
      <w:r w:rsidR="00ED584D" w:rsidRPr="0084507C">
        <w:rPr>
          <w:rFonts w:ascii="Times New Roman" w:hAnsi="Times New Roman" w:cs="Times New Roman"/>
          <w:sz w:val="24"/>
          <w:szCs w:val="24"/>
        </w:rPr>
        <w:t>seek</w:t>
      </w:r>
      <w:r>
        <w:rPr>
          <w:rFonts w:ascii="Times New Roman" w:hAnsi="Times New Roman" w:cs="Times New Roman"/>
          <w:sz w:val="24"/>
          <w:szCs w:val="24"/>
        </w:rPr>
        <w:t xml:space="preserve">ing for </w:t>
      </w:r>
      <w:r w:rsidR="00ED584D" w:rsidRPr="0084507C">
        <w:rPr>
          <w:rFonts w:ascii="Times New Roman" w:hAnsi="Times New Roman" w:cs="Times New Roman"/>
          <w:sz w:val="24"/>
          <w:szCs w:val="24"/>
        </w:rPr>
        <w:t xml:space="preserve">the cancellation of Deed of Transfer No. 184/2018 in respect of Lot 10 of </w:t>
      </w:r>
      <w:proofErr w:type="spellStart"/>
      <w:r w:rsidR="00ED584D" w:rsidRPr="0084507C">
        <w:rPr>
          <w:rFonts w:ascii="Times New Roman" w:hAnsi="Times New Roman" w:cs="Times New Roman"/>
          <w:sz w:val="24"/>
          <w:szCs w:val="24"/>
        </w:rPr>
        <w:t>Gwelo</w:t>
      </w:r>
      <w:proofErr w:type="spellEnd"/>
      <w:r w:rsidR="00ED584D" w:rsidRPr="0084507C">
        <w:rPr>
          <w:rFonts w:ascii="Times New Roman" w:hAnsi="Times New Roman" w:cs="Times New Roman"/>
          <w:sz w:val="24"/>
          <w:szCs w:val="24"/>
        </w:rPr>
        <w:t xml:space="preserve"> Small Holding 23, measuring 9,279 square metres and situated in </w:t>
      </w:r>
      <w:proofErr w:type="spellStart"/>
      <w:r w:rsidR="00ED584D" w:rsidRPr="0084507C">
        <w:rPr>
          <w:rFonts w:ascii="Times New Roman" w:hAnsi="Times New Roman" w:cs="Times New Roman"/>
          <w:sz w:val="24"/>
          <w:szCs w:val="24"/>
        </w:rPr>
        <w:t>Harben</w:t>
      </w:r>
      <w:proofErr w:type="spellEnd"/>
      <w:r w:rsidR="00ED584D" w:rsidRPr="0084507C">
        <w:rPr>
          <w:rFonts w:ascii="Times New Roman" w:hAnsi="Times New Roman" w:cs="Times New Roman"/>
          <w:sz w:val="24"/>
          <w:szCs w:val="24"/>
        </w:rPr>
        <w:t xml:space="preserve"> Park, Gweru. T</w:t>
      </w:r>
      <w:r w:rsidR="00500067">
        <w:rPr>
          <w:rFonts w:ascii="Times New Roman" w:hAnsi="Times New Roman" w:cs="Times New Roman"/>
          <w:sz w:val="24"/>
          <w:szCs w:val="24"/>
        </w:rPr>
        <w:t xml:space="preserve">he deed of transfer is currently in </w:t>
      </w:r>
      <w:proofErr w:type="spellStart"/>
      <w:r w:rsidR="00500067">
        <w:rPr>
          <w:rFonts w:ascii="Times New Roman" w:hAnsi="Times New Roman" w:cs="Times New Roman"/>
          <w:sz w:val="24"/>
          <w:szCs w:val="24"/>
        </w:rPr>
        <w:t>favour</w:t>
      </w:r>
      <w:proofErr w:type="spellEnd"/>
      <w:r w:rsidR="00500067">
        <w:rPr>
          <w:rFonts w:ascii="Times New Roman" w:hAnsi="Times New Roman" w:cs="Times New Roman"/>
          <w:sz w:val="24"/>
          <w:szCs w:val="24"/>
        </w:rPr>
        <w:t xml:space="preserve"> of the </w:t>
      </w:r>
      <w:r w:rsidR="00265859">
        <w:rPr>
          <w:rFonts w:ascii="Times New Roman" w:hAnsi="Times New Roman" w:cs="Times New Roman"/>
          <w:sz w:val="24"/>
          <w:szCs w:val="24"/>
        </w:rPr>
        <w:t>first respondent</w:t>
      </w:r>
      <w:r w:rsidR="005165BF">
        <w:rPr>
          <w:rFonts w:ascii="Times New Roman" w:hAnsi="Times New Roman" w:cs="Times New Roman"/>
          <w:sz w:val="24"/>
          <w:szCs w:val="24"/>
        </w:rPr>
        <w:t>.</w:t>
      </w:r>
      <w:r w:rsidR="00850BF7">
        <w:rPr>
          <w:rFonts w:ascii="Times New Roman" w:hAnsi="Times New Roman" w:cs="Times New Roman"/>
          <w:sz w:val="24"/>
          <w:szCs w:val="24"/>
        </w:rPr>
        <w:t xml:space="preserve"> </w:t>
      </w:r>
      <w:r w:rsidR="005165BF">
        <w:rPr>
          <w:rFonts w:ascii="Times New Roman" w:hAnsi="Times New Roman" w:cs="Times New Roman"/>
          <w:sz w:val="24"/>
          <w:szCs w:val="24"/>
        </w:rPr>
        <w:t>T</w:t>
      </w:r>
      <w:r w:rsidR="00ED584D" w:rsidRPr="0084507C">
        <w:rPr>
          <w:rFonts w:ascii="Times New Roman" w:hAnsi="Times New Roman" w:cs="Times New Roman"/>
          <w:sz w:val="24"/>
          <w:szCs w:val="24"/>
        </w:rPr>
        <w:t xml:space="preserve">he applicant challenges the validity of that transfer on grounds of fraud, lack of lawful causa, and procedural irregularities. </w:t>
      </w:r>
    </w:p>
    <w:p w14:paraId="346A7409" w14:textId="706E4627" w:rsidR="00265859" w:rsidRPr="00265859" w:rsidRDefault="00265859" w:rsidP="002658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challenges this transfer as </w:t>
      </w:r>
      <w:r w:rsidRPr="00265859">
        <w:rPr>
          <w:rFonts w:ascii="Times New Roman" w:hAnsi="Times New Roman" w:cs="Times New Roman"/>
          <w:sz w:val="24"/>
          <w:szCs w:val="24"/>
        </w:rPr>
        <w:t>the </w:t>
      </w:r>
      <w:r w:rsidRPr="00265859">
        <w:rPr>
          <w:rFonts w:ascii="Times New Roman" w:hAnsi="Times New Roman" w:cs="Times New Roman"/>
          <w:bCs/>
          <w:sz w:val="24"/>
          <w:szCs w:val="24"/>
        </w:rPr>
        <w:t>Deed of Transfer (No. 184/2018)</w:t>
      </w:r>
      <w:r w:rsidRPr="00265859">
        <w:rPr>
          <w:rFonts w:ascii="Times New Roman" w:hAnsi="Times New Roman" w:cs="Times New Roman"/>
          <w:sz w:val="24"/>
          <w:szCs w:val="24"/>
        </w:rPr>
        <w:t> was only registered on </w:t>
      </w:r>
      <w:r w:rsidRPr="00265859">
        <w:rPr>
          <w:rFonts w:ascii="Times New Roman" w:hAnsi="Times New Roman" w:cs="Times New Roman"/>
          <w:bCs/>
          <w:sz w:val="24"/>
          <w:szCs w:val="24"/>
        </w:rPr>
        <w:t>22 February 2018</w:t>
      </w:r>
      <w:r w:rsidRPr="00265859">
        <w:rPr>
          <w:rFonts w:ascii="Times New Roman" w:hAnsi="Times New Roman" w:cs="Times New Roman"/>
          <w:sz w:val="24"/>
          <w:szCs w:val="24"/>
        </w:rPr>
        <w:t xml:space="preserve">, nearly seven months after Godfrey </w:t>
      </w:r>
      <w:proofErr w:type="spellStart"/>
      <w:r w:rsidRPr="00265859">
        <w:rPr>
          <w:rFonts w:ascii="Times New Roman" w:hAnsi="Times New Roman" w:cs="Times New Roman"/>
          <w:sz w:val="24"/>
          <w:szCs w:val="24"/>
        </w:rPr>
        <w:t>Madamombe’s</w:t>
      </w:r>
      <w:proofErr w:type="spellEnd"/>
      <w:r w:rsidRPr="00265859">
        <w:rPr>
          <w:rFonts w:ascii="Times New Roman" w:hAnsi="Times New Roman" w:cs="Times New Roman"/>
          <w:sz w:val="24"/>
          <w:szCs w:val="24"/>
        </w:rPr>
        <w:t xml:space="preserve"> death on </w:t>
      </w:r>
      <w:r w:rsidRPr="00265859">
        <w:rPr>
          <w:rFonts w:ascii="Times New Roman" w:hAnsi="Times New Roman" w:cs="Times New Roman"/>
          <w:bCs/>
          <w:sz w:val="24"/>
          <w:szCs w:val="24"/>
        </w:rPr>
        <w:t>25 July 2017</w:t>
      </w:r>
      <w:r>
        <w:rPr>
          <w:rFonts w:ascii="Times New Roman" w:hAnsi="Times New Roman" w:cs="Times New Roman"/>
          <w:sz w:val="24"/>
          <w:szCs w:val="24"/>
        </w:rPr>
        <w:t xml:space="preserve">. </w:t>
      </w:r>
      <w:r>
        <w:rPr>
          <w:rFonts w:ascii="Times New Roman" w:hAnsi="Times New Roman" w:cs="Times New Roman"/>
          <w:sz w:val="24"/>
          <w:szCs w:val="24"/>
        </w:rPr>
        <w:lastRenderedPageBreak/>
        <w:t>The applicant, argues that</w:t>
      </w:r>
      <w:r w:rsidRPr="00265859">
        <w:rPr>
          <w:rFonts w:ascii="Times New Roman" w:hAnsi="Times New Roman" w:cs="Times New Roman"/>
          <w:sz w:val="24"/>
          <w:szCs w:val="24"/>
        </w:rPr>
        <w:t xml:space="preserve"> a power of attorney becomes void upon the death of the grantor. Thus, any actions taken afterward, including the finalization of the transfer, were legally invalid.</w:t>
      </w:r>
      <w:r>
        <w:rPr>
          <w:rFonts w:ascii="Times New Roman" w:hAnsi="Times New Roman" w:cs="Times New Roman"/>
          <w:sz w:val="24"/>
          <w:szCs w:val="24"/>
        </w:rPr>
        <w:t xml:space="preserve"> She alleges that</w:t>
      </w:r>
      <w:r w:rsidR="00ED2F4E">
        <w:rPr>
          <w:rFonts w:ascii="Times New Roman" w:hAnsi="Times New Roman" w:cs="Times New Roman"/>
          <w:sz w:val="24"/>
          <w:szCs w:val="24"/>
        </w:rPr>
        <w:t xml:space="preserve"> the</w:t>
      </w:r>
      <w:r>
        <w:rPr>
          <w:rFonts w:ascii="Times New Roman" w:hAnsi="Times New Roman" w:cs="Times New Roman"/>
          <w:sz w:val="24"/>
          <w:szCs w:val="24"/>
        </w:rPr>
        <w:t xml:space="preserve"> first respondent</w:t>
      </w:r>
      <w:r w:rsidRPr="00265859">
        <w:rPr>
          <w:rFonts w:ascii="Times New Roman" w:hAnsi="Times New Roman" w:cs="Times New Roman"/>
          <w:sz w:val="24"/>
          <w:szCs w:val="24"/>
        </w:rPr>
        <w:t xml:space="preserve"> unlawfully proceeded with the transfer despite knowing of the seller’s death, effecti</w:t>
      </w:r>
      <w:r>
        <w:rPr>
          <w:rFonts w:ascii="Times New Roman" w:hAnsi="Times New Roman" w:cs="Times New Roman"/>
          <w:sz w:val="24"/>
          <w:szCs w:val="24"/>
        </w:rPr>
        <w:t xml:space="preserve">vely deceiving the Deeds Office. </w:t>
      </w:r>
      <w:r w:rsidRPr="00265859">
        <w:rPr>
          <w:rFonts w:ascii="Times New Roman" w:hAnsi="Times New Roman" w:cs="Times New Roman"/>
          <w:sz w:val="24"/>
          <w:szCs w:val="24"/>
        </w:rPr>
        <w:t>The initial agreement was for </w:t>
      </w:r>
      <w:r w:rsidRPr="00265859">
        <w:rPr>
          <w:rFonts w:ascii="Times New Roman" w:hAnsi="Times New Roman" w:cs="Times New Roman"/>
          <w:bCs/>
          <w:sz w:val="24"/>
          <w:szCs w:val="24"/>
        </w:rPr>
        <w:t>one acre (USD 18,000</w:t>
      </w:r>
      <w:r w:rsidRPr="00265859">
        <w:rPr>
          <w:rFonts w:ascii="Times New Roman" w:hAnsi="Times New Roman" w:cs="Times New Roman"/>
          <w:b/>
          <w:bCs/>
          <w:sz w:val="24"/>
          <w:szCs w:val="24"/>
        </w:rPr>
        <w:t>)</w:t>
      </w:r>
      <w:r w:rsidRPr="00265859">
        <w:rPr>
          <w:rFonts w:ascii="Times New Roman" w:hAnsi="Times New Roman" w:cs="Times New Roman"/>
          <w:sz w:val="24"/>
          <w:szCs w:val="24"/>
        </w:rPr>
        <w:t>, yet the final transfer reflected the </w:t>
      </w:r>
      <w:r w:rsidRPr="00265859">
        <w:rPr>
          <w:rFonts w:ascii="Times New Roman" w:hAnsi="Times New Roman" w:cs="Times New Roman"/>
          <w:bCs/>
          <w:sz w:val="24"/>
          <w:szCs w:val="24"/>
        </w:rPr>
        <w:t>entire property (USD 50,000)</w:t>
      </w:r>
      <w:r w:rsidRPr="00265859">
        <w:rPr>
          <w:rFonts w:ascii="Times New Roman" w:hAnsi="Times New Roman" w:cs="Times New Roman"/>
          <w:sz w:val="24"/>
          <w:szCs w:val="24"/>
        </w:rPr>
        <w:t>, raising suspicions of fraud.</w:t>
      </w:r>
      <w:r w:rsidR="00ED2F4E">
        <w:rPr>
          <w:rFonts w:ascii="Times New Roman" w:hAnsi="Times New Roman" w:cs="Times New Roman"/>
          <w:sz w:val="24"/>
          <w:szCs w:val="24"/>
        </w:rPr>
        <w:t xml:space="preserve"> </w:t>
      </w:r>
      <w:r w:rsidR="00ED2F4E" w:rsidRPr="00ED2F4E">
        <w:rPr>
          <w:rFonts w:ascii="Times New Roman" w:hAnsi="Times New Roman" w:cs="Times New Roman"/>
          <w:sz w:val="24"/>
          <w:szCs w:val="24"/>
        </w:rPr>
        <w:t xml:space="preserve">At the hearing of the application, 3 points </w:t>
      </w:r>
      <w:r w:rsidR="00ED2F4E" w:rsidRPr="00F3087A">
        <w:rPr>
          <w:rFonts w:ascii="Times New Roman" w:hAnsi="Times New Roman" w:cs="Times New Roman"/>
          <w:i/>
          <w:sz w:val="24"/>
          <w:szCs w:val="24"/>
        </w:rPr>
        <w:t xml:space="preserve">in </w:t>
      </w:r>
      <w:proofErr w:type="spellStart"/>
      <w:r w:rsidR="00ED2F4E" w:rsidRPr="00F3087A">
        <w:rPr>
          <w:rFonts w:ascii="Times New Roman" w:hAnsi="Times New Roman" w:cs="Times New Roman"/>
          <w:i/>
          <w:sz w:val="24"/>
          <w:szCs w:val="24"/>
        </w:rPr>
        <w:t>limine</w:t>
      </w:r>
      <w:proofErr w:type="spellEnd"/>
      <w:r w:rsidR="00ED2F4E" w:rsidRPr="00ED2F4E">
        <w:rPr>
          <w:rFonts w:ascii="Times New Roman" w:hAnsi="Times New Roman" w:cs="Times New Roman"/>
          <w:sz w:val="24"/>
          <w:szCs w:val="24"/>
        </w:rPr>
        <w:t xml:space="preserve"> were raised</w:t>
      </w:r>
      <w:r w:rsidR="00ED2F4E">
        <w:rPr>
          <w:rFonts w:ascii="Times New Roman" w:hAnsi="Times New Roman" w:cs="Times New Roman"/>
          <w:sz w:val="24"/>
          <w:szCs w:val="24"/>
        </w:rPr>
        <w:t>. These are as follows:</w:t>
      </w:r>
    </w:p>
    <w:p w14:paraId="6F8540F9" w14:textId="4B205834" w:rsidR="00F73EF4" w:rsidRPr="0084507C" w:rsidRDefault="00F73EF4" w:rsidP="00FD0109">
      <w:pPr>
        <w:spacing w:line="360" w:lineRule="auto"/>
        <w:jc w:val="both"/>
        <w:rPr>
          <w:rFonts w:ascii="Times New Roman" w:hAnsi="Times New Roman" w:cs="Times New Roman"/>
          <w:sz w:val="24"/>
          <w:szCs w:val="24"/>
        </w:rPr>
      </w:pPr>
    </w:p>
    <w:p w14:paraId="661A9095" w14:textId="65C419BC" w:rsidR="00F73EF4" w:rsidRDefault="00E10467" w:rsidP="00FD0109">
      <w:pPr>
        <w:spacing w:line="360" w:lineRule="auto"/>
        <w:jc w:val="both"/>
        <w:rPr>
          <w:rFonts w:ascii="Times New Roman" w:hAnsi="Times New Roman" w:cs="Times New Roman"/>
          <w:b/>
          <w:sz w:val="24"/>
          <w:szCs w:val="24"/>
          <w:u w:val="single"/>
        </w:rPr>
      </w:pPr>
      <w:r w:rsidRPr="0084507C">
        <w:rPr>
          <w:rFonts w:ascii="Times New Roman" w:hAnsi="Times New Roman" w:cs="Times New Roman"/>
          <w:b/>
          <w:sz w:val="24"/>
          <w:szCs w:val="24"/>
          <w:u w:val="single"/>
        </w:rPr>
        <w:t xml:space="preserve">Points </w:t>
      </w:r>
      <w:r w:rsidRPr="00F3087A">
        <w:rPr>
          <w:rFonts w:ascii="Times New Roman" w:hAnsi="Times New Roman" w:cs="Times New Roman"/>
          <w:b/>
          <w:i/>
          <w:sz w:val="24"/>
          <w:szCs w:val="24"/>
          <w:u w:val="single"/>
        </w:rPr>
        <w:t xml:space="preserve">in </w:t>
      </w:r>
      <w:proofErr w:type="spellStart"/>
      <w:r w:rsidR="00F3087A" w:rsidRPr="00F3087A">
        <w:rPr>
          <w:rFonts w:ascii="Times New Roman" w:hAnsi="Times New Roman" w:cs="Times New Roman"/>
          <w:b/>
          <w:i/>
          <w:sz w:val="24"/>
          <w:szCs w:val="24"/>
          <w:u w:val="single"/>
        </w:rPr>
        <w:t>limin</w:t>
      </w:r>
      <w:r w:rsidRPr="00F3087A">
        <w:rPr>
          <w:rFonts w:ascii="Times New Roman" w:hAnsi="Times New Roman" w:cs="Times New Roman"/>
          <w:b/>
          <w:i/>
          <w:sz w:val="24"/>
          <w:szCs w:val="24"/>
          <w:u w:val="single"/>
        </w:rPr>
        <w:t>e</w:t>
      </w:r>
      <w:proofErr w:type="spellEnd"/>
      <w:r w:rsidR="00AC4B8F">
        <w:rPr>
          <w:rFonts w:ascii="Times New Roman" w:hAnsi="Times New Roman" w:cs="Times New Roman"/>
          <w:b/>
          <w:sz w:val="24"/>
          <w:szCs w:val="24"/>
          <w:u w:val="single"/>
        </w:rPr>
        <w:t xml:space="preserve"> by Applicant</w:t>
      </w:r>
    </w:p>
    <w:p w14:paraId="3E099E96" w14:textId="0A50E27A" w:rsidR="00AC4B8F" w:rsidRPr="00AC4B8F" w:rsidRDefault="00AC4B8F" w:rsidP="00AC4B8F">
      <w:pPr>
        <w:pStyle w:val="ListParagraph"/>
        <w:numPr>
          <w:ilvl w:val="0"/>
          <w:numId w:val="6"/>
        </w:numPr>
        <w:spacing w:line="360" w:lineRule="auto"/>
        <w:jc w:val="both"/>
        <w:rPr>
          <w:rFonts w:ascii="Times New Roman" w:hAnsi="Times New Roman" w:cs="Times New Roman"/>
          <w:sz w:val="24"/>
          <w:szCs w:val="24"/>
        </w:rPr>
      </w:pPr>
      <w:r w:rsidRPr="00AC4B8F">
        <w:rPr>
          <w:rFonts w:ascii="Times New Roman" w:hAnsi="Times New Roman" w:cs="Times New Roman"/>
          <w:sz w:val="24"/>
          <w:szCs w:val="24"/>
        </w:rPr>
        <w:t>First respondent failed to adhere to rule 58 and 59 of high court rules</w:t>
      </w:r>
    </w:p>
    <w:p w14:paraId="24299559" w14:textId="66BDA322" w:rsidR="005165BF" w:rsidRDefault="002C3E14"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The applicant,</w:t>
      </w:r>
      <w:r w:rsidR="00E10467" w:rsidRPr="0084507C">
        <w:rPr>
          <w:rFonts w:ascii="Times New Roman" w:hAnsi="Times New Roman" w:cs="Times New Roman"/>
          <w:sz w:val="24"/>
          <w:szCs w:val="24"/>
        </w:rPr>
        <w:t xml:space="preserve"> contends that the first respondent failed to adhere to </w:t>
      </w:r>
      <w:r w:rsidR="005165BF">
        <w:rPr>
          <w:rFonts w:ascii="Times New Roman" w:hAnsi="Times New Roman" w:cs="Times New Roman"/>
          <w:sz w:val="24"/>
          <w:szCs w:val="24"/>
        </w:rPr>
        <w:t>rule 58 and 59 of the</w:t>
      </w:r>
      <w:r w:rsidR="00E10467" w:rsidRPr="0084507C">
        <w:rPr>
          <w:rFonts w:ascii="Times New Roman" w:hAnsi="Times New Roman" w:cs="Times New Roman"/>
          <w:sz w:val="24"/>
          <w:szCs w:val="24"/>
        </w:rPr>
        <w:t xml:space="preserve"> </w:t>
      </w:r>
      <w:r w:rsidR="00E10467" w:rsidRPr="0084507C">
        <w:rPr>
          <w:rFonts w:ascii="Times New Roman" w:hAnsi="Times New Roman" w:cs="Times New Roman"/>
          <w:i/>
          <w:sz w:val="24"/>
          <w:szCs w:val="24"/>
        </w:rPr>
        <w:t>High Court Rule</w:t>
      </w:r>
      <w:r w:rsidR="005165BF">
        <w:rPr>
          <w:rFonts w:ascii="Times New Roman" w:hAnsi="Times New Roman" w:cs="Times New Roman"/>
          <w:i/>
          <w:sz w:val="24"/>
          <w:szCs w:val="24"/>
        </w:rPr>
        <w:t>, 2021</w:t>
      </w:r>
      <w:r w:rsidR="0005319B">
        <w:rPr>
          <w:rFonts w:ascii="Times New Roman" w:hAnsi="Times New Roman" w:cs="Times New Roman"/>
          <w:i/>
          <w:sz w:val="24"/>
          <w:szCs w:val="24"/>
        </w:rPr>
        <w:t xml:space="preserve">. </w:t>
      </w:r>
      <w:r w:rsidR="00E10467" w:rsidRPr="0084507C">
        <w:rPr>
          <w:rFonts w:ascii="Times New Roman" w:hAnsi="Times New Roman" w:cs="Times New Roman"/>
          <w:sz w:val="24"/>
          <w:szCs w:val="24"/>
        </w:rPr>
        <w:t xml:space="preserve">According to the applicant, the first respondent filed his notice of opposition outside the stipulated ten-day period prescribed under </w:t>
      </w:r>
      <w:r w:rsidR="00E10467" w:rsidRPr="0084507C">
        <w:rPr>
          <w:rFonts w:ascii="Times New Roman" w:hAnsi="Times New Roman" w:cs="Times New Roman"/>
          <w:i/>
          <w:sz w:val="24"/>
          <w:szCs w:val="24"/>
        </w:rPr>
        <w:t xml:space="preserve">Rule 59(6) </w:t>
      </w:r>
      <w:r w:rsidR="00E10467" w:rsidRPr="0084507C">
        <w:rPr>
          <w:rFonts w:ascii="Times New Roman" w:hAnsi="Times New Roman" w:cs="Times New Roman"/>
          <w:sz w:val="24"/>
          <w:szCs w:val="24"/>
        </w:rPr>
        <w:t>without first seeking indulgence or applying for condonation, rendering the filing irregular and invalid. The applicant further argues that when the first respondent eventually sought condonation, he incorrectly relied on</w:t>
      </w:r>
      <w:r w:rsidR="00E10467" w:rsidRPr="0084507C">
        <w:rPr>
          <w:rFonts w:ascii="Times New Roman" w:hAnsi="Times New Roman" w:cs="Times New Roman"/>
          <w:i/>
          <w:sz w:val="24"/>
          <w:szCs w:val="24"/>
        </w:rPr>
        <w:t xml:space="preserve"> Rule 39(4)</w:t>
      </w:r>
      <w:r w:rsidR="00E10467" w:rsidRPr="0084507C">
        <w:rPr>
          <w:rFonts w:ascii="Times New Roman" w:hAnsi="Times New Roman" w:cs="Times New Roman"/>
          <w:sz w:val="24"/>
          <w:szCs w:val="24"/>
        </w:rPr>
        <w:t xml:space="preserve">, which pertains to the </w:t>
      </w:r>
      <w:proofErr w:type="spellStart"/>
      <w:r w:rsidR="00E10467" w:rsidRPr="0084507C">
        <w:rPr>
          <w:rFonts w:ascii="Times New Roman" w:hAnsi="Times New Roman" w:cs="Times New Roman"/>
          <w:sz w:val="24"/>
          <w:szCs w:val="24"/>
        </w:rPr>
        <w:t>upliftment</w:t>
      </w:r>
      <w:proofErr w:type="spellEnd"/>
      <w:r w:rsidR="00E10467" w:rsidRPr="0084507C">
        <w:rPr>
          <w:rFonts w:ascii="Times New Roman" w:hAnsi="Times New Roman" w:cs="Times New Roman"/>
          <w:sz w:val="24"/>
          <w:szCs w:val="24"/>
        </w:rPr>
        <w:t xml:space="preserve"> of a bar, rather than </w:t>
      </w:r>
      <w:r w:rsidR="00E10467" w:rsidRPr="0084507C">
        <w:rPr>
          <w:rFonts w:ascii="Times New Roman" w:hAnsi="Times New Roman" w:cs="Times New Roman"/>
          <w:i/>
          <w:sz w:val="24"/>
          <w:szCs w:val="24"/>
        </w:rPr>
        <w:t>Rule 59(7)</w:t>
      </w:r>
      <w:r w:rsidR="00E10467" w:rsidRPr="0084507C">
        <w:rPr>
          <w:rFonts w:ascii="Times New Roman" w:hAnsi="Times New Roman" w:cs="Times New Roman"/>
          <w:sz w:val="24"/>
          <w:szCs w:val="24"/>
        </w:rPr>
        <w:t xml:space="preserve">, which deals with extensions of time. This misapplication, the applicant asserts, invalidates the subsequent condonation order granted by </w:t>
      </w:r>
      <w:proofErr w:type="spellStart"/>
      <w:r w:rsidR="00E10467" w:rsidRPr="0084507C">
        <w:rPr>
          <w:rFonts w:ascii="Times New Roman" w:hAnsi="Times New Roman" w:cs="Times New Roman"/>
          <w:sz w:val="24"/>
          <w:szCs w:val="24"/>
        </w:rPr>
        <w:t>Chivayo</w:t>
      </w:r>
      <w:proofErr w:type="spellEnd"/>
      <w:r w:rsidR="00E10467" w:rsidRPr="0084507C">
        <w:rPr>
          <w:rFonts w:ascii="Times New Roman" w:hAnsi="Times New Roman" w:cs="Times New Roman"/>
          <w:sz w:val="24"/>
          <w:szCs w:val="24"/>
        </w:rPr>
        <w:t xml:space="preserve"> J, as it was based on an incorrect legal premise. </w:t>
      </w:r>
    </w:p>
    <w:p w14:paraId="6A533C6A" w14:textId="32EAAB9E" w:rsidR="00E10467" w:rsidRDefault="00E10467"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 xml:space="preserve">The applicant </w:t>
      </w:r>
      <w:r w:rsidR="0005319B">
        <w:rPr>
          <w:rFonts w:ascii="Times New Roman" w:hAnsi="Times New Roman" w:cs="Times New Roman"/>
          <w:sz w:val="24"/>
          <w:szCs w:val="24"/>
        </w:rPr>
        <w:t>relied on</w:t>
      </w:r>
      <w:r w:rsidRPr="0084507C">
        <w:rPr>
          <w:rFonts w:ascii="Times New Roman" w:hAnsi="Times New Roman" w:cs="Times New Roman"/>
          <w:sz w:val="24"/>
          <w:szCs w:val="24"/>
        </w:rPr>
        <w:t xml:space="preserve"> the case of </w:t>
      </w:r>
      <w:r w:rsidRPr="0084507C">
        <w:rPr>
          <w:rFonts w:ascii="Times New Roman" w:hAnsi="Times New Roman" w:cs="Times New Roman"/>
          <w:i/>
          <w:sz w:val="24"/>
          <w:szCs w:val="24"/>
        </w:rPr>
        <w:t>Ahmed v Dorking Station Safaris</w:t>
      </w:r>
      <w:r w:rsidR="00CD6173" w:rsidRPr="0084507C">
        <w:rPr>
          <w:rFonts w:ascii="Times New Roman" w:hAnsi="Times New Roman" w:cs="Times New Roman"/>
          <w:sz w:val="24"/>
          <w:szCs w:val="24"/>
        </w:rPr>
        <w:t xml:space="preserve"> </w:t>
      </w:r>
      <w:r w:rsidR="00CD6173" w:rsidRPr="0084507C">
        <w:rPr>
          <w:rFonts w:ascii="Times New Roman" w:hAnsi="Times New Roman" w:cs="Times New Roman"/>
          <w:sz w:val="24"/>
          <w:szCs w:val="24"/>
          <w:lang w:val="en-ZW"/>
        </w:rPr>
        <w:t>SC70/2018</w:t>
      </w:r>
      <w:r w:rsidRPr="0084507C">
        <w:rPr>
          <w:rFonts w:ascii="Times New Roman" w:hAnsi="Times New Roman" w:cs="Times New Roman"/>
          <w:sz w:val="24"/>
          <w:szCs w:val="24"/>
        </w:rPr>
        <w:t xml:space="preserve">, where the Supreme Court ruled that an application brought under the wrong rule is a nullity. Additionally, the applicant maintains that even if condonation </w:t>
      </w:r>
      <w:r w:rsidR="005165BF">
        <w:rPr>
          <w:rFonts w:ascii="Times New Roman" w:hAnsi="Times New Roman" w:cs="Times New Roman"/>
          <w:sz w:val="24"/>
          <w:szCs w:val="24"/>
        </w:rPr>
        <w:t>was</w:t>
      </w:r>
      <w:r w:rsidR="00AC4B8F">
        <w:rPr>
          <w:rFonts w:ascii="Times New Roman" w:hAnsi="Times New Roman" w:cs="Times New Roman"/>
          <w:sz w:val="24"/>
          <w:szCs w:val="24"/>
        </w:rPr>
        <w:t xml:space="preserve"> </w:t>
      </w:r>
      <w:r w:rsidRPr="0084507C">
        <w:rPr>
          <w:rFonts w:ascii="Times New Roman" w:hAnsi="Times New Roman" w:cs="Times New Roman"/>
          <w:sz w:val="24"/>
          <w:szCs w:val="24"/>
        </w:rPr>
        <w:t xml:space="preserve">granted for the </w:t>
      </w:r>
      <w:r w:rsidR="005165BF">
        <w:rPr>
          <w:rFonts w:ascii="Times New Roman" w:hAnsi="Times New Roman" w:cs="Times New Roman"/>
          <w:sz w:val="24"/>
          <w:szCs w:val="24"/>
        </w:rPr>
        <w:t xml:space="preserve">late filing of the </w:t>
      </w:r>
      <w:r w:rsidRPr="0084507C">
        <w:rPr>
          <w:rFonts w:ascii="Times New Roman" w:hAnsi="Times New Roman" w:cs="Times New Roman"/>
          <w:sz w:val="24"/>
          <w:szCs w:val="24"/>
        </w:rPr>
        <w:t>notice of opposition, the first respondent’s heads of argument were filed on the basis of an invalid notice, leaving him effectively barred from the proceedings. Consequently, the applicant submits that the matter should proceed as unopposed</w:t>
      </w:r>
      <w:r w:rsidR="0005319B">
        <w:rPr>
          <w:rFonts w:ascii="Times New Roman" w:hAnsi="Times New Roman" w:cs="Times New Roman"/>
          <w:sz w:val="24"/>
          <w:szCs w:val="24"/>
        </w:rPr>
        <w:t>.</w:t>
      </w:r>
    </w:p>
    <w:p w14:paraId="6FC6A629" w14:textId="2ADFD9EC" w:rsidR="00AC4B8F" w:rsidRPr="00AC4B8F" w:rsidRDefault="00AC4B8F" w:rsidP="00FD0109">
      <w:pPr>
        <w:spacing w:line="360" w:lineRule="auto"/>
        <w:jc w:val="both"/>
        <w:rPr>
          <w:rFonts w:ascii="Times New Roman" w:hAnsi="Times New Roman" w:cs="Times New Roman"/>
          <w:b/>
          <w:sz w:val="24"/>
          <w:szCs w:val="24"/>
        </w:rPr>
      </w:pPr>
      <w:r w:rsidRPr="00AC4B8F">
        <w:rPr>
          <w:rFonts w:ascii="Times New Roman" w:hAnsi="Times New Roman" w:cs="Times New Roman"/>
          <w:b/>
          <w:sz w:val="24"/>
          <w:szCs w:val="24"/>
        </w:rPr>
        <w:t>By First Respondent</w:t>
      </w:r>
    </w:p>
    <w:p w14:paraId="61B25E6D" w14:textId="1FB8669C" w:rsidR="00AC4B8F" w:rsidRPr="00AC4B8F" w:rsidRDefault="00AC4B8F" w:rsidP="00AC4B8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Condonation order remains binding</w:t>
      </w:r>
    </w:p>
    <w:p w14:paraId="16419A7B" w14:textId="65EEB562" w:rsidR="00E10467" w:rsidRPr="00AC4B8F" w:rsidRDefault="005165BF" w:rsidP="00FD010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for the</w:t>
      </w:r>
      <w:r w:rsidR="00F20846">
        <w:rPr>
          <w:rFonts w:ascii="Times New Roman" w:hAnsi="Times New Roman" w:cs="Times New Roman"/>
          <w:sz w:val="24"/>
          <w:szCs w:val="24"/>
        </w:rPr>
        <w:t xml:space="preserve"> </w:t>
      </w:r>
      <w:r w:rsidR="00471D00" w:rsidRPr="0084507C">
        <w:rPr>
          <w:rFonts w:ascii="Times New Roman" w:hAnsi="Times New Roman" w:cs="Times New Roman"/>
          <w:sz w:val="24"/>
          <w:szCs w:val="24"/>
        </w:rPr>
        <w:t xml:space="preserve">first </w:t>
      </w:r>
      <w:r w:rsidR="00E10467" w:rsidRPr="0084507C">
        <w:rPr>
          <w:rFonts w:ascii="Times New Roman" w:hAnsi="Times New Roman" w:cs="Times New Roman"/>
          <w:sz w:val="24"/>
          <w:szCs w:val="24"/>
        </w:rPr>
        <w:t>respondent in turn raised the following submissions</w:t>
      </w:r>
      <w:r w:rsidR="00F20846">
        <w:rPr>
          <w:rFonts w:ascii="Times New Roman" w:hAnsi="Times New Roman" w:cs="Times New Roman"/>
          <w:sz w:val="24"/>
          <w:szCs w:val="24"/>
        </w:rPr>
        <w:t xml:space="preserve">. </w:t>
      </w:r>
      <w:r w:rsidR="00E10467" w:rsidRPr="0084507C">
        <w:rPr>
          <w:rFonts w:ascii="Times New Roman" w:hAnsi="Times New Roman" w:cs="Times New Roman"/>
          <w:sz w:val="24"/>
          <w:szCs w:val="24"/>
        </w:rPr>
        <w:t>First</w:t>
      </w:r>
      <w:r>
        <w:rPr>
          <w:rFonts w:ascii="Times New Roman" w:hAnsi="Times New Roman" w:cs="Times New Roman"/>
          <w:sz w:val="24"/>
          <w:szCs w:val="24"/>
        </w:rPr>
        <w:t>ly</w:t>
      </w:r>
      <w:r w:rsidR="00E10467" w:rsidRPr="0084507C">
        <w:rPr>
          <w:rFonts w:ascii="Times New Roman" w:hAnsi="Times New Roman" w:cs="Times New Roman"/>
          <w:sz w:val="24"/>
          <w:szCs w:val="24"/>
        </w:rPr>
        <w:t xml:space="preserve">, he asserted that the condonation order issued by </w:t>
      </w:r>
      <w:proofErr w:type="spellStart"/>
      <w:r w:rsidR="00E10467" w:rsidRPr="0084507C">
        <w:rPr>
          <w:rFonts w:ascii="Times New Roman" w:hAnsi="Times New Roman" w:cs="Times New Roman"/>
          <w:sz w:val="24"/>
          <w:szCs w:val="24"/>
        </w:rPr>
        <w:t>Chivayo</w:t>
      </w:r>
      <w:proofErr w:type="spellEnd"/>
      <w:r w:rsidR="00E10467" w:rsidRPr="0084507C">
        <w:rPr>
          <w:rFonts w:ascii="Times New Roman" w:hAnsi="Times New Roman" w:cs="Times New Roman"/>
          <w:sz w:val="24"/>
          <w:szCs w:val="24"/>
        </w:rPr>
        <w:t xml:space="preserve"> J remains binding and cannot be disregarded unless </w:t>
      </w:r>
      <w:r w:rsidR="00E10467" w:rsidRPr="0084507C">
        <w:rPr>
          <w:rFonts w:ascii="Times New Roman" w:hAnsi="Times New Roman" w:cs="Times New Roman"/>
          <w:sz w:val="24"/>
          <w:szCs w:val="24"/>
        </w:rPr>
        <w:lastRenderedPageBreak/>
        <w:t xml:space="preserve">formally set aside. He referenced </w:t>
      </w:r>
      <w:r w:rsidR="0005319B">
        <w:rPr>
          <w:rFonts w:ascii="Times New Roman" w:hAnsi="Times New Roman" w:cs="Times New Roman"/>
          <w:sz w:val="24"/>
          <w:szCs w:val="24"/>
        </w:rPr>
        <w:t xml:space="preserve">the cases of </w:t>
      </w:r>
      <w:proofErr w:type="spellStart"/>
      <w:r w:rsidR="00E10467" w:rsidRPr="0084507C">
        <w:rPr>
          <w:rFonts w:ascii="Times New Roman" w:hAnsi="Times New Roman" w:cs="Times New Roman"/>
          <w:i/>
          <w:sz w:val="24"/>
          <w:szCs w:val="24"/>
        </w:rPr>
        <w:t>Feigenbaum</w:t>
      </w:r>
      <w:proofErr w:type="spellEnd"/>
      <w:r w:rsidR="00E10467" w:rsidRPr="0084507C">
        <w:rPr>
          <w:rFonts w:ascii="Times New Roman" w:hAnsi="Times New Roman" w:cs="Times New Roman"/>
          <w:i/>
          <w:sz w:val="24"/>
          <w:szCs w:val="24"/>
        </w:rPr>
        <w:t xml:space="preserve"> v </w:t>
      </w:r>
      <w:proofErr w:type="spellStart"/>
      <w:r w:rsidR="00E10467" w:rsidRPr="0084507C">
        <w:rPr>
          <w:rFonts w:ascii="Times New Roman" w:hAnsi="Times New Roman" w:cs="Times New Roman"/>
          <w:i/>
          <w:sz w:val="24"/>
          <w:szCs w:val="24"/>
        </w:rPr>
        <w:t>Germanis</w:t>
      </w:r>
      <w:proofErr w:type="spellEnd"/>
      <w:r w:rsidR="00E10467" w:rsidRPr="0084507C">
        <w:rPr>
          <w:rFonts w:ascii="Times New Roman" w:hAnsi="Times New Roman" w:cs="Times New Roman"/>
          <w:i/>
          <w:sz w:val="24"/>
          <w:szCs w:val="24"/>
        </w:rPr>
        <w:t xml:space="preserve"> </w:t>
      </w:r>
      <w:r w:rsidR="00CD6173" w:rsidRPr="0084507C">
        <w:rPr>
          <w:rFonts w:ascii="Times New Roman" w:hAnsi="Times New Roman" w:cs="Times New Roman"/>
          <w:i/>
          <w:sz w:val="24"/>
          <w:szCs w:val="24"/>
          <w:lang w:val="en-ZW"/>
        </w:rPr>
        <w:t>1998(1) ZLR 286 (H) pp 301</w:t>
      </w:r>
      <w:r w:rsidR="00CD6173" w:rsidRPr="0084507C">
        <w:rPr>
          <w:rFonts w:ascii="Times New Roman" w:hAnsi="Times New Roman" w:cs="Times New Roman"/>
          <w:sz w:val="24"/>
          <w:szCs w:val="24"/>
        </w:rPr>
        <w:t xml:space="preserve"> </w:t>
      </w:r>
      <w:r w:rsidR="00E10467" w:rsidRPr="0084507C">
        <w:rPr>
          <w:rFonts w:ascii="Times New Roman" w:hAnsi="Times New Roman" w:cs="Times New Roman"/>
          <w:sz w:val="24"/>
          <w:szCs w:val="24"/>
        </w:rPr>
        <w:t xml:space="preserve">and </w:t>
      </w:r>
      <w:proofErr w:type="spellStart"/>
      <w:r w:rsidR="00E10467" w:rsidRPr="0084507C">
        <w:rPr>
          <w:rFonts w:ascii="Times New Roman" w:hAnsi="Times New Roman" w:cs="Times New Roman"/>
          <w:i/>
          <w:sz w:val="24"/>
          <w:szCs w:val="24"/>
        </w:rPr>
        <w:t>Mutare</w:t>
      </w:r>
      <w:proofErr w:type="spellEnd"/>
      <w:r w:rsidR="00E10467" w:rsidRPr="0084507C">
        <w:rPr>
          <w:rFonts w:ascii="Times New Roman" w:hAnsi="Times New Roman" w:cs="Times New Roman"/>
          <w:i/>
          <w:sz w:val="24"/>
          <w:szCs w:val="24"/>
        </w:rPr>
        <w:t xml:space="preserve"> City Council v </w:t>
      </w:r>
      <w:proofErr w:type="spellStart"/>
      <w:r w:rsidR="00E10467" w:rsidRPr="0084507C">
        <w:rPr>
          <w:rFonts w:ascii="Times New Roman" w:hAnsi="Times New Roman" w:cs="Times New Roman"/>
          <w:i/>
          <w:sz w:val="24"/>
          <w:szCs w:val="24"/>
        </w:rPr>
        <w:t>Mawoyo</w:t>
      </w:r>
      <w:proofErr w:type="spellEnd"/>
      <w:r w:rsidR="00CD6173" w:rsidRPr="0084507C">
        <w:rPr>
          <w:rFonts w:ascii="Times New Roman" w:hAnsi="Times New Roman" w:cs="Times New Roman"/>
          <w:sz w:val="24"/>
          <w:szCs w:val="24"/>
        </w:rPr>
        <w:t xml:space="preserve"> </w:t>
      </w:r>
      <w:r w:rsidR="00CD6173" w:rsidRPr="0084507C">
        <w:rPr>
          <w:rFonts w:ascii="Times New Roman" w:hAnsi="Times New Roman" w:cs="Times New Roman"/>
          <w:sz w:val="24"/>
          <w:szCs w:val="24"/>
          <w:lang w:val="en-ZW"/>
        </w:rPr>
        <w:t>1995 (1) ZLR 258 (H) pp 263 para-G-I</w:t>
      </w:r>
      <w:r w:rsidR="00E10467" w:rsidRPr="0084507C">
        <w:rPr>
          <w:rFonts w:ascii="Times New Roman" w:hAnsi="Times New Roman" w:cs="Times New Roman"/>
          <w:sz w:val="24"/>
          <w:szCs w:val="24"/>
        </w:rPr>
        <w:t>, which affirm that a court cannot revisit its own orders except under limited circumstances.</w:t>
      </w:r>
      <w:r w:rsidR="00AC4B8F">
        <w:rPr>
          <w:rFonts w:ascii="Times New Roman" w:hAnsi="Times New Roman" w:cs="Times New Roman"/>
          <w:sz w:val="24"/>
          <w:szCs w:val="24"/>
        </w:rPr>
        <w:t xml:space="preserve"> He</w:t>
      </w:r>
      <w:r w:rsidR="00E10467" w:rsidRPr="0084507C">
        <w:rPr>
          <w:rFonts w:ascii="Times New Roman" w:hAnsi="Times New Roman" w:cs="Times New Roman"/>
          <w:sz w:val="24"/>
          <w:szCs w:val="24"/>
        </w:rPr>
        <w:t xml:space="preserve"> invoked Section 164(3) of the Constitution, which mandates compliance with court orders, emphasizing that the current court is obligated to respect </w:t>
      </w:r>
      <w:proofErr w:type="spellStart"/>
      <w:r w:rsidR="00E10467" w:rsidRPr="0084507C">
        <w:rPr>
          <w:rFonts w:ascii="Times New Roman" w:hAnsi="Times New Roman" w:cs="Times New Roman"/>
          <w:sz w:val="24"/>
          <w:szCs w:val="24"/>
        </w:rPr>
        <w:t>Chivayo</w:t>
      </w:r>
      <w:proofErr w:type="spellEnd"/>
      <w:r w:rsidR="00E10467" w:rsidRPr="0084507C">
        <w:rPr>
          <w:rFonts w:ascii="Times New Roman" w:hAnsi="Times New Roman" w:cs="Times New Roman"/>
          <w:sz w:val="24"/>
          <w:szCs w:val="24"/>
        </w:rPr>
        <w:t xml:space="preserve"> J’s ruling. </w:t>
      </w:r>
    </w:p>
    <w:p w14:paraId="6DD030B4" w14:textId="11B15023" w:rsidR="00E10467" w:rsidRDefault="006178F8" w:rsidP="00FD0109">
      <w:pPr>
        <w:spacing w:line="360" w:lineRule="auto"/>
        <w:jc w:val="both"/>
        <w:rPr>
          <w:rFonts w:ascii="Times New Roman" w:hAnsi="Times New Roman" w:cs="Times New Roman"/>
          <w:sz w:val="24"/>
          <w:szCs w:val="24"/>
        </w:rPr>
      </w:pPr>
      <w:r w:rsidRPr="00CF10A1">
        <w:rPr>
          <w:rFonts w:ascii="Times New Roman" w:hAnsi="Times New Roman" w:cs="Times New Roman"/>
          <w:i/>
          <w:sz w:val="24"/>
          <w:szCs w:val="24"/>
        </w:rPr>
        <w:t>Per Contra</w:t>
      </w:r>
      <w:r w:rsidR="00E10467" w:rsidRPr="0084507C">
        <w:rPr>
          <w:rFonts w:ascii="Times New Roman" w:hAnsi="Times New Roman" w:cs="Times New Roman"/>
          <w:sz w:val="24"/>
          <w:szCs w:val="24"/>
        </w:rPr>
        <w:t>, t</w:t>
      </w:r>
      <w:r w:rsidR="00CD6173" w:rsidRPr="0084507C">
        <w:rPr>
          <w:rFonts w:ascii="Times New Roman" w:hAnsi="Times New Roman" w:cs="Times New Roman"/>
          <w:sz w:val="24"/>
          <w:szCs w:val="24"/>
        </w:rPr>
        <w:t xml:space="preserve">he </w:t>
      </w:r>
      <w:r w:rsidR="00471D00" w:rsidRPr="0084507C">
        <w:rPr>
          <w:rFonts w:ascii="Times New Roman" w:hAnsi="Times New Roman" w:cs="Times New Roman"/>
          <w:sz w:val="24"/>
          <w:szCs w:val="24"/>
        </w:rPr>
        <w:t xml:space="preserve">first </w:t>
      </w:r>
      <w:r w:rsidR="00CD6173" w:rsidRPr="0084507C">
        <w:rPr>
          <w:rFonts w:ascii="Times New Roman" w:hAnsi="Times New Roman" w:cs="Times New Roman"/>
          <w:sz w:val="24"/>
          <w:szCs w:val="24"/>
        </w:rPr>
        <w:t>respondent</w:t>
      </w:r>
      <w:r w:rsidR="00E10467" w:rsidRPr="0084507C">
        <w:rPr>
          <w:rFonts w:ascii="Times New Roman" w:hAnsi="Times New Roman" w:cs="Times New Roman"/>
          <w:sz w:val="24"/>
          <w:szCs w:val="24"/>
        </w:rPr>
        <w:t xml:space="preserve"> disputes the claim that he was barred, arguing that Rule 59(6) allows additional time for respondents located far from the court specifically, one day for every 200 kilometers. Given that the first respondent’s address was over 400 kilometers from Harare, he contended that he was entitled t</w:t>
      </w:r>
      <w:r w:rsidR="000B2B30">
        <w:rPr>
          <w:rFonts w:ascii="Times New Roman" w:hAnsi="Times New Roman" w:cs="Times New Roman"/>
          <w:sz w:val="24"/>
          <w:szCs w:val="24"/>
        </w:rPr>
        <w:t xml:space="preserve">o 3 more extra </w:t>
      </w:r>
      <w:r w:rsidR="00E10467" w:rsidRPr="0084507C">
        <w:rPr>
          <w:rFonts w:ascii="Times New Roman" w:hAnsi="Times New Roman" w:cs="Times New Roman"/>
          <w:sz w:val="24"/>
          <w:szCs w:val="24"/>
        </w:rPr>
        <w:t>days to file his notice of opposition</w:t>
      </w:r>
      <w:r w:rsidR="00AC4B8F">
        <w:rPr>
          <w:rFonts w:ascii="Times New Roman" w:hAnsi="Times New Roman" w:cs="Times New Roman"/>
          <w:sz w:val="24"/>
          <w:szCs w:val="24"/>
        </w:rPr>
        <w:t xml:space="preserve"> </w:t>
      </w:r>
      <w:r w:rsidR="00E10467" w:rsidRPr="0084507C">
        <w:rPr>
          <w:rFonts w:ascii="Times New Roman" w:hAnsi="Times New Roman" w:cs="Times New Roman"/>
          <w:sz w:val="24"/>
          <w:szCs w:val="24"/>
        </w:rPr>
        <w:t xml:space="preserve">and thus his filing was timely. </w:t>
      </w:r>
    </w:p>
    <w:p w14:paraId="5DEA1C91" w14:textId="6D462929" w:rsidR="00AC4B8F" w:rsidRPr="00AC4B8F" w:rsidRDefault="00AC4B8F" w:rsidP="00AC4B8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did not properly serve in terms of Rule 15(22)(e)</w:t>
      </w:r>
    </w:p>
    <w:p w14:paraId="66E9694B" w14:textId="5296C737" w:rsidR="00E10467" w:rsidRPr="0084507C" w:rsidRDefault="00CD6173"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Third</w:t>
      </w:r>
      <w:r w:rsidR="003C1D17">
        <w:rPr>
          <w:rFonts w:ascii="Times New Roman" w:hAnsi="Times New Roman" w:cs="Times New Roman"/>
          <w:sz w:val="24"/>
          <w:szCs w:val="24"/>
        </w:rPr>
        <w:t>ly</w:t>
      </w:r>
      <w:r w:rsidRPr="0084507C">
        <w:rPr>
          <w:rFonts w:ascii="Times New Roman" w:hAnsi="Times New Roman" w:cs="Times New Roman"/>
          <w:sz w:val="24"/>
          <w:szCs w:val="24"/>
        </w:rPr>
        <w:t xml:space="preserve">, the </w:t>
      </w:r>
      <w:r w:rsidR="00471D00" w:rsidRPr="0084507C">
        <w:rPr>
          <w:rFonts w:ascii="Times New Roman" w:hAnsi="Times New Roman" w:cs="Times New Roman"/>
          <w:sz w:val="24"/>
          <w:szCs w:val="24"/>
        </w:rPr>
        <w:t>first</w:t>
      </w:r>
      <w:r w:rsidR="00E10467" w:rsidRPr="0084507C">
        <w:rPr>
          <w:rFonts w:ascii="Times New Roman" w:hAnsi="Times New Roman" w:cs="Times New Roman"/>
          <w:sz w:val="24"/>
          <w:szCs w:val="24"/>
        </w:rPr>
        <w:t xml:space="preserve"> respondent challenges the validity of the applicant’s proof of service, asserting that it fails to comply with Rule 15(22)(e), which requires a copy of the email used for service, including the date and time of delivery. Without this, he argues, there is no valid proof that the applicant served the application within the required timeframe. Additionally, the first respondent points to Rule 58(14) and (15), which state that if proof of service is not filed with the </w:t>
      </w:r>
      <w:r w:rsidR="002C53E4">
        <w:rPr>
          <w:rFonts w:ascii="Times New Roman" w:hAnsi="Times New Roman" w:cs="Times New Roman"/>
          <w:sz w:val="24"/>
          <w:szCs w:val="24"/>
        </w:rPr>
        <w:t>R</w:t>
      </w:r>
      <w:r w:rsidR="00E10467" w:rsidRPr="0084507C">
        <w:rPr>
          <w:rFonts w:ascii="Times New Roman" w:hAnsi="Times New Roman" w:cs="Times New Roman"/>
          <w:sz w:val="24"/>
          <w:szCs w:val="24"/>
        </w:rPr>
        <w:t>egistrar within five days, the application is deemed abandoned</w:t>
      </w:r>
      <w:r w:rsidR="006178F8">
        <w:rPr>
          <w:rFonts w:ascii="Times New Roman" w:hAnsi="Times New Roman" w:cs="Times New Roman"/>
          <w:sz w:val="24"/>
          <w:szCs w:val="24"/>
        </w:rPr>
        <w:t xml:space="preserve"> and dismissed</w:t>
      </w:r>
      <w:r w:rsidR="00E10467" w:rsidRPr="0084507C">
        <w:rPr>
          <w:rFonts w:ascii="Times New Roman" w:hAnsi="Times New Roman" w:cs="Times New Roman"/>
          <w:sz w:val="24"/>
          <w:szCs w:val="24"/>
        </w:rPr>
        <w:t xml:space="preserve">. </w:t>
      </w:r>
      <w:r w:rsidR="002C53E4">
        <w:rPr>
          <w:rFonts w:ascii="Times New Roman" w:hAnsi="Times New Roman" w:cs="Times New Roman"/>
          <w:sz w:val="24"/>
          <w:szCs w:val="24"/>
        </w:rPr>
        <w:t>He argues that s</w:t>
      </w:r>
      <w:r w:rsidR="00E10467" w:rsidRPr="0084507C">
        <w:rPr>
          <w:rFonts w:ascii="Times New Roman" w:hAnsi="Times New Roman" w:cs="Times New Roman"/>
          <w:sz w:val="24"/>
          <w:szCs w:val="24"/>
        </w:rPr>
        <w:t>ince the applicant failed to meet this requirement</w:t>
      </w:r>
      <w:r w:rsidR="006178F8">
        <w:rPr>
          <w:rFonts w:ascii="Times New Roman" w:hAnsi="Times New Roman" w:cs="Times New Roman"/>
          <w:sz w:val="24"/>
          <w:szCs w:val="24"/>
        </w:rPr>
        <w:t>,</w:t>
      </w:r>
      <w:r w:rsidR="00177381">
        <w:rPr>
          <w:rFonts w:ascii="Times New Roman" w:hAnsi="Times New Roman" w:cs="Times New Roman"/>
          <w:sz w:val="24"/>
          <w:szCs w:val="24"/>
        </w:rPr>
        <w:t xml:space="preserve"> </w:t>
      </w:r>
      <w:r w:rsidR="00E10467" w:rsidRPr="0084507C">
        <w:rPr>
          <w:rFonts w:ascii="Times New Roman" w:hAnsi="Times New Roman" w:cs="Times New Roman"/>
          <w:sz w:val="24"/>
          <w:szCs w:val="24"/>
        </w:rPr>
        <w:t>the application no longer exists</w:t>
      </w:r>
      <w:r w:rsidR="002C53E4">
        <w:rPr>
          <w:rFonts w:ascii="Times New Roman" w:hAnsi="Times New Roman" w:cs="Times New Roman"/>
          <w:sz w:val="24"/>
          <w:szCs w:val="24"/>
        </w:rPr>
        <w:t>. In support of this proposition, he</w:t>
      </w:r>
      <w:r w:rsidR="00E10467" w:rsidRPr="0084507C">
        <w:rPr>
          <w:rFonts w:ascii="Times New Roman" w:hAnsi="Times New Roman" w:cs="Times New Roman"/>
          <w:sz w:val="24"/>
          <w:szCs w:val="24"/>
        </w:rPr>
        <w:t xml:space="preserve"> cit</w:t>
      </w:r>
      <w:r w:rsidR="002C53E4">
        <w:rPr>
          <w:rFonts w:ascii="Times New Roman" w:hAnsi="Times New Roman" w:cs="Times New Roman"/>
          <w:sz w:val="24"/>
          <w:szCs w:val="24"/>
        </w:rPr>
        <w:t>ed</w:t>
      </w:r>
      <w:r w:rsidR="00E10467" w:rsidRPr="0084507C">
        <w:rPr>
          <w:rFonts w:ascii="Times New Roman" w:hAnsi="Times New Roman" w:cs="Times New Roman"/>
          <w:sz w:val="24"/>
          <w:szCs w:val="24"/>
        </w:rPr>
        <w:t xml:space="preserve"> the Supreme Court case of </w:t>
      </w:r>
      <w:proofErr w:type="spellStart"/>
      <w:r w:rsidR="00E10467" w:rsidRPr="0084507C">
        <w:rPr>
          <w:rFonts w:ascii="Times New Roman" w:hAnsi="Times New Roman" w:cs="Times New Roman"/>
          <w:i/>
          <w:sz w:val="24"/>
          <w:szCs w:val="24"/>
        </w:rPr>
        <w:t>Gazi</w:t>
      </w:r>
      <w:proofErr w:type="spellEnd"/>
      <w:r w:rsidR="00E10467" w:rsidRPr="0084507C">
        <w:rPr>
          <w:rFonts w:ascii="Times New Roman" w:hAnsi="Times New Roman" w:cs="Times New Roman"/>
          <w:i/>
          <w:sz w:val="24"/>
          <w:szCs w:val="24"/>
        </w:rPr>
        <w:t xml:space="preserve"> v </w:t>
      </w:r>
      <w:proofErr w:type="spellStart"/>
      <w:r w:rsidR="00E10467" w:rsidRPr="0084507C">
        <w:rPr>
          <w:rFonts w:ascii="Times New Roman" w:hAnsi="Times New Roman" w:cs="Times New Roman"/>
          <w:i/>
          <w:sz w:val="24"/>
          <w:szCs w:val="24"/>
        </w:rPr>
        <w:t>Mbalabala</w:t>
      </w:r>
      <w:proofErr w:type="spellEnd"/>
      <w:r w:rsidR="00E10467" w:rsidRPr="0084507C">
        <w:rPr>
          <w:rFonts w:ascii="Times New Roman" w:hAnsi="Times New Roman" w:cs="Times New Roman"/>
          <w:i/>
          <w:sz w:val="24"/>
          <w:szCs w:val="24"/>
        </w:rPr>
        <w:t xml:space="preserve"> Properties</w:t>
      </w:r>
      <w:r w:rsidR="00B37761" w:rsidRPr="0084507C">
        <w:rPr>
          <w:rFonts w:ascii="Times New Roman" w:hAnsi="Times New Roman" w:cs="Times New Roman"/>
          <w:sz w:val="24"/>
          <w:szCs w:val="24"/>
        </w:rPr>
        <w:t xml:space="preserve"> </w:t>
      </w:r>
      <w:r w:rsidR="00F3087A">
        <w:rPr>
          <w:rFonts w:ascii="Times New Roman" w:hAnsi="Times New Roman" w:cs="Times New Roman"/>
          <w:sz w:val="24"/>
          <w:szCs w:val="24"/>
          <w:lang w:val="en-ZW"/>
        </w:rPr>
        <w:t>SC24/23 at para 19 -22;</w:t>
      </w:r>
    </w:p>
    <w:p w14:paraId="23793E7C" w14:textId="77777777" w:rsidR="00B04DEA" w:rsidRPr="0084507C" w:rsidRDefault="00B04DEA" w:rsidP="00FD0109">
      <w:pPr>
        <w:spacing w:line="360" w:lineRule="auto"/>
        <w:jc w:val="both"/>
        <w:rPr>
          <w:rFonts w:ascii="Times New Roman" w:hAnsi="Times New Roman" w:cs="Times New Roman"/>
          <w:b/>
          <w:sz w:val="24"/>
          <w:szCs w:val="24"/>
          <w:u w:val="single"/>
        </w:rPr>
      </w:pPr>
      <w:r w:rsidRPr="0084507C">
        <w:rPr>
          <w:rFonts w:ascii="Times New Roman" w:hAnsi="Times New Roman" w:cs="Times New Roman"/>
          <w:b/>
          <w:sz w:val="24"/>
          <w:szCs w:val="24"/>
          <w:u w:val="single"/>
        </w:rPr>
        <w:t>ISSUES FOR DETERMINATION</w:t>
      </w:r>
    </w:p>
    <w:p w14:paraId="7D5EE586" w14:textId="77777777" w:rsidR="00E10467" w:rsidRPr="0084507C" w:rsidRDefault="00E10467"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 xml:space="preserve"> To determine the matter they are only two issues before me</w:t>
      </w:r>
    </w:p>
    <w:p w14:paraId="3C9834A6" w14:textId="77777777" w:rsidR="00E10467" w:rsidRPr="0084507C" w:rsidRDefault="00471D00" w:rsidP="00FD0109">
      <w:pPr>
        <w:pStyle w:val="ListParagraph"/>
        <w:numPr>
          <w:ilvl w:val="0"/>
          <w:numId w:val="1"/>
        </w:num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Whether the first</w:t>
      </w:r>
      <w:r w:rsidR="00E10467" w:rsidRPr="0084507C">
        <w:rPr>
          <w:rFonts w:ascii="Times New Roman" w:hAnsi="Times New Roman" w:cs="Times New Roman"/>
          <w:sz w:val="24"/>
          <w:szCs w:val="24"/>
        </w:rPr>
        <w:t xml:space="preserve"> respondent is properly before the court </w:t>
      </w:r>
    </w:p>
    <w:p w14:paraId="36289E98" w14:textId="77777777" w:rsidR="00E10467" w:rsidRPr="0084507C" w:rsidRDefault="00E10467" w:rsidP="00FD0109">
      <w:pPr>
        <w:pStyle w:val="ListParagraph"/>
        <w:numPr>
          <w:ilvl w:val="0"/>
          <w:numId w:val="1"/>
        </w:num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Whether the application is deemed to have been abandoned due to</w:t>
      </w:r>
      <w:r w:rsidR="00CD6173" w:rsidRPr="0084507C">
        <w:rPr>
          <w:rFonts w:ascii="Times New Roman" w:hAnsi="Times New Roman" w:cs="Times New Roman"/>
          <w:sz w:val="24"/>
          <w:szCs w:val="24"/>
        </w:rPr>
        <w:t xml:space="preserve"> failure to adhere with rule 15 (22)(e) of the High Court Rules 2021 by the applicant</w:t>
      </w:r>
    </w:p>
    <w:p w14:paraId="5186362F" w14:textId="77777777" w:rsidR="00BA2D43" w:rsidRDefault="00BA2D43" w:rsidP="00FD0109">
      <w:pPr>
        <w:spacing w:line="360" w:lineRule="auto"/>
        <w:jc w:val="both"/>
        <w:rPr>
          <w:rFonts w:ascii="Times New Roman" w:hAnsi="Times New Roman" w:cs="Times New Roman"/>
          <w:b/>
          <w:sz w:val="24"/>
          <w:szCs w:val="24"/>
          <w:u w:val="single"/>
        </w:rPr>
      </w:pPr>
    </w:p>
    <w:p w14:paraId="24D99832" w14:textId="77777777" w:rsidR="00BA2D43" w:rsidRDefault="00BA2D43" w:rsidP="00FD0109">
      <w:pPr>
        <w:spacing w:line="360" w:lineRule="auto"/>
        <w:jc w:val="both"/>
        <w:rPr>
          <w:rFonts w:ascii="Times New Roman" w:hAnsi="Times New Roman" w:cs="Times New Roman"/>
          <w:b/>
          <w:sz w:val="24"/>
          <w:szCs w:val="24"/>
          <w:u w:val="single"/>
        </w:rPr>
      </w:pPr>
    </w:p>
    <w:p w14:paraId="24BB8445" w14:textId="77777777" w:rsidR="00E10467" w:rsidRPr="0084507C" w:rsidRDefault="00E10467" w:rsidP="00FD0109">
      <w:pPr>
        <w:spacing w:line="360" w:lineRule="auto"/>
        <w:jc w:val="both"/>
        <w:rPr>
          <w:rFonts w:ascii="Times New Roman" w:hAnsi="Times New Roman" w:cs="Times New Roman"/>
          <w:b/>
          <w:sz w:val="24"/>
          <w:szCs w:val="24"/>
        </w:rPr>
      </w:pPr>
      <w:r w:rsidRPr="0084507C">
        <w:rPr>
          <w:rFonts w:ascii="Times New Roman" w:hAnsi="Times New Roman" w:cs="Times New Roman"/>
          <w:b/>
          <w:sz w:val="24"/>
          <w:szCs w:val="24"/>
          <w:u w:val="single"/>
        </w:rPr>
        <w:lastRenderedPageBreak/>
        <w:t xml:space="preserve">Application of the Law to facts </w:t>
      </w:r>
    </w:p>
    <w:p w14:paraId="48CE1B8A" w14:textId="08753A5F" w:rsidR="00B37761" w:rsidRPr="0084507C" w:rsidRDefault="00B37761" w:rsidP="00FD0109">
      <w:pPr>
        <w:spacing w:line="360" w:lineRule="auto"/>
        <w:jc w:val="both"/>
        <w:rPr>
          <w:rFonts w:ascii="Times New Roman" w:hAnsi="Times New Roman" w:cs="Times New Roman"/>
          <w:b/>
          <w:sz w:val="24"/>
          <w:szCs w:val="24"/>
        </w:rPr>
      </w:pPr>
      <w:r w:rsidRPr="0084507C">
        <w:rPr>
          <w:rFonts w:ascii="Times New Roman" w:hAnsi="Times New Roman" w:cs="Times New Roman"/>
          <w:b/>
          <w:sz w:val="24"/>
          <w:szCs w:val="24"/>
        </w:rPr>
        <w:t>Whether</w:t>
      </w:r>
      <w:r w:rsidR="006178F8">
        <w:rPr>
          <w:rFonts w:ascii="Times New Roman" w:hAnsi="Times New Roman" w:cs="Times New Roman"/>
          <w:b/>
          <w:sz w:val="24"/>
          <w:szCs w:val="24"/>
        </w:rPr>
        <w:t xml:space="preserve"> or not</w:t>
      </w:r>
      <w:r w:rsidRPr="0084507C">
        <w:rPr>
          <w:rFonts w:ascii="Times New Roman" w:hAnsi="Times New Roman" w:cs="Times New Roman"/>
          <w:b/>
          <w:sz w:val="24"/>
          <w:szCs w:val="24"/>
        </w:rPr>
        <w:t xml:space="preserve"> the first respondent is properly before the court</w:t>
      </w:r>
      <w:r w:rsidR="006178F8">
        <w:rPr>
          <w:rFonts w:ascii="Times New Roman" w:hAnsi="Times New Roman" w:cs="Times New Roman"/>
          <w:b/>
          <w:sz w:val="24"/>
          <w:szCs w:val="24"/>
        </w:rPr>
        <w:t>.</w:t>
      </w:r>
    </w:p>
    <w:p w14:paraId="26035A1F" w14:textId="0A42E6BE" w:rsidR="00E21216" w:rsidRPr="0084507C" w:rsidRDefault="00E21216"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A key pr</w:t>
      </w:r>
      <w:r w:rsidR="00AC4B8F">
        <w:rPr>
          <w:rFonts w:ascii="Times New Roman" w:hAnsi="Times New Roman" w:cs="Times New Roman"/>
          <w:sz w:val="24"/>
          <w:szCs w:val="24"/>
        </w:rPr>
        <w:t xml:space="preserve">eliminary issue is whether the first </w:t>
      </w:r>
      <w:r w:rsidR="00AC4B8F" w:rsidRPr="0084507C">
        <w:rPr>
          <w:rFonts w:ascii="Times New Roman" w:hAnsi="Times New Roman" w:cs="Times New Roman"/>
          <w:sz w:val="24"/>
          <w:szCs w:val="24"/>
        </w:rPr>
        <w:t>respondent</w:t>
      </w:r>
      <w:r w:rsidRPr="0084507C">
        <w:rPr>
          <w:rFonts w:ascii="Times New Roman" w:hAnsi="Times New Roman" w:cs="Times New Roman"/>
          <w:sz w:val="24"/>
          <w:szCs w:val="24"/>
        </w:rPr>
        <w:t xml:space="preserve"> is properly before the court, given the procedural irregularities surrounding the filing of his notice of opposition and the condonation obtained under Rule 39(4). Central to this determination is the principle of </w:t>
      </w:r>
      <w:proofErr w:type="spellStart"/>
      <w:r w:rsidRPr="0084507C">
        <w:rPr>
          <w:rFonts w:ascii="Times New Roman" w:hAnsi="Times New Roman" w:cs="Times New Roman"/>
          <w:i/>
          <w:iCs/>
          <w:sz w:val="24"/>
          <w:szCs w:val="24"/>
        </w:rPr>
        <w:t>functus</w:t>
      </w:r>
      <w:proofErr w:type="spellEnd"/>
      <w:r w:rsidRPr="0084507C">
        <w:rPr>
          <w:rFonts w:ascii="Times New Roman" w:hAnsi="Times New Roman" w:cs="Times New Roman"/>
          <w:i/>
          <w:iCs/>
          <w:sz w:val="24"/>
          <w:szCs w:val="24"/>
        </w:rPr>
        <w:t xml:space="preserve"> officio</w:t>
      </w:r>
      <w:r w:rsidR="002D4553">
        <w:rPr>
          <w:rFonts w:ascii="Times New Roman" w:hAnsi="Times New Roman" w:cs="Times New Roman"/>
          <w:i/>
          <w:iCs/>
          <w:sz w:val="24"/>
          <w:szCs w:val="24"/>
        </w:rPr>
        <w:t>,</w:t>
      </w:r>
      <w:r w:rsidR="002712E3" w:rsidRPr="0084507C">
        <w:rPr>
          <w:rFonts w:ascii="Times New Roman" w:hAnsi="Times New Roman" w:cs="Times New Roman"/>
          <w:sz w:val="24"/>
          <w:szCs w:val="24"/>
        </w:rPr>
        <w:t xml:space="preserve"> </w:t>
      </w:r>
      <w:r w:rsidRPr="0084507C">
        <w:rPr>
          <w:rFonts w:ascii="Times New Roman" w:hAnsi="Times New Roman" w:cs="Times New Roman"/>
          <w:sz w:val="24"/>
          <w:szCs w:val="24"/>
        </w:rPr>
        <w:t>the legal doctrine that once a court has pronounced a final judgment or order, it cannot revisit or revise that decision, except under narrowly defined circumstances.</w:t>
      </w:r>
    </w:p>
    <w:p w14:paraId="69A51AB2" w14:textId="63067F39" w:rsidR="00E21216" w:rsidRPr="0084507C" w:rsidRDefault="00E21216"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The applicant cha</w:t>
      </w:r>
      <w:r w:rsidR="00471D00" w:rsidRPr="0084507C">
        <w:rPr>
          <w:rFonts w:ascii="Times New Roman" w:hAnsi="Times New Roman" w:cs="Times New Roman"/>
          <w:sz w:val="24"/>
          <w:szCs w:val="24"/>
        </w:rPr>
        <w:t>llenges the propriety of the first</w:t>
      </w:r>
      <w:r w:rsidRPr="0084507C">
        <w:rPr>
          <w:rFonts w:ascii="Times New Roman" w:hAnsi="Times New Roman" w:cs="Times New Roman"/>
          <w:sz w:val="24"/>
          <w:szCs w:val="24"/>
        </w:rPr>
        <w:t xml:space="preserve"> respondent’s participation in these proceedings on the basis that the condonation order granted by </w:t>
      </w:r>
      <w:proofErr w:type="spellStart"/>
      <w:r w:rsidRPr="0084507C">
        <w:rPr>
          <w:rFonts w:ascii="Times New Roman" w:hAnsi="Times New Roman" w:cs="Times New Roman"/>
          <w:sz w:val="24"/>
          <w:szCs w:val="24"/>
        </w:rPr>
        <w:t>Chivayo</w:t>
      </w:r>
      <w:proofErr w:type="spellEnd"/>
      <w:r w:rsidRPr="0084507C">
        <w:rPr>
          <w:rFonts w:ascii="Times New Roman" w:hAnsi="Times New Roman" w:cs="Times New Roman"/>
          <w:sz w:val="24"/>
          <w:szCs w:val="24"/>
        </w:rPr>
        <w:t xml:space="preserve"> J in case number HC 1039/24 was made under the incorrect p</w:t>
      </w:r>
      <w:r w:rsidR="00BC7F24" w:rsidRPr="0084507C">
        <w:rPr>
          <w:rFonts w:ascii="Times New Roman" w:hAnsi="Times New Roman" w:cs="Times New Roman"/>
          <w:sz w:val="24"/>
          <w:szCs w:val="24"/>
        </w:rPr>
        <w:t xml:space="preserve">rocedural rule </w:t>
      </w:r>
      <w:r w:rsidRPr="0084507C">
        <w:rPr>
          <w:rFonts w:ascii="Times New Roman" w:hAnsi="Times New Roman" w:cs="Times New Roman"/>
          <w:sz w:val="24"/>
          <w:szCs w:val="24"/>
        </w:rPr>
        <w:t>39(4)</w:t>
      </w:r>
      <w:r w:rsidR="00CD6173" w:rsidRPr="0084507C">
        <w:rPr>
          <w:rFonts w:ascii="Times New Roman" w:hAnsi="Times New Roman" w:cs="Times New Roman"/>
          <w:sz w:val="24"/>
          <w:szCs w:val="24"/>
        </w:rPr>
        <w:t xml:space="preserve"> of the High Court Rules 2021</w:t>
      </w:r>
      <w:r w:rsidRPr="0084507C">
        <w:rPr>
          <w:rFonts w:ascii="Times New Roman" w:hAnsi="Times New Roman" w:cs="Times New Roman"/>
          <w:sz w:val="24"/>
          <w:szCs w:val="24"/>
        </w:rPr>
        <w:t>, which concerns removal of bar, rather than Rule 59(7)</w:t>
      </w:r>
      <w:r w:rsidR="00CD6173" w:rsidRPr="0084507C">
        <w:rPr>
          <w:rFonts w:ascii="Times New Roman" w:hAnsi="Times New Roman" w:cs="Times New Roman"/>
          <w:sz w:val="24"/>
          <w:szCs w:val="24"/>
        </w:rPr>
        <w:t xml:space="preserve"> the High Court Rules 2021</w:t>
      </w:r>
      <w:r w:rsidRPr="0084507C">
        <w:rPr>
          <w:rFonts w:ascii="Times New Roman" w:hAnsi="Times New Roman" w:cs="Times New Roman"/>
          <w:sz w:val="24"/>
          <w:szCs w:val="24"/>
        </w:rPr>
        <w:t xml:space="preserve">, which specifically addresses the extension of time to file a notice of opposition. Relying on the case of </w:t>
      </w:r>
      <w:r w:rsidRPr="0084507C">
        <w:rPr>
          <w:rFonts w:ascii="Times New Roman" w:hAnsi="Times New Roman" w:cs="Times New Roman"/>
          <w:i/>
          <w:iCs/>
          <w:sz w:val="24"/>
          <w:szCs w:val="24"/>
        </w:rPr>
        <w:t>Ahmed v Dorking Station Safaris</w:t>
      </w:r>
      <w:r w:rsidRPr="0084507C">
        <w:rPr>
          <w:rFonts w:ascii="Times New Roman" w:hAnsi="Times New Roman" w:cs="Times New Roman"/>
          <w:sz w:val="24"/>
          <w:szCs w:val="24"/>
        </w:rPr>
        <w:t>, the applicant contends that an order granted under the wrong rule is a nullity and, therefore, that the 1</w:t>
      </w:r>
      <w:r w:rsidRPr="002F3B4E">
        <w:rPr>
          <w:rFonts w:ascii="Times New Roman" w:hAnsi="Times New Roman" w:cs="Times New Roman"/>
          <w:sz w:val="24"/>
          <w:szCs w:val="24"/>
          <w:vertAlign w:val="superscript"/>
        </w:rPr>
        <w:t>st</w:t>
      </w:r>
      <w:r w:rsidR="002D4553">
        <w:rPr>
          <w:rFonts w:ascii="Times New Roman" w:hAnsi="Times New Roman" w:cs="Times New Roman"/>
          <w:sz w:val="24"/>
          <w:szCs w:val="24"/>
        </w:rPr>
        <w:t xml:space="preserve"> </w:t>
      </w:r>
      <w:r w:rsidRPr="0084507C">
        <w:rPr>
          <w:rFonts w:ascii="Times New Roman" w:hAnsi="Times New Roman" w:cs="Times New Roman"/>
          <w:sz w:val="24"/>
          <w:szCs w:val="24"/>
        </w:rPr>
        <w:t>respondent remains barred and is not properly before this court.</w:t>
      </w:r>
    </w:p>
    <w:p w14:paraId="15F09EFC" w14:textId="6B9337EB" w:rsidR="00E80C20" w:rsidRPr="0084507C" w:rsidRDefault="00E21216" w:rsidP="00AC4B8F">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 xml:space="preserve">However, this court is not at large to disregard a subsisting court order simply because it may have been granted on what is perceived to be a misapplication of the rules. The doctrine of </w:t>
      </w:r>
      <w:proofErr w:type="spellStart"/>
      <w:r w:rsidRPr="0084507C">
        <w:rPr>
          <w:rFonts w:ascii="Times New Roman" w:hAnsi="Times New Roman" w:cs="Times New Roman"/>
          <w:i/>
          <w:iCs/>
          <w:sz w:val="24"/>
          <w:szCs w:val="24"/>
        </w:rPr>
        <w:t>functus</w:t>
      </w:r>
      <w:proofErr w:type="spellEnd"/>
      <w:r w:rsidRPr="0084507C">
        <w:rPr>
          <w:rFonts w:ascii="Times New Roman" w:hAnsi="Times New Roman" w:cs="Times New Roman"/>
          <w:i/>
          <w:iCs/>
          <w:sz w:val="24"/>
          <w:szCs w:val="24"/>
        </w:rPr>
        <w:t xml:space="preserve"> officio</w:t>
      </w:r>
      <w:r w:rsidRPr="0084507C">
        <w:rPr>
          <w:rFonts w:ascii="Times New Roman" w:hAnsi="Times New Roman" w:cs="Times New Roman"/>
          <w:sz w:val="24"/>
          <w:szCs w:val="24"/>
        </w:rPr>
        <w:t xml:space="preserve"> precludes such an approach. As stated in </w:t>
      </w:r>
      <w:proofErr w:type="spellStart"/>
      <w:r w:rsidRPr="0084507C">
        <w:rPr>
          <w:rFonts w:ascii="Times New Roman" w:hAnsi="Times New Roman" w:cs="Times New Roman"/>
          <w:i/>
          <w:iCs/>
          <w:sz w:val="24"/>
          <w:szCs w:val="24"/>
        </w:rPr>
        <w:t>Ndlovu</w:t>
      </w:r>
      <w:proofErr w:type="spellEnd"/>
      <w:r w:rsidRPr="0084507C">
        <w:rPr>
          <w:rFonts w:ascii="Times New Roman" w:hAnsi="Times New Roman" w:cs="Times New Roman"/>
          <w:i/>
          <w:iCs/>
          <w:sz w:val="24"/>
          <w:szCs w:val="24"/>
        </w:rPr>
        <w:t xml:space="preserve"> v </w:t>
      </w:r>
      <w:proofErr w:type="spellStart"/>
      <w:r w:rsidRPr="0084507C">
        <w:rPr>
          <w:rFonts w:ascii="Times New Roman" w:hAnsi="Times New Roman" w:cs="Times New Roman"/>
          <w:i/>
          <w:iCs/>
          <w:sz w:val="24"/>
          <w:szCs w:val="24"/>
        </w:rPr>
        <w:t>Gutherless</w:t>
      </w:r>
      <w:proofErr w:type="spellEnd"/>
      <w:r w:rsidRPr="0084507C">
        <w:rPr>
          <w:rFonts w:ascii="Times New Roman" w:hAnsi="Times New Roman" w:cs="Times New Roman"/>
          <w:i/>
          <w:iCs/>
          <w:sz w:val="24"/>
          <w:szCs w:val="24"/>
        </w:rPr>
        <w:t xml:space="preserve"> and Another</w:t>
      </w:r>
      <w:r w:rsidRPr="0084507C">
        <w:rPr>
          <w:rFonts w:ascii="Times New Roman" w:hAnsi="Times New Roman" w:cs="Times New Roman"/>
          <w:sz w:val="24"/>
          <w:szCs w:val="24"/>
        </w:rPr>
        <w:t xml:space="preserve"> HB 42/10 at page 3</w:t>
      </w:r>
      <w:r w:rsidR="00AC4B8F">
        <w:rPr>
          <w:rFonts w:ascii="Times New Roman" w:hAnsi="Times New Roman" w:cs="Times New Roman"/>
          <w:sz w:val="24"/>
          <w:szCs w:val="24"/>
        </w:rPr>
        <w:t xml:space="preserve"> where it was held</w:t>
      </w:r>
      <w:r w:rsidR="00001630">
        <w:rPr>
          <w:rFonts w:ascii="Times New Roman" w:hAnsi="Times New Roman" w:cs="Times New Roman"/>
          <w:sz w:val="24"/>
          <w:szCs w:val="24"/>
        </w:rPr>
        <w:t>.</w:t>
      </w:r>
      <w:r w:rsidR="00E80C20" w:rsidRPr="0084507C">
        <w:rPr>
          <w:rFonts w:ascii="Times New Roman" w:hAnsi="Times New Roman" w:cs="Times New Roman"/>
          <w:sz w:val="24"/>
          <w:szCs w:val="24"/>
        </w:rPr>
        <w:t xml:space="preserve"> It is clear from the order being sought that the applicant is asking this court to make a declaratory order against its own decisions.  He relied on section 14 of the High Court Act [</w:t>
      </w:r>
      <w:r w:rsidR="00E80C20" w:rsidRPr="002F3B4E">
        <w:rPr>
          <w:rFonts w:ascii="Times New Roman" w:hAnsi="Times New Roman" w:cs="Times New Roman"/>
          <w:i/>
          <w:sz w:val="24"/>
          <w:szCs w:val="24"/>
        </w:rPr>
        <w:t>Chapter 7:06</w:t>
      </w:r>
      <w:r w:rsidR="00E80C20" w:rsidRPr="0084507C">
        <w:rPr>
          <w:rFonts w:ascii="Times New Roman" w:hAnsi="Times New Roman" w:cs="Times New Roman"/>
          <w:sz w:val="24"/>
          <w:szCs w:val="24"/>
        </w:rPr>
        <w:t>] which provides that:-</w:t>
      </w:r>
    </w:p>
    <w:p w14:paraId="4B0FD4A1" w14:textId="77777777" w:rsidR="00E80C20" w:rsidRPr="0084507C" w:rsidRDefault="00E80C20" w:rsidP="002F3B4E">
      <w:pPr>
        <w:spacing w:line="360" w:lineRule="auto"/>
        <w:ind w:left="720" w:right="1440"/>
        <w:jc w:val="both"/>
        <w:rPr>
          <w:rFonts w:ascii="Times New Roman" w:hAnsi="Times New Roman" w:cs="Times New Roman"/>
          <w:sz w:val="24"/>
          <w:szCs w:val="24"/>
        </w:rPr>
      </w:pPr>
      <w:r w:rsidRPr="0084507C">
        <w:rPr>
          <w:rFonts w:ascii="Times New Roman" w:hAnsi="Times New Roman" w:cs="Times New Roman"/>
          <w:sz w:val="24"/>
          <w:szCs w:val="24"/>
        </w:rPr>
        <w:t>“The High Court may, in its discretion, at the instance of any interested person inquire into and determine any existing, future or contingent right or obligation, notwithstanding that such person cannot claim any relief consequential upon such determination.”</w:t>
      </w:r>
    </w:p>
    <w:p w14:paraId="395D0F56" w14:textId="63AC2E1C" w:rsidR="00E10467" w:rsidRPr="0084507C" w:rsidRDefault="001E4147" w:rsidP="00FD0109">
      <w:pPr>
        <w:spacing w:line="360" w:lineRule="auto"/>
        <w:ind w:right="1440"/>
        <w:jc w:val="both"/>
        <w:rPr>
          <w:rFonts w:ascii="Times New Roman" w:hAnsi="Times New Roman" w:cs="Times New Roman"/>
          <w:sz w:val="24"/>
          <w:szCs w:val="24"/>
        </w:rPr>
      </w:pPr>
      <w:r>
        <w:rPr>
          <w:rFonts w:ascii="Times New Roman" w:hAnsi="Times New Roman" w:cs="Times New Roman"/>
          <w:sz w:val="24"/>
          <w:szCs w:val="24"/>
        </w:rPr>
        <w:t>T</w:t>
      </w:r>
      <w:r w:rsidR="00E80C20" w:rsidRPr="0084507C">
        <w:rPr>
          <w:rFonts w:ascii="Times New Roman" w:hAnsi="Times New Roman" w:cs="Times New Roman"/>
          <w:sz w:val="24"/>
          <w:szCs w:val="24"/>
        </w:rPr>
        <w:t xml:space="preserve">he above provisions do not enjoin the High Court with the powers to make declaratory orders in respect of its own decision.  It cannot sit as a review court over its own judgment.  It is </w:t>
      </w:r>
      <w:proofErr w:type="spellStart"/>
      <w:r w:rsidR="00E80C20" w:rsidRPr="0084507C">
        <w:rPr>
          <w:rFonts w:ascii="Times New Roman" w:hAnsi="Times New Roman" w:cs="Times New Roman"/>
          <w:i/>
          <w:sz w:val="24"/>
          <w:szCs w:val="24"/>
        </w:rPr>
        <w:t>functus</w:t>
      </w:r>
      <w:proofErr w:type="spellEnd"/>
      <w:r w:rsidR="00E80C20" w:rsidRPr="0084507C">
        <w:rPr>
          <w:rFonts w:ascii="Times New Roman" w:hAnsi="Times New Roman" w:cs="Times New Roman"/>
          <w:i/>
          <w:sz w:val="24"/>
          <w:szCs w:val="24"/>
        </w:rPr>
        <w:t xml:space="preserve"> officio.</w:t>
      </w:r>
      <w:r w:rsidR="00E80C20" w:rsidRPr="0084507C">
        <w:rPr>
          <w:rFonts w:ascii="Times New Roman" w:hAnsi="Times New Roman" w:cs="Times New Roman"/>
          <w:sz w:val="24"/>
          <w:szCs w:val="24"/>
        </w:rPr>
        <w:t xml:space="preserve">  </w:t>
      </w:r>
    </w:p>
    <w:p w14:paraId="422230D5" w14:textId="77777777" w:rsidR="00E21216" w:rsidRPr="0084507C" w:rsidRDefault="00471D00"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lastRenderedPageBreak/>
        <w:t>The</w:t>
      </w:r>
      <w:r w:rsidR="00E21216" w:rsidRPr="0084507C">
        <w:rPr>
          <w:rFonts w:ascii="Times New Roman" w:hAnsi="Times New Roman" w:cs="Times New Roman"/>
          <w:sz w:val="24"/>
          <w:szCs w:val="24"/>
        </w:rPr>
        <w:t xml:space="preserve"> High Court cannot review its own decisions or make declaratory pronouncements effectively overturning its earlier final orders. In that case, the court declined to issue a declaratory order which would, in substance, have reversed a previous decision of the same court. The rationale is clear: allowing the court to re-open matters it has already conclusively decided would undermine the finality of judicial proceedings and legal certainty.</w:t>
      </w:r>
    </w:p>
    <w:p w14:paraId="34B82602" w14:textId="7409363E" w:rsidR="00A90E6F" w:rsidRPr="0084507C" w:rsidRDefault="00E21216"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 xml:space="preserve">The Supreme Court reinforced this position in </w:t>
      </w:r>
      <w:proofErr w:type="spellStart"/>
      <w:r w:rsidRPr="0084507C">
        <w:rPr>
          <w:rFonts w:ascii="Times New Roman" w:hAnsi="Times New Roman" w:cs="Times New Roman"/>
          <w:i/>
          <w:iCs/>
          <w:sz w:val="24"/>
          <w:szCs w:val="24"/>
        </w:rPr>
        <w:t>Matanhire</w:t>
      </w:r>
      <w:proofErr w:type="spellEnd"/>
      <w:r w:rsidRPr="0084507C">
        <w:rPr>
          <w:rFonts w:ascii="Times New Roman" w:hAnsi="Times New Roman" w:cs="Times New Roman"/>
          <w:i/>
          <w:iCs/>
          <w:sz w:val="24"/>
          <w:szCs w:val="24"/>
        </w:rPr>
        <w:t xml:space="preserve"> v BP Shell Marketing Services (</w:t>
      </w:r>
      <w:proofErr w:type="spellStart"/>
      <w:r w:rsidRPr="0084507C">
        <w:rPr>
          <w:rFonts w:ascii="Times New Roman" w:hAnsi="Times New Roman" w:cs="Times New Roman"/>
          <w:i/>
          <w:iCs/>
          <w:sz w:val="24"/>
          <w:szCs w:val="24"/>
        </w:rPr>
        <w:t>Pvt</w:t>
      </w:r>
      <w:proofErr w:type="spellEnd"/>
      <w:r w:rsidRPr="0084507C">
        <w:rPr>
          <w:rFonts w:ascii="Times New Roman" w:hAnsi="Times New Roman" w:cs="Times New Roman"/>
          <w:i/>
          <w:iCs/>
          <w:sz w:val="24"/>
          <w:szCs w:val="24"/>
        </w:rPr>
        <w:t>) Ltd</w:t>
      </w:r>
      <w:r w:rsidRPr="0084507C">
        <w:rPr>
          <w:rFonts w:ascii="Times New Roman" w:hAnsi="Times New Roman" w:cs="Times New Roman"/>
          <w:sz w:val="24"/>
          <w:szCs w:val="24"/>
        </w:rPr>
        <w:t xml:space="preserve"> 2005 (1) ZLR 140 (S) at 146C-F, where it held that once a matter</w:t>
      </w:r>
      <w:r w:rsidR="00001630">
        <w:rPr>
          <w:rFonts w:ascii="Times New Roman" w:hAnsi="Times New Roman" w:cs="Times New Roman"/>
          <w:sz w:val="24"/>
          <w:szCs w:val="24"/>
        </w:rPr>
        <w:t xml:space="preserve"> has been determined by a court </w:t>
      </w:r>
      <w:r w:rsidR="00A90E6F" w:rsidRPr="0084507C">
        <w:rPr>
          <w:rFonts w:ascii="Times New Roman" w:hAnsi="Times New Roman" w:cs="Times New Roman"/>
          <w:sz w:val="24"/>
          <w:szCs w:val="24"/>
        </w:rPr>
        <w:t xml:space="preserve">the court </w:t>
      </w:r>
      <w:r w:rsidR="000B27C9">
        <w:rPr>
          <w:rFonts w:ascii="Times New Roman" w:hAnsi="Times New Roman" w:cs="Times New Roman"/>
          <w:sz w:val="24"/>
          <w:szCs w:val="24"/>
        </w:rPr>
        <w:t>becomes</w:t>
      </w:r>
      <w:r w:rsidRPr="0084507C">
        <w:rPr>
          <w:rFonts w:ascii="Times New Roman" w:hAnsi="Times New Roman" w:cs="Times New Roman"/>
          <w:sz w:val="24"/>
          <w:szCs w:val="24"/>
        </w:rPr>
        <w:t xml:space="preserve"> </w:t>
      </w:r>
      <w:proofErr w:type="spellStart"/>
      <w:r w:rsidR="00A90E6F" w:rsidRPr="0084507C">
        <w:rPr>
          <w:rFonts w:ascii="Times New Roman" w:hAnsi="Times New Roman" w:cs="Times New Roman"/>
          <w:i/>
          <w:iCs/>
          <w:sz w:val="24"/>
          <w:szCs w:val="24"/>
        </w:rPr>
        <w:t>functus</w:t>
      </w:r>
      <w:proofErr w:type="spellEnd"/>
      <w:r w:rsidR="00A90E6F" w:rsidRPr="0084507C">
        <w:rPr>
          <w:rFonts w:ascii="Times New Roman" w:hAnsi="Times New Roman" w:cs="Times New Roman"/>
          <w:i/>
          <w:iCs/>
          <w:sz w:val="24"/>
          <w:szCs w:val="24"/>
        </w:rPr>
        <w:t xml:space="preserve"> officio</w:t>
      </w:r>
      <w:r w:rsidR="000B27C9">
        <w:rPr>
          <w:rFonts w:ascii="Times New Roman" w:hAnsi="Times New Roman" w:cs="Times New Roman"/>
          <w:i/>
          <w:iCs/>
          <w:sz w:val="24"/>
          <w:szCs w:val="24"/>
        </w:rPr>
        <w:t>.</w:t>
      </w:r>
    </w:p>
    <w:p w14:paraId="1796F146" w14:textId="77777777" w:rsidR="00A90E6F" w:rsidRPr="0084507C" w:rsidRDefault="00A90E6F" w:rsidP="002F3B4E">
      <w:pPr>
        <w:spacing w:line="360" w:lineRule="auto"/>
        <w:ind w:left="720" w:right="1440"/>
        <w:jc w:val="both"/>
        <w:rPr>
          <w:rFonts w:ascii="Times New Roman" w:hAnsi="Times New Roman" w:cs="Times New Roman"/>
          <w:sz w:val="24"/>
          <w:szCs w:val="24"/>
        </w:rPr>
      </w:pPr>
      <w:r w:rsidRPr="0084507C">
        <w:rPr>
          <w:rFonts w:ascii="Times New Roman" w:hAnsi="Times New Roman" w:cs="Times New Roman"/>
          <w:sz w:val="24"/>
          <w:szCs w:val="24"/>
        </w:rPr>
        <w:t xml:space="preserve">“The law on this point is very clear in that once a matter has been </w:t>
      </w:r>
      <w:proofErr w:type="spellStart"/>
      <w:r w:rsidRPr="0084507C">
        <w:rPr>
          <w:rFonts w:ascii="Times New Roman" w:hAnsi="Times New Roman" w:cs="Times New Roman"/>
          <w:sz w:val="24"/>
          <w:szCs w:val="24"/>
        </w:rPr>
        <w:t>finalised</w:t>
      </w:r>
      <w:proofErr w:type="spellEnd"/>
      <w:r w:rsidRPr="0084507C">
        <w:rPr>
          <w:rFonts w:ascii="Times New Roman" w:hAnsi="Times New Roman" w:cs="Times New Roman"/>
          <w:sz w:val="24"/>
          <w:szCs w:val="24"/>
        </w:rPr>
        <w:t xml:space="preserve"> by</w:t>
      </w:r>
      <w:r w:rsidR="00E21216" w:rsidRPr="0084507C">
        <w:rPr>
          <w:rFonts w:ascii="Times New Roman" w:hAnsi="Times New Roman" w:cs="Times New Roman"/>
          <w:sz w:val="24"/>
          <w:szCs w:val="24"/>
        </w:rPr>
        <w:t xml:space="preserve"> </w:t>
      </w:r>
      <w:r w:rsidRPr="0084507C">
        <w:rPr>
          <w:rFonts w:ascii="Times New Roman" w:hAnsi="Times New Roman" w:cs="Times New Roman"/>
          <w:sz w:val="24"/>
          <w:szCs w:val="24"/>
        </w:rPr>
        <w:t xml:space="preserve">a court that court becomes </w:t>
      </w:r>
      <w:proofErr w:type="spellStart"/>
      <w:r w:rsidRPr="0084507C">
        <w:rPr>
          <w:rFonts w:ascii="Times New Roman" w:hAnsi="Times New Roman" w:cs="Times New Roman"/>
          <w:i/>
          <w:iCs/>
          <w:sz w:val="24"/>
          <w:szCs w:val="24"/>
        </w:rPr>
        <w:t>functus</w:t>
      </w:r>
      <w:proofErr w:type="spellEnd"/>
      <w:r w:rsidRPr="0084507C">
        <w:rPr>
          <w:rFonts w:ascii="Times New Roman" w:hAnsi="Times New Roman" w:cs="Times New Roman"/>
          <w:i/>
          <w:iCs/>
          <w:sz w:val="24"/>
          <w:szCs w:val="24"/>
        </w:rPr>
        <w:t xml:space="preserve"> officio</w:t>
      </w:r>
      <w:r w:rsidRPr="0084507C">
        <w:rPr>
          <w:rFonts w:ascii="Times New Roman" w:hAnsi="Times New Roman" w:cs="Times New Roman"/>
          <w:sz w:val="24"/>
          <w:szCs w:val="24"/>
        </w:rPr>
        <w:t xml:space="preserve">. It has no authority to adjudicate </w:t>
      </w:r>
      <w:proofErr w:type="spellStart"/>
      <w:r w:rsidRPr="0084507C">
        <w:rPr>
          <w:rFonts w:ascii="Times New Roman" w:hAnsi="Times New Roman" w:cs="Times New Roman"/>
          <w:sz w:val="24"/>
          <w:szCs w:val="24"/>
        </w:rPr>
        <w:t>onthe</w:t>
      </w:r>
      <w:proofErr w:type="spellEnd"/>
      <w:r w:rsidRPr="0084507C">
        <w:rPr>
          <w:rFonts w:ascii="Times New Roman" w:hAnsi="Times New Roman" w:cs="Times New Roman"/>
          <w:sz w:val="24"/>
          <w:szCs w:val="24"/>
        </w:rPr>
        <w:t xml:space="preserve"> matter again. The only jurisdiction that a court has is to make incidental</w:t>
      </w:r>
      <w:r w:rsidR="00E21216" w:rsidRPr="0084507C">
        <w:rPr>
          <w:rFonts w:ascii="Times New Roman" w:hAnsi="Times New Roman" w:cs="Times New Roman"/>
          <w:sz w:val="24"/>
          <w:szCs w:val="24"/>
        </w:rPr>
        <w:t xml:space="preserve"> </w:t>
      </w:r>
      <w:r w:rsidRPr="0084507C">
        <w:rPr>
          <w:rFonts w:ascii="Times New Roman" w:hAnsi="Times New Roman" w:cs="Times New Roman"/>
          <w:sz w:val="24"/>
          <w:szCs w:val="24"/>
        </w:rPr>
        <w:t xml:space="preserve">or consequential corrections. </w:t>
      </w:r>
    </w:p>
    <w:p w14:paraId="09968184" w14:textId="0DD7B1C7" w:rsidR="00A90E6F" w:rsidRPr="0084507C" w:rsidRDefault="00E21216" w:rsidP="00FD0109">
      <w:pPr>
        <w:spacing w:line="360" w:lineRule="auto"/>
        <w:ind w:right="1440"/>
        <w:jc w:val="both"/>
        <w:rPr>
          <w:rFonts w:ascii="Times New Roman" w:hAnsi="Times New Roman" w:cs="Times New Roman"/>
          <w:sz w:val="24"/>
          <w:szCs w:val="24"/>
        </w:rPr>
      </w:pPr>
      <w:r w:rsidRPr="0084507C">
        <w:rPr>
          <w:rFonts w:ascii="Times New Roman" w:hAnsi="Times New Roman" w:cs="Times New Roman"/>
          <w:sz w:val="24"/>
          <w:szCs w:val="24"/>
        </w:rPr>
        <w:t>The court retains only limited jurisdiction to make incidental or clerical corrections, but not to revisit the merits or legality of its earlier decision.</w:t>
      </w:r>
      <w:r w:rsidR="00AC4B8F">
        <w:rPr>
          <w:rFonts w:ascii="Times New Roman" w:hAnsi="Times New Roman" w:cs="Times New Roman"/>
          <w:sz w:val="24"/>
          <w:szCs w:val="24"/>
        </w:rPr>
        <w:t xml:space="preserve"> </w:t>
      </w:r>
      <w:r w:rsidRPr="0084507C">
        <w:rPr>
          <w:rFonts w:ascii="Times New Roman" w:hAnsi="Times New Roman" w:cs="Times New Roman"/>
          <w:sz w:val="24"/>
          <w:szCs w:val="24"/>
        </w:rPr>
        <w:t xml:space="preserve">Similarly, in </w:t>
      </w:r>
      <w:r w:rsidRPr="0084507C">
        <w:rPr>
          <w:rFonts w:ascii="Times New Roman" w:hAnsi="Times New Roman" w:cs="Times New Roman"/>
          <w:i/>
          <w:iCs/>
          <w:sz w:val="24"/>
          <w:szCs w:val="24"/>
        </w:rPr>
        <w:t xml:space="preserve">Rodgers v </w:t>
      </w:r>
      <w:proofErr w:type="spellStart"/>
      <w:r w:rsidRPr="0084507C">
        <w:rPr>
          <w:rFonts w:ascii="Times New Roman" w:hAnsi="Times New Roman" w:cs="Times New Roman"/>
          <w:i/>
          <w:iCs/>
          <w:sz w:val="24"/>
          <w:szCs w:val="24"/>
        </w:rPr>
        <w:t>Chiutsi</w:t>
      </w:r>
      <w:proofErr w:type="spellEnd"/>
      <w:r w:rsidRPr="0084507C">
        <w:rPr>
          <w:rFonts w:ascii="Times New Roman" w:hAnsi="Times New Roman" w:cs="Times New Roman"/>
          <w:sz w:val="24"/>
          <w:szCs w:val="24"/>
        </w:rPr>
        <w:t xml:space="preserve"> SC 25/22, the Supreme Court held that once a final order is given, it is dispositive of the issues in dispute and has no return date. The issuing court cannot revisit the same issues at a later stage. The finality of an order, even if arguably based on a procedural misstep, binds the parties unless it is formally set aside on review or appeal.</w:t>
      </w:r>
      <w:r w:rsidR="00A90E6F" w:rsidRPr="0084507C">
        <w:rPr>
          <w:rFonts w:ascii="Times New Roman" w:hAnsi="Times New Roman" w:cs="Times New Roman"/>
          <w:sz w:val="24"/>
          <w:szCs w:val="24"/>
        </w:rPr>
        <w:t>it was held on p 9 as</w:t>
      </w:r>
      <w:r w:rsidRPr="0084507C">
        <w:rPr>
          <w:rFonts w:ascii="Times New Roman" w:hAnsi="Times New Roman" w:cs="Times New Roman"/>
          <w:sz w:val="24"/>
          <w:szCs w:val="24"/>
        </w:rPr>
        <w:t xml:space="preserve"> </w:t>
      </w:r>
      <w:r w:rsidR="00A90E6F" w:rsidRPr="0084507C">
        <w:rPr>
          <w:rFonts w:ascii="Times New Roman" w:hAnsi="Times New Roman" w:cs="Times New Roman"/>
          <w:sz w:val="24"/>
          <w:szCs w:val="24"/>
        </w:rPr>
        <w:t>follows:</w:t>
      </w:r>
    </w:p>
    <w:p w14:paraId="6DF34BD7" w14:textId="77777777" w:rsidR="00A90E6F" w:rsidRPr="0084507C" w:rsidRDefault="00A90E6F" w:rsidP="00001630">
      <w:pPr>
        <w:spacing w:line="360" w:lineRule="auto"/>
        <w:ind w:left="720" w:right="1440"/>
        <w:jc w:val="both"/>
        <w:rPr>
          <w:rFonts w:ascii="Times New Roman" w:hAnsi="Times New Roman" w:cs="Times New Roman"/>
          <w:sz w:val="24"/>
          <w:szCs w:val="24"/>
        </w:rPr>
      </w:pPr>
      <w:r w:rsidRPr="0084507C">
        <w:rPr>
          <w:rFonts w:ascii="Times New Roman" w:hAnsi="Times New Roman" w:cs="Times New Roman"/>
          <w:sz w:val="24"/>
          <w:szCs w:val="24"/>
        </w:rPr>
        <w:t>“Thus, unlike a provisional order, a final order is conclusive and dispositive of</w:t>
      </w:r>
      <w:r w:rsidR="00E21216" w:rsidRPr="0084507C">
        <w:rPr>
          <w:rFonts w:ascii="Times New Roman" w:hAnsi="Times New Roman" w:cs="Times New Roman"/>
          <w:sz w:val="24"/>
          <w:szCs w:val="24"/>
        </w:rPr>
        <w:t xml:space="preserve"> </w:t>
      </w:r>
      <w:r w:rsidRPr="0084507C">
        <w:rPr>
          <w:rFonts w:ascii="Times New Roman" w:hAnsi="Times New Roman" w:cs="Times New Roman"/>
          <w:sz w:val="24"/>
          <w:szCs w:val="24"/>
        </w:rPr>
        <w:t>the dispute. It finally settles the issues in dispute and has no return date. Once</w:t>
      </w:r>
      <w:r w:rsidR="00E21216" w:rsidRPr="0084507C">
        <w:rPr>
          <w:rFonts w:ascii="Times New Roman" w:hAnsi="Times New Roman" w:cs="Times New Roman"/>
          <w:sz w:val="24"/>
          <w:szCs w:val="24"/>
        </w:rPr>
        <w:t xml:space="preserve"> </w:t>
      </w:r>
      <w:r w:rsidRPr="0084507C">
        <w:rPr>
          <w:rFonts w:ascii="Times New Roman" w:hAnsi="Times New Roman" w:cs="Times New Roman"/>
          <w:sz w:val="24"/>
          <w:szCs w:val="24"/>
        </w:rPr>
        <w:t xml:space="preserve">a final order is given the court issuing the order becomes </w:t>
      </w:r>
      <w:proofErr w:type="spellStart"/>
      <w:r w:rsidRPr="0084507C">
        <w:rPr>
          <w:rFonts w:ascii="Times New Roman" w:hAnsi="Times New Roman" w:cs="Times New Roman"/>
          <w:i/>
          <w:iCs/>
          <w:sz w:val="24"/>
          <w:szCs w:val="24"/>
        </w:rPr>
        <w:t>functus</w:t>
      </w:r>
      <w:proofErr w:type="spellEnd"/>
      <w:r w:rsidRPr="0084507C">
        <w:rPr>
          <w:rFonts w:ascii="Times New Roman" w:hAnsi="Times New Roman" w:cs="Times New Roman"/>
          <w:i/>
          <w:iCs/>
          <w:sz w:val="24"/>
          <w:szCs w:val="24"/>
        </w:rPr>
        <w:t xml:space="preserve"> officio </w:t>
      </w:r>
      <w:r w:rsidRPr="0084507C">
        <w:rPr>
          <w:rFonts w:ascii="Times New Roman" w:hAnsi="Times New Roman" w:cs="Times New Roman"/>
          <w:sz w:val="24"/>
          <w:szCs w:val="24"/>
        </w:rPr>
        <w:t>and</w:t>
      </w:r>
      <w:r w:rsidR="00E21216" w:rsidRPr="0084507C">
        <w:rPr>
          <w:rFonts w:ascii="Times New Roman" w:hAnsi="Times New Roman" w:cs="Times New Roman"/>
          <w:sz w:val="24"/>
          <w:szCs w:val="24"/>
        </w:rPr>
        <w:t xml:space="preserve"> </w:t>
      </w:r>
      <w:r w:rsidRPr="0084507C">
        <w:rPr>
          <w:rFonts w:ascii="Times New Roman" w:hAnsi="Times New Roman" w:cs="Times New Roman"/>
          <w:sz w:val="24"/>
          <w:szCs w:val="24"/>
        </w:rPr>
        <w:t>cannot revisit the same issues at a later date.”</w:t>
      </w:r>
    </w:p>
    <w:p w14:paraId="29B15B5C" w14:textId="7051F591" w:rsidR="00E21216" w:rsidRPr="0084507C" w:rsidRDefault="00E21216"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Applied to the present matter, it is not the role of</w:t>
      </w:r>
      <w:r w:rsidR="00A66B12" w:rsidRPr="0084507C">
        <w:rPr>
          <w:rFonts w:ascii="Times New Roman" w:hAnsi="Times New Roman" w:cs="Times New Roman"/>
          <w:sz w:val="24"/>
          <w:szCs w:val="24"/>
        </w:rPr>
        <w:t xml:space="preserve"> this court to question whether </w:t>
      </w:r>
      <w:r w:rsidR="000B27C9">
        <w:rPr>
          <w:rFonts w:ascii="Times New Roman" w:hAnsi="Times New Roman" w:cs="Times New Roman"/>
          <w:sz w:val="24"/>
          <w:szCs w:val="24"/>
        </w:rPr>
        <w:t>the</w:t>
      </w:r>
      <w:r w:rsidR="000B27C9" w:rsidRPr="0084507C">
        <w:rPr>
          <w:rFonts w:ascii="Times New Roman" w:hAnsi="Times New Roman" w:cs="Times New Roman"/>
          <w:sz w:val="24"/>
          <w:szCs w:val="24"/>
        </w:rPr>
        <w:t xml:space="preserve"> </w:t>
      </w:r>
      <w:r w:rsidRPr="0084507C">
        <w:rPr>
          <w:rFonts w:ascii="Times New Roman" w:hAnsi="Times New Roman" w:cs="Times New Roman"/>
          <w:sz w:val="24"/>
          <w:szCs w:val="24"/>
        </w:rPr>
        <w:t>Rule 39(4)</w:t>
      </w:r>
      <w:r w:rsidR="00A66B12" w:rsidRPr="0084507C">
        <w:rPr>
          <w:rFonts w:ascii="Times New Roman" w:hAnsi="Times New Roman" w:cs="Times New Roman"/>
          <w:sz w:val="24"/>
          <w:szCs w:val="24"/>
        </w:rPr>
        <w:t xml:space="preserve"> was applied correctly</w:t>
      </w:r>
      <w:r w:rsidRPr="0084507C">
        <w:rPr>
          <w:rFonts w:ascii="Times New Roman" w:hAnsi="Times New Roman" w:cs="Times New Roman"/>
          <w:sz w:val="24"/>
          <w:szCs w:val="24"/>
        </w:rPr>
        <w:t xml:space="preserve">. The order granted in </w:t>
      </w:r>
      <w:r w:rsidRPr="0084507C">
        <w:rPr>
          <w:rFonts w:ascii="Times New Roman" w:hAnsi="Times New Roman" w:cs="Times New Roman"/>
          <w:b/>
          <w:sz w:val="24"/>
          <w:szCs w:val="24"/>
        </w:rPr>
        <w:t>HC 1039/24</w:t>
      </w:r>
      <w:r w:rsidRPr="0084507C">
        <w:rPr>
          <w:rFonts w:ascii="Times New Roman" w:hAnsi="Times New Roman" w:cs="Times New Roman"/>
          <w:sz w:val="24"/>
          <w:szCs w:val="24"/>
        </w:rPr>
        <w:t xml:space="preserve"> stands as a final judicial act and, therefore, must be given full effect. The applicant’s contention that the wrong rule was used does not afford this court the authority to disregard the order or to proceed as if it were a nullity. The appropriate cou</w:t>
      </w:r>
      <w:r w:rsidR="00A66B12" w:rsidRPr="0084507C">
        <w:rPr>
          <w:rFonts w:ascii="Times New Roman" w:hAnsi="Times New Roman" w:cs="Times New Roman"/>
          <w:sz w:val="24"/>
          <w:szCs w:val="24"/>
        </w:rPr>
        <w:t xml:space="preserve">rse for the applicant </w:t>
      </w:r>
      <w:r w:rsidRPr="0084507C">
        <w:rPr>
          <w:rFonts w:ascii="Times New Roman" w:hAnsi="Times New Roman" w:cs="Times New Roman"/>
          <w:sz w:val="24"/>
          <w:szCs w:val="24"/>
        </w:rPr>
        <w:t>had she wished to c</w:t>
      </w:r>
      <w:r w:rsidR="00A66B12" w:rsidRPr="0084507C">
        <w:rPr>
          <w:rFonts w:ascii="Times New Roman" w:hAnsi="Times New Roman" w:cs="Times New Roman"/>
          <w:sz w:val="24"/>
          <w:szCs w:val="24"/>
        </w:rPr>
        <w:t xml:space="preserve">hallenge that condonation order </w:t>
      </w:r>
      <w:r w:rsidRPr="0084507C">
        <w:rPr>
          <w:rFonts w:ascii="Times New Roman" w:hAnsi="Times New Roman" w:cs="Times New Roman"/>
          <w:sz w:val="24"/>
          <w:szCs w:val="24"/>
        </w:rPr>
        <w:t xml:space="preserve">would have been to </w:t>
      </w:r>
      <w:r w:rsidRPr="0084507C">
        <w:rPr>
          <w:rFonts w:ascii="Times New Roman" w:hAnsi="Times New Roman" w:cs="Times New Roman"/>
          <w:sz w:val="24"/>
          <w:szCs w:val="24"/>
        </w:rPr>
        <w:lastRenderedPageBreak/>
        <w:t>seek a</w:t>
      </w:r>
      <w:r w:rsidR="00D939D0">
        <w:rPr>
          <w:rFonts w:ascii="Times New Roman" w:hAnsi="Times New Roman" w:cs="Times New Roman"/>
          <w:sz w:val="24"/>
          <w:szCs w:val="24"/>
        </w:rPr>
        <w:t>n</w:t>
      </w:r>
      <w:r w:rsidR="00500067">
        <w:rPr>
          <w:rFonts w:ascii="Times New Roman" w:hAnsi="Times New Roman" w:cs="Times New Roman"/>
          <w:sz w:val="24"/>
          <w:szCs w:val="24"/>
        </w:rPr>
        <w:t xml:space="preserve"> </w:t>
      </w:r>
      <w:r w:rsidRPr="0084507C">
        <w:rPr>
          <w:rFonts w:ascii="Times New Roman" w:hAnsi="Times New Roman" w:cs="Times New Roman"/>
          <w:sz w:val="24"/>
          <w:szCs w:val="24"/>
        </w:rPr>
        <w:t>appeal in terms of the rules governing judicial oversight, rather than seeking to indirectly invalidate it within these proceedings.</w:t>
      </w:r>
    </w:p>
    <w:p w14:paraId="140AB3C3" w14:textId="147237C5" w:rsidR="00E21216" w:rsidRPr="0084507C" w:rsidRDefault="00E21216"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 xml:space="preserve">As a result, and consistent with the </w:t>
      </w:r>
      <w:proofErr w:type="spellStart"/>
      <w:r w:rsidRPr="002F3B4E">
        <w:rPr>
          <w:rFonts w:ascii="Times New Roman" w:hAnsi="Times New Roman" w:cs="Times New Roman"/>
          <w:i/>
          <w:sz w:val="24"/>
          <w:szCs w:val="24"/>
        </w:rPr>
        <w:t>functus</w:t>
      </w:r>
      <w:proofErr w:type="spellEnd"/>
      <w:r w:rsidRPr="002F3B4E">
        <w:rPr>
          <w:rFonts w:ascii="Times New Roman" w:hAnsi="Times New Roman" w:cs="Times New Roman"/>
          <w:i/>
          <w:sz w:val="24"/>
          <w:szCs w:val="24"/>
        </w:rPr>
        <w:t xml:space="preserve"> officio</w:t>
      </w:r>
      <w:r w:rsidRPr="0084507C">
        <w:rPr>
          <w:rFonts w:ascii="Times New Roman" w:hAnsi="Times New Roman" w:cs="Times New Roman"/>
          <w:sz w:val="24"/>
          <w:szCs w:val="24"/>
        </w:rPr>
        <w:t xml:space="preserve"> principle articulated in the aforementioned cases, this court cannot revisit or undermine the final condonation order granted by a judge o</w:t>
      </w:r>
      <w:r w:rsidR="00500067">
        <w:rPr>
          <w:rFonts w:ascii="Times New Roman" w:hAnsi="Times New Roman" w:cs="Times New Roman"/>
          <w:sz w:val="24"/>
          <w:szCs w:val="24"/>
        </w:rPr>
        <w:t>f concurrent jurisdiction. The first</w:t>
      </w:r>
      <w:r w:rsidRPr="0084507C">
        <w:rPr>
          <w:rFonts w:ascii="Times New Roman" w:hAnsi="Times New Roman" w:cs="Times New Roman"/>
          <w:sz w:val="24"/>
          <w:szCs w:val="24"/>
        </w:rPr>
        <w:t xml:space="preserve"> respondent, having been granted </w:t>
      </w:r>
      <w:r w:rsidR="00500067" w:rsidRPr="0084507C">
        <w:rPr>
          <w:rFonts w:ascii="Times New Roman" w:hAnsi="Times New Roman" w:cs="Times New Roman"/>
          <w:sz w:val="24"/>
          <w:szCs w:val="24"/>
        </w:rPr>
        <w:t>condonation is</w:t>
      </w:r>
      <w:r w:rsidRPr="0084507C">
        <w:rPr>
          <w:rFonts w:ascii="Times New Roman" w:hAnsi="Times New Roman" w:cs="Times New Roman"/>
          <w:sz w:val="24"/>
          <w:szCs w:val="24"/>
        </w:rPr>
        <w:t xml:space="preserve"> properly before this court.</w:t>
      </w:r>
    </w:p>
    <w:p w14:paraId="799F036C" w14:textId="40D3571E" w:rsidR="00B04DEA" w:rsidRPr="0084507C" w:rsidRDefault="00B04DEA" w:rsidP="00FD0109">
      <w:pPr>
        <w:spacing w:line="360" w:lineRule="auto"/>
        <w:jc w:val="both"/>
        <w:rPr>
          <w:rFonts w:ascii="Times New Roman" w:hAnsi="Times New Roman" w:cs="Times New Roman"/>
          <w:b/>
          <w:sz w:val="24"/>
          <w:szCs w:val="24"/>
        </w:rPr>
      </w:pPr>
      <w:r w:rsidRPr="0084507C">
        <w:rPr>
          <w:rFonts w:ascii="Times New Roman" w:hAnsi="Times New Roman" w:cs="Times New Roman"/>
          <w:b/>
          <w:sz w:val="24"/>
          <w:szCs w:val="24"/>
        </w:rPr>
        <w:t>Whether the application is deemed to have been abandoned due to</w:t>
      </w:r>
      <w:r w:rsidR="00B37761" w:rsidRPr="0084507C">
        <w:rPr>
          <w:rFonts w:ascii="Times New Roman" w:hAnsi="Times New Roman" w:cs="Times New Roman"/>
          <w:b/>
          <w:sz w:val="24"/>
          <w:szCs w:val="24"/>
        </w:rPr>
        <w:t xml:space="preserve"> failure to adhere </w:t>
      </w:r>
      <w:r w:rsidR="00D939D0">
        <w:rPr>
          <w:rFonts w:ascii="Times New Roman" w:hAnsi="Times New Roman" w:cs="Times New Roman"/>
          <w:b/>
          <w:sz w:val="24"/>
          <w:szCs w:val="24"/>
        </w:rPr>
        <w:t>to</w:t>
      </w:r>
      <w:r w:rsidR="00D939D0" w:rsidRPr="0084507C">
        <w:rPr>
          <w:rFonts w:ascii="Times New Roman" w:hAnsi="Times New Roman" w:cs="Times New Roman"/>
          <w:b/>
          <w:sz w:val="24"/>
          <w:szCs w:val="24"/>
        </w:rPr>
        <w:t xml:space="preserve"> </w:t>
      </w:r>
      <w:r w:rsidR="00B37761" w:rsidRPr="0084507C">
        <w:rPr>
          <w:rFonts w:ascii="Times New Roman" w:hAnsi="Times New Roman" w:cs="Times New Roman"/>
          <w:b/>
          <w:sz w:val="24"/>
          <w:szCs w:val="24"/>
        </w:rPr>
        <w:t>rule 15 (22</w:t>
      </w:r>
      <w:proofErr w:type="gramStart"/>
      <w:r w:rsidR="00B37761" w:rsidRPr="0084507C">
        <w:rPr>
          <w:rFonts w:ascii="Times New Roman" w:hAnsi="Times New Roman" w:cs="Times New Roman"/>
          <w:b/>
          <w:sz w:val="24"/>
          <w:szCs w:val="24"/>
        </w:rPr>
        <w:t>)(</w:t>
      </w:r>
      <w:proofErr w:type="gramEnd"/>
      <w:r w:rsidR="00B37761" w:rsidRPr="0084507C">
        <w:rPr>
          <w:rFonts w:ascii="Times New Roman" w:hAnsi="Times New Roman" w:cs="Times New Roman"/>
          <w:b/>
          <w:sz w:val="24"/>
          <w:szCs w:val="24"/>
        </w:rPr>
        <w:t xml:space="preserve">e) of The High Court Rules  </w:t>
      </w:r>
    </w:p>
    <w:p w14:paraId="6CB0201E" w14:textId="77777777" w:rsidR="00E75BFB" w:rsidRDefault="000E77D0" w:rsidP="000E77D0">
      <w:pPr>
        <w:spacing w:line="360" w:lineRule="auto"/>
        <w:jc w:val="both"/>
        <w:rPr>
          <w:rFonts w:ascii="Times New Roman" w:hAnsi="Times New Roman" w:cs="Times New Roman"/>
          <w:sz w:val="24"/>
          <w:szCs w:val="24"/>
        </w:rPr>
      </w:pPr>
      <w:r>
        <w:rPr>
          <w:rFonts w:ascii="Times New Roman" w:hAnsi="Times New Roman" w:cs="Times New Roman"/>
          <w:sz w:val="24"/>
          <w:szCs w:val="24"/>
        </w:rPr>
        <w:t>The first respondent submitted that the applicant is deemed to have abandoned application as she failed to adhere to rule 15(22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e) of the High Court rules which states</w:t>
      </w:r>
    </w:p>
    <w:p w14:paraId="4360DB55" w14:textId="05B7090E" w:rsidR="000E77D0" w:rsidRPr="00E75BFB" w:rsidRDefault="000E77D0" w:rsidP="00001630">
      <w:pPr>
        <w:spacing w:line="360" w:lineRule="auto"/>
        <w:ind w:firstLine="720"/>
        <w:jc w:val="both"/>
        <w:rPr>
          <w:rFonts w:ascii="Times New Roman" w:hAnsi="Times New Roman" w:cs="Times New Roman"/>
          <w:sz w:val="24"/>
          <w:szCs w:val="24"/>
        </w:rPr>
      </w:pPr>
      <w:r w:rsidRPr="000E77D0">
        <w:rPr>
          <w:rFonts w:ascii="Times New Roman" w:hAnsi="Times New Roman" w:cs="Times New Roman"/>
          <w:sz w:val="24"/>
          <w:szCs w:val="24"/>
        </w:rPr>
        <w:t xml:space="preserve">(22) </w:t>
      </w:r>
      <w:r w:rsidR="00E75BFB" w:rsidRPr="00E75BFB">
        <w:rPr>
          <w:rFonts w:ascii="Times New Roman" w:hAnsi="Times New Roman" w:cs="Times New Roman"/>
          <w:sz w:val="24"/>
          <w:szCs w:val="24"/>
        </w:rPr>
        <w:t>“</w:t>
      </w:r>
      <w:r w:rsidRPr="00E75BFB">
        <w:rPr>
          <w:rFonts w:ascii="Times New Roman" w:hAnsi="Times New Roman" w:cs="Times New Roman"/>
          <w:sz w:val="24"/>
          <w:szCs w:val="24"/>
        </w:rPr>
        <w:t xml:space="preserve">Where service of any process has been effected by— </w:t>
      </w:r>
    </w:p>
    <w:p w14:paraId="5FD8A935" w14:textId="71E42A13" w:rsidR="000E77D0" w:rsidRPr="00E75BFB" w:rsidRDefault="000E77D0" w:rsidP="00001630">
      <w:pPr>
        <w:spacing w:line="360" w:lineRule="auto"/>
        <w:ind w:left="2160" w:hanging="720"/>
        <w:jc w:val="both"/>
        <w:rPr>
          <w:rFonts w:ascii="Times New Roman" w:hAnsi="Times New Roman" w:cs="Times New Roman"/>
          <w:sz w:val="24"/>
          <w:szCs w:val="24"/>
        </w:rPr>
      </w:pPr>
      <w:r w:rsidRPr="00E75BFB">
        <w:rPr>
          <w:rFonts w:ascii="Times New Roman" w:hAnsi="Times New Roman" w:cs="Times New Roman"/>
          <w:sz w:val="24"/>
          <w:szCs w:val="24"/>
        </w:rPr>
        <w:t>(</w:t>
      </w:r>
      <w:r w:rsidRPr="00E75BFB">
        <w:rPr>
          <w:rFonts w:ascii="Times New Roman" w:hAnsi="Times New Roman" w:cs="Times New Roman"/>
          <w:iCs/>
          <w:sz w:val="24"/>
          <w:szCs w:val="24"/>
        </w:rPr>
        <w:t>e</w:t>
      </w:r>
      <w:r w:rsidRPr="00E75BFB">
        <w:rPr>
          <w:rFonts w:ascii="Times New Roman" w:hAnsi="Times New Roman" w:cs="Times New Roman"/>
          <w:sz w:val="24"/>
          <w:szCs w:val="24"/>
        </w:rPr>
        <w:t>)</w:t>
      </w:r>
      <w:r w:rsidR="00001630">
        <w:rPr>
          <w:rFonts w:ascii="Times New Roman" w:hAnsi="Times New Roman" w:cs="Times New Roman"/>
          <w:sz w:val="24"/>
          <w:szCs w:val="24"/>
        </w:rPr>
        <w:tab/>
      </w:r>
      <w:proofErr w:type="gramStart"/>
      <w:r w:rsidRPr="00E75BFB">
        <w:rPr>
          <w:rFonts w:ascii="Times New Roman" w:hAnsi="Times New Roman" w:cs="Times New Roman"/>
          <w:sz w:val="24"/>
          <w:szCs w:val="24"/>
        </w:rPr>
        <w:t>electronic</w:t>
      </w:r>
      <w:proofErr w:type="gramEnd"/>
      <w:r w:rsidRPr="00E75BFB">
        <w:rPr>
          <w:rFonts w:ascii="Times New Roman" w:hAnsi="Times New Roman" w:cs="Times New Roman"/>
          <w:sz w:val="24"/>
          <w:szCs w:val="24"/>
        </w:rPr>
        <w:t xml:space="preserve"> mail referred to in sub rule (20), proof of service shall be by copy of the mail in question showing date and time of delivery</w:t>
      </w:r>
      <w:r w:rsidR="00E75BFB" w:rsidRPr="00E75BFB">
        <w:rPr>
          <w:rFonts w:ascii="Times New Roman" w:hAnsi="Times New Roman" w:cs="Times New Roman"/>
          <w:sz w:val="24"/>
          <w:szCs w:val="24"/>
        </w:rPr>
        <w:t>”</w:t>
      </w:r>
      <w:r w:rsidRPr="00E75BFB">
        <w:rPr>
          <w:rFonts w:ascii="Times New Roman" w:hAnsi="Times New Roman" w:cs="Times New Roman"/>
          <w:sz w:val="24"/>
          <w:szCs w:val="24"/>
        </w:rPr>
        <w:t>.</w:t>
      </w:r>
    </w:p>
    <w:p w14:paraId="6453404A" w14:textId="7AA38101" w:rsidR="00A03C79" w:rsidRPr="0084507C" w:rsidRDefault="00A03C79" w:rsidP="00FD0109">
      <w:pPr>
        <w:spacing w:line="360" w:lineRule="auto"/>
        <w:jc w:val="both"/>
        <w:rPr>
          <w:rFonts w:ascii="Times New Roman" w:hAnsi="Times New Roman" w:cs="Times New Roman"/>
          <w:sz w:val="24"/>
          <w:szCs w:val="24"/>
          <w:lang w:val="en-ZW"/>
        </w:rPr>
      </w:pPr>
      <w:r w:rsidRPr="0084507C">
        <w:rPr>
          <w:rFonts w:ascii="Times New Roman" w:hAnsi="Times New Roman" w:cs="Times New Roman"/>
          <w:sz w:val="24"/>
          <w:szCs w:val="24"/>
        </w:rPr>
        <w:t xml:space="preserve">In </w:t>
      </w:r>
      <w:proofErr w:type="spellStart"/>
      <w:r w:rsidRPr="0084507C">
        <w:rPr>
          <w:rFonts w:ascii="Times New Roman" w:hAnsi="Times New Roman" w:cs="Times New Roman"/>
          <w:i/>
          <w:iCs/>
          <w:sz w:val="24"/>
          <w:szCs w:val="24"/>
        </w:rPr>
        <w:t>Pulserate</w:t>
      </w:r>
      <w:proofErr w:type="spellEnd"/>
      <w:r w:rsidRPr="0084507C">
        <w:rPr>
          <w:rFonts w:ascii="Times New Roman" w:hAnsi="Times New Roman" w:cs="Times New Roman"/>
          <w:i/>
          <w:iCs/>
          <w:sz w:val="24"/>
          <w:szCs w:val="24"/>
        </w:rPr>
        <w:t xml:space="preserve"> Investments (Private) Limited v </w:t>
      </w:r>
      <w:proofErr w:type="spellStart"/>
      <w:r w:rsidRPr="0084507C">
        <w:rPr>
          <w:rFonts w:ascii="Times New Roman" w:hAnsi="Times New Roman" w:cs="Times New Roman"/>
          <w:i/>
          <w:iCs/>
          <w:sz w:val="24"/>
          <w:szCs w:val="24"/>
        </w:rPr>
        <w:t>Zuze</w:t>
      </w:r>
      <w:proofErr w:type="spellEnd"/>
      <w:r w:rsidRPr="0084507C">
        <w:rPr>
          <w:rFonts w:ascii="Times New Roman" w:hAnsi="Times New Roman" w:cs="Times New Roman"/>
          <w:i/>
          <w:iCs/>
          <w:sz w:val="24"/>
          <w:szCs w:val="24"/>
        </w:rPr>
        <w:t xml:space="preserve"> and 5 Others</w:t>
      </w:r>
      <w:r w:rsidR="00A9747B" w:rsidRPr="0084507C">
        <w:rPr>
          <w:rFonts w:ascii="Times New Roman" w:hAnsi="Times New Roman" w:cs="Times New Roman"/>
          <w:sz w:val="24"/>
          <w:szCs w:val="24"/>
        </w:rPr>
        <w:t xml:space="preserve"> </w:t>
      </w:r>
      <w:r w:rsidR="00A9747B" w:rsidRPr="0084507C">
        <w:rPr>
          <w:rFonts w:ascii="Times New Roman" w:hAnsi="Times New Roman" w:cs="Times New Roman"/>
          <w:sz w:val="24"/>
          <w:szCs w:val="24"/>
          <w:lang w:val="en-ZW"/>
        </w:rPr>
        <w:t>HH 656-23</w:t>
      </w:r>
      <w:r w:rsidRPr="0084507C">
        <w:rPr>
          <w:rFonts w:ascii="Times New Roman" w:hAnsi="Times New Roman" w:cs="Times New Roman"/>
          <w:sz w:val="24"/>
          <w:szCs w:val="24"/>
        </w:rPr>
        <w:t xml:space="preserve"> the court dealt with the issue of using an incorrect form for initiating an application. The applicant used Form 25 instead of the prescribed Form 23. The court acknowledged the error but held that the application was not fatally defective, especially since the applicant admitted the mistake and there was no prejudice to the respondents. This case illustrates that not all procedural defects render an application invalid, particularly when there is substant</w:t>
      </w:r>
      <w:r w:rsidR="00A9747B" w:rsidRPr="0084507C">
        <w:rPr>
          <w:rFonts w:ascii="Times New Roman" w:hAnsi="Times New Roman" w:cs="Times New Roman"/>
          <w:sz w:val="24"/>
          <w:szCs w:val="24"/>
        </w:rPr>
        <w:t>ial compliance and no prejudice</w:t>
      </w:r>
      <w:r w:rsidR="00AB3356">
        <w:rPr>
          <w:rFonts w:ascii="Times New Roman" w:hAnsi="Times New Roman" w:cs="Times New Roman"/>
          <w:sz w:val="24"/>
          <w:szCs w:val="24"/>
          <w:lang w:val="en-ZW"/>
        </w:rPr>
        <w:t>. The court specifically</w:t>
      </w:r>
      <w:r w:rsidRPr="0084507C">
        <w:rPr>
          <w:rFonts w:ascii="Times New Roman" w:hAnsi="Times New Roman" w:cs="Times New Roman"/>
          <w:sz w:val="24"/>
          <w:szCs w:val="24"/>
        </w:rPr>
        <w:t xml:space="preserve"> held that</w:t>
      </w:r>
      <w:r w:rsidR="007B6929" w:rsidRPr="0084507C">
        <w:rPr>
          <w:rFonts w:ascii="Times New Roman" w:hAnsi="Times New Roman" w:cs="Times New Roman"/>
          <w:sz w:val="24"/>
          <w:szCs w:val="24"/>
        </w:rPr>
        <w:t xml:space="preserve"> on pp9</w:t>
      </w:r>
      <w:r w:rsidRPr="0084507C">
        <w:rPr>
          <w:rFonts w:ascii="Times New Roman" w:hAnsi="Times New Roman" w:cs="Times New Roman"/>
          <w:sz w:val="24"/>
          <w:szCs w:val="24"/>
        </w:rPr>
        <w:t>:</w:t>
      </w:r>
    </w:p>
    <w:p w14:paraId="68D65309" w14:textId="77777777" w:rsidR="00A03C79" w:rsidRPr="0084507C" w:rsidRDefault="00A03C79" w:rsidP="002F3B4E">
      <w:pPr>
        <w:spacing w:line="360" w:lineRule="auto"/>
        <w:ind w:left="720"/>
        <w:jc w:val="both"/>
        <w:rPr>
          <w:rFonts w:ascii="Times New Roman" w:hAnsi="Times New Roman" w:cs="Times New Roman"/>
          <w:sz w:val="24"/>
          <w:szCs w:val="24"/>
        </w:rPr>
      </w:pPr>
      <w:r w:rsidRPr="0084507C">
        <w:rPr>
          <w:rFonts w:ascii="Times New Roman" w:hAnsi="Times New Roman" w:cs="Times New Roman"/>
          <w:sz w:val="24"/>
          <w:szCs w:val="24"/>
        </w:rPr>
        <w:t>“The above </w:t>
      </w:r>
      <w:r w:rsidRPr="0084507C">
        <w:rPr>
          <w:rFonts w:ascii="Times New Roman" w:hAnsi="Times New Roman" w:cs="Times New Roman"/>
          <w:i/>
          <w:iCs/>
          <w:sz w:val="24"/>
          <w:szCs w:val="24"/>
        </w:rPr>
        <w:t xml:space="preserve">ratio </w:t>
      </w:r>
      <w:proofErr w:type="spellStart"/>
      <w:r w:rsidRPr="0084507C">
        <w:rPr>
          <w:rFonts w:ascii="Times New Roman" w:hAnsi="Times New Roman" w:cs="Times New Roman"/>
          <w:i/>
          <w:iCs/>
          <w:sz w:val="24"/>
          <w:szCs w:val="24"/>
        </w:rPr>
        <w:t>dicidendi</w:t>
      </w:r>
      <w:proofErr w:type="spellEnd"/>
      <w:r w:rsidRPr="0084507C">
        <w:rPr>
          <w:rFonts w:ascii="Times New Roman" w:hAnsi="Times New Roman" w:cs="Times New Roman"/>
          <w:i/>
          <w:iCs/>
          <w:sz w:val="24"/>
          <w:szCs w:val="24"/>
        </w:rPr>
        <w:t> </w:t>
      </w:r>
      <w:r w:rsidRPr="0084507C">
        <w:rPr>
          <w:rFonts w:ascii="Times New Roman" w:hAnsi="Times New Roman" w:cs="Times New Roman"/>
          <w:sz w:val="24"/>
          <w:szCs w:val="24"/>
        </w:rPr>
        <w:t xml:space="preserve">puts to rest the complaint by the appellant about the use of the wrong procedure. From the above it is apparent that the rule was designed to ensure that justice delivery prevails. It also has the added advantage of curbing the associated problem of dismissing or striking off matters which may have merit solely on the basis of procedural mishaps. The rule gives the court discretion to allow access to a party who has not approached the court in the proper form provided there is no prejudice to an interested party. In exercising its discretion the court must have regard to the exceptions set out under r 58 (13) (c) and (d). It follows that the bringing of an application either as a chamber </w:t>
      </w:r>
      <w:r w:rsidRPr="0084507C">
        <w:rPr>
          <w:rFonts w:ascii="Times New Roman" w:hAnsi="Times New Roman" w:cs="Times New Roman"/>
          <w:sz w:val="24"/>
          <w:szCs w:val="24"/>
        </w:rPr>
        <w:lastRenderedPageBreak/>
        <w:t>application or a court application does not automatically in itself amount to a basis for the dismissal of the application unless there is prejudice. The court must consider whether the wrong procedure will prejudice an interested party and if such prejudice cannot be cured by giving directions for the service of the application on that party with or without an appropriate order of costs.”</w:t>
      </w:r>
    </w:p>
    <w:p w14:paraId="013C7FA7" w14:textId="77777777" w:rsidR="00B04DEA" w:rsidRPr="0084507C" w:rsidRDefault="00B04DEA"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 xml:space="preserve">The logic in </w:t>
      </w:r>
      <w:proofErr w:type="spellStart"/>
      <w:r w:rsidRPr="0084507C">
        <w:rPr>
          <w:rFonts w:ascii="Times New Roman" w:hAnsi="Times New Roman" w:cs="Times New Roman"/>
          <w:i/>
          <w:iCs/>
          <w:sz w:val="24"/>
          <w:szCs w:val="24"/>
        </w:rPr>
        <w:t>Pulserate</w:t>
      </w:r>
      <w:proofErr w:type="spellEnd"/>
      <w:r w:rsidRPr="0084507C">
        <w:rPr>
          <w:rFonts w:ascii="Times New Roman" w:hAnsi="Times New Roman" w:cs="Times New Roman"/>
          <w:sz w:val="24"/>
          <w:szCs w:val="24"/>
        </w:rPr>
        <w:t xml:space="preserve"> is instructive here. Even assuming there was a failure to file the formal proof of service wit</w:t>
      </w:r>
      <w:r w:rsidR="002712E3" w:rsidRPr="0084507C">
        <w:rPr>
          <w:rFonts w:ascii="Times New Roman" w:hAnsi="Times New Roman" w:cs="Times New Roman"/>
          <w:sz w:val="24"/>
          <w:szCs w:val="24"/>
        </w:rPr>
        <w:t>hin the five-day window, the first</w:t>
      </w:r>
      <w:r w:rsidRPr="0084507C">
        <w:rPr>
          <w:rFonts w:ascii="Times New Roman" w:hAnsi="Times New Roman" w:cs="Times New Roman"/>
          <w:sz w:val="24"/>
          <w:szCs w:val="24"/>
        </w:rPr>
        <w:t xml:space="preserve"> respondent was demonstrably not prejudiced: he received the application, filed a detailed opposition, and participated through counsel. The misstep, if any, did not frustrate the procedural intent of Rule 58(14) and (15), which is to avoid stale applications lingering in the registry. This one proceeded without delay or prejudice.</w:t>
      </w:r>
    </w:p>
    <w:p w14:paraId="08F9D50E" w14:textId="315B3E2C" w:rsidR="00B04DEA" w:rsidRPr="0084507C" w:rsidRDefault="00A03C79"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 xml:space="preserve">In </w:t>
      </w:r>
      <w:proofErr w:type="spellStart"/>
      <w:r w:rsidR="008F3816" w:rsidRPr="0084507C">
        <w:rPr>
          <w:rFonts w:ascii="Times New Roman" w:hAnsi="Times New Roman" w:cs="Times New Roman"/>
          <w:i/>
          <w:iCs/>
          <w:sz w:val="24"/>
          <w:szCs w:val="24"/>
        </w:rPr>
        <w:t>Maphisa</w:t>
      </w:r>
      <w:proofErr w:type="spellEnd"/>
      <w:r w:rsidR="008F3816" w:rsidRPr="0084507C">
        <w:rPr>
          <w:rFonts w:ascii="Times New Roman" w:hAnsi="Times New Roman" w:cs="Times New Roman"/>
          <w:i/>
          <w:iCs/>
          <w:sz w:val="24"/>
          <w:szCs w:val="24"/>
        </w:rPr>
        <w:t xml:space="preserve"> </w:t>
      </w:r>
      <w:r w:rsidR="008F3816">
        <w:rPr>
          <w:rFonts w:ascii="Times New Roman" w:hAnsi="Times New Roman" w:cs="Times New Roman"/>
          <w:i/>
          <w:iCs/>
          <w:sz w:val="24"/>
          <w:szCs w:val="24"/>
        </w:rPr>
        <w:t>v</w:t>
      </w:r>
      <w:r w:rsidR="008F3816" w:rsidRPr="0084507C">
        <w:rPr>
          <w:rFonts w:ascii="Times New Roman" w:hAnsi="Times New Roman" w:cs="Times New Roman"/>
          <w:i/>
          <w:iCs/>
          <w:sz w:val="24"/>
          <w:szCs w:val="24"/>
        </w:rPr>
        <w:t xml:space="preserve"> </w:t>
      </w:r>
      <w:proofErr w:type="spellStart"/>
      <w:r w:rsidR="008F3816" w:rsidRPr="0084507C">
        <w:rPr>
          <w:rFonts w:ascii="Times New Roman" w:hAnsi="Times New Roman" w:cs="Times New Roman"/>
          <w:i/>
          <w:iCs/>
          <w:sz w:val="24"/>
          <w:szCs w:val="24"/>
        </w:rPr>
        <w:t>Sibanda</w:t>
      </w:r>
      <w:proofErr w:type="spellEnd"/>
      <w:r w:rsidR="008F3816" w:rsidRPr="0084507C">
        <w:rPr>
          <w:rFonts w:ascii="Times New Roman" w:hAnsi="Times New Roman" w:cs="Times New Roman"/>
          <w:i/>
          <w:iCs/>
          <w:sz w:val="24"/>
          <w:szCs w:val="24"/>
        </w:rPr>
        <w:t xml:space="preserve"> </w:t>
      </w:r>
      <w:r w:rsidRPr="0084507C">
        <w:rPr>
          <w:rFonts w:ascii="Times New Roman" w:hAnsi="Times New Roman" w:cs="Times New Roman"/>
          <w:i/>
          <w:iCs/>
          <w:sz w:val="24"/>
          <w:szCs w:val="24"/>
        </w:rPr>
        <w:t xml:space="preserve">N.O. (in his capacity as executor dative of the Estate of the late </w:t>
      </w:r>
      <w:proofErr w:type="spellStart"/>
      <w:r w:rsidRPr="0084507C">
        <w:rPr>
          <w:rFonts w:ascii="Times New Roman" w:hAnsi="Times New Roman" w:cs="Times New Roman"/>
          <w:i/>
          <w:iCs/>
          <w:sz w:val="24"/>
          <w:szCs w:val="24"/>
        </w:rPr>
        <w:t>Melusi</w:t>
      </w:r>
      <w:proofErr w:type="spellEnd"/>
      <w:r w:rsidRPr="0084507C">
        <w:rPr>
          <w:rFonts w:ascii="Times New Roman" w:hAnsi="Times New Roman" w:cs="Times New Roman"/>
          <w:i/>
          <w:iCs/>
          <w:sz w:val="24"/>
          <w:szCs w:val="24"/>
        </w:rPr>
        <w:t xml:space="preserve"> </w:t>
      </w:r>
      <w:proofErr w:type="spellStart"/>
      <w:r w:rsidRPr="0084507C">
        <w:rPr>
          <w:rFonts w:ascii="Times New Roman" w:hAnsi="Times New Roman" w:cs="Times New Roman"/>
          <w:i/>
          <w:iCs/>
          <w:sz w:val="24"/>
          <w:szCs w:val="24"/>
        </w:rPr>
        <w:t>Sibanda</w:t>
      </w:r>
      <w:proofErr w:type="spellEnd"/>
      <w:r w:rsidRPr="0084507C">
        <w:rPr>
          <w:rFonts w:ascii="Times New Roman" w:hAnsi="Times New Roman" w:cs="Times New Roman"/>
          <w:i/>
          <w:iCs/>
          <w:sz w:val="24"/>
          <w:szCs w:val="24"/>
        </w:rPr>
        <w:t>) and Others</w:t>
      </w:r>
      <w:r w:rsidR="001C2BB0" w:rsidRPr="0084507C">
        <w:rPr>
          <w:rFonts w:ascii="Times New Roman" w:hAnsi="Times New Roman" w:cs="Times New Roman"/>
          <w:sz w:val="24"/>
          <w:szCs w:val="24"/>
        </w:rPr>
        <w:t xml:space="preserve"> </w:t>
      </w:r>
      <w:r w:rsidR="001C2BB0" w:rsidRPr="0084507C">
        <w:rPr>
          <w:rFonts w:ascii="Times New Roman" w:hAnsi="Times New Roman" w:cs="Times New Roman"/>
          <w:sz w:val="24"/>
          <w:szCs w:val="24"/>
          <w:lang w:val="en-ZW"/>
        </w:rPr>
        <w:t>SC 10/24</w:t>
      </w:r>
      <w:r w:rsidR="00B04DEA" w:rsidRPr="0084507C">
        <w:rPr>
          <w:rFonts w:ascii="Times New Roman" w:hAnsi="Times New Roman" w:cs="Times New Roman"/>
          <w:sz w:val="24"/>
          <w:szCs w:val="24"/>
          <w:lang w:val="en-ZW"/>
        </w:rPr>
        <w:t xml:space="preserve"> pp9 </w:t>
      </w:r>
      <w:r w:rsidR="00A2783E" w:rsidRPr="0084507C">
        <w:rPr>
          <w:rFonts w:ascii="Times New Roman" w:hAnsi="Times New Roman" w:cs="Times New Roman"/>
          <w:sz w:val="24"/>
          <w:szCs w:val="24"/>
        </w:rPr>
        <w:t>, court emphasized that minor defects in addressing documents do not invalidate service if the recipient acknowledges receipt and suffers no prejudice.</w:t>
      </w:r>
      <w:r w:rsidR="008F3816">
        <w:rPr>
          <w:rFonts w:ascii="Times New Roman" w:hAnsi="Times New Roman" w:cs="Times New Roman"/>
          <w:sz w:val="24"/>
          <w:szCs w:val="24"/>
        </w:rPr>
        <w:t xml:space="preserve"> </w:t>
      </w:r>
      <w:r w:rsidR="00A2783E" w:rsidRPr="0084507C">
        <w:rPr>
          <w:rFonts w:ascii="Times New Roman" w:hAnsi="Times New Roman" w:cs="Times New Roman"/>
          <w:sz w:val="24"/>
          <w:szCs w:val="24"/>
        </w:rPr>
        <w:t>Turning to service of process,</w:t>
      </w:r>
      <w:r w:rsidR="00A2783E" w:rsidRPr="0084507C">
        <w:rPr>
          <w:rFonts w:ascii="Times New Roman" w:hAnsi="Times New Roman" w:cs="Times New Roman"/>
          <w:i/>
          <w:sz w:val="24"/>
          <w:szCs w:val="24"/>
        </w:rPr>
        <w:t xml:space="preserve"> </w:t>
      </w:r>
      <w:r w:rsidR="008F3816" w:rsidRPr="002F3B4E">
        <w:rPr>
          <w:rFonts w:ascii="Times New Roman" w:hAnsi="Times New Roman" w:cs="Times New Roman"/>
          <w:sz w:val="24"/>
          <w:szCs w:val="24"/>
        </w:rPr>
        <w:t>in the</w:t>
      </w:r>
      <w:r w:rsidR="008F3816">
        <w:rPr>
          <w:rFonts w:ascii="Times New Roman" w:hAnsi="Times New Roman" w:cs="Times New Roman"/>
          <w:i/>
          <w:sz w:val="24"/>
          <w:szCs w:val="24"/>
        </w:rPr>
        <w:t xml:space="preserve"> </w:t>
      </w:r>
      <w:proofErr w:type="spellStart"/>
      <w:r w:rsidR="008F3816">
        <w:rPr>
          <w:rFonts w:ascii="Times New Roman" w:hAnsi="Times New Roman" w:cs="Times New Roman"/>
          <w:i/>
          <w:sz w:val="24"/>
          <w:szCs w:val="24"/>
        </w:rPr>
        <w:t>Maphisa</w:t>
      </w:r>
      <w:proofErr w:type="spellEnd"/>
      <w:r w:rsidR="008F3816">
        <w:rPr>
          <w:rFonts w:ascii="Times New Roman" w:hAnsi="Times New Roman" w:cs="Times New Roman"/>
          <w:i/>
          <w:sz w:val="24"/>
          <w:szCs w:val="24"/>
        </w:rPr>
        <w:t xml:space="preserve"> </w:t>
      </w:r>
      <w:r w:rsidR="008F3816" w:rsidRPr="002F3B4E">
        <w:rPr>
          <w:rFonts w:ascii="Times New Roman" w:hAnsi="Times New Roman" w:cs="Times New Roman"/>
          <w:sz w:val="24"/>
          <w:szCs w:val="24"/>
        </w:rPr>
        <w:t>case</w:t>
      </w:r>
      <w:r w:rsidR="008F3816">
        <w:rPr>
          <w:rFonts w:ascii="Times New Roman" w:hAnsi="Times New Roman" w:cs="Times New Roman"/>
          <w:i/>
          <w:sz w:val="24"/>
          <w:szCs w:val="24"/>
        </w:rPr>
        <w:t>, supra</w:t>
      </w:r>
      <w:proofErr w:type="gramStart"/>
      <w:r w:rsidR="008F3816">
        <w:rPr>
          <w:rFonts w:ascii="Times New Roman" w:hAnsi="Times New Roman" w:cs="Times New Roman"/>
          <w:i/>
          <w:sz w:val="24"/>
          <w:szCs w:val="24"/>
        </w:rPr>
        <w:t>,</w:t>
      </w:r>
      <w:r w:rsidR="00A2783E" w:rsidRPr="0084507C">
        <w:rPr>
          <w:rFonts w:ascii="Times New Roman" w:hAnsi="Times New Roman" w:cs="Times New Roman"/>
          <w:i/>
          <w:iCs/>
          <w:sz w:val="24"/>
          <w:szCs w:val="24"/>
        </w:rPr>
        <w:t>.</w:t>
      </w:r>
      <w:proofErr w:type="gramEnd"/>
      <w:r w:rsidR="00A2783E" w:rsidRPr="0084507C">
        <w:rPr>
          <w:rFonts w:ascii="Times New Roman" w:hAnsi="Times New Roman" w:cs="Times New Roman"/>
          <w:sz w:val="24"/>
          <w:szCs w:val="24"/>
        </w:rPr>
        <w:t xml:space="preserve"> </w:t>
      </w:r>
      <w:proofErr w:type="gramStart"/>
      <w:r w:rsidR="00A2783E" w:rsidRPr="0084507C">
        <w:rPr>
          <w:rFonts w:ascii="Times New Roman" w:hAnsi="Times New Roman" w:cs="Times New Roman"/>
          <w:sz w:val="24"/>
          <w:szCs w:val="24"/>
        </w:rPr>
        <w:t>addresses</w:t>
      </w:r>
      <w:proofErr w:type="gramEnd"/>
      <w:r w:rsidR="00A2783E" w:rsidRPr="0084507C">
        <w:rPr>
          <w:rFonts w:ascii="Times New Roman" w:hAnsi="Times New Roman" w:cs="Times New Roman"/>
          <w:sz w:val="24"/>
          <w:szCs w:val="24"/>
        </w:rPr>
        <w:t xml:space="preserve"> whether a defect in proof of service is fatal when the recipient has actual notice. </w:t>
      </w:r>
      <w:r w:rsidR="008F3816">
        <w:rPr>
          <w:rFonts w:ascii="Times New Roman" w:hAnsi="Times New Roman" w:cs="Times New Roman"/>
          <w:sz w:val="24"/>
          <w:szCs w:val="24"/>
        </w:rPr>
        <w:t>In this case</w:t>
      </w:r>
      <w:r w:rsidR="00A2783E" w:rsidRPr="0084507C">
        <w:rPr>
          <w:rFonts w:ascii="Times New Roman" w:hAnsi="Times New Roman" w:cs="Times New Roman"/>
          <w:sz w:val="24"/>
          <w:szCs w:val="24"/>
        </w:rPr>
        <w:t>, the Supreme Court held that minor defects in</w:t>
      </w:r>
      <w:r w:rsidR="002712E3" w:rsidRPr="0084507C">
        <w:rPr>
          <w:rFonts w:ascii="Times New Roman" w:hAnsi="Times New Roman" w:cs="Times New Roman"/>
          <w:sz w:val="24"/>
          <w:szCs w:val="24"/>
        </w:rPr>
        <w:t xml:space="preserve"> the manner or proof of service </w:t>
      </w:r>
      <w:r w:rsidR="00A2783E" w:rsidRPr="0084507C">
        <w:rPr>
          <w:rFonts w:ascii="Times New Roman" w:hAnsi="Times New Roman" w:cs="Times New Roman"/>
          <w:sz w:val="24"/>
          <w:szCs w:val="24"/>
        </w:rPr>
        <w:t>such as</w:t>
      </w:r>
      <w:r w:rsidR="002712E3" w:rsidRPr="0084507C">
        <w:rPr>
          <w:rFonts w:ascii="Times New Roman" w:hAnsi="Times New Roman" w:cs="Times New Roman"/>
          <w:sz w:val="24"/>
          <w:szCs w:val="24"/>
        </w:rPr>
        <w:t xml:space="preserve"> an improperly addressed notice </w:t>
      </w:r>
      <w:r w:rsidR="00A2783E" w:rsidRPr="0084507C">
        <w:rPr>
          <w:rFonts w:ascii="Times New Roman" w:hAnsi="Times New Roman" w:cs="Times New Roman"/>
          <w:sz w:val="24"/>
          <w:szCs w:val="24"/>
        </w:rPr>
        <w:t>do not invalidate service if the recipient in fact received the document and suffered no prejudice.</w:t>
      </w:r>
    </w:p>
    <w:p w14:paraId="736F3414" w14:textId="77777777" w:rsidR="00B04DEA" w:rsidRPr="0084507C" w:rsidRDefault="002712E3" w:rsidP="002F3B4E">
      <w:pPr>
        <w:spacing w:line="360" w:lineRule="auto"/>
        <w:ind w:left="720"/>
        <w:jc w:val="both"/>
        <w:rPr>
          <w:rFonts w:ascii="Times New Roman" w:hAnsi="Times New Roman" w:cs="Times New Roman"/>
          <w:sz w:val="24"/>
          <w:szCs w:val="24"/>
          <w:lang w:val="en-GB"/>
        </w:rPr>
      </w:pPr>
      <w:r w:rsidRPr="0084507C">
        <w:rPr>
          <w:rFonts w:ascii="Times New Roman" w:hAnsi="Times New Roman" w:cs="Times New Roman"/>
          <w:sz w:val="24"/>
          <w:szCs w:val="24"/>
          <w:lang w:val="en-GB"/>
        </w:rPr>
        <w:t>“</w:t>
      </w:r>
      <w:r w:rsidR="00B04DEA" w:rsidRPr="0084507C">
        <w:rPr>
          <w:rFonts w:ascii="Times New Roman" w:hAnsi="Times New Roman" w:cs="Times New Roman"/>
          <w:sz w:val="24"/>
          <w:szCs w:val="24"/>
          <w:lang w:val="en-GB"/>
        </w:rPr>
        <w:t xml:space="preserve">In </w:t>
      </w:r>
      <w:r w:rsidR="00B04DEA" w:rsidRPr="0084507C">
        <w:rPr>
          <w:rFonts w:ascii="Times New Roman" w:hAnsi="Times New Roman" w:cs="Times New Roman"/>
          <w:i/>
          <w:iCs/>
          <w:sz w:val="24"/>
          <w:szCs w:val="24"/>
          <w:lang w:val="en-GB"/>
        </w:rPr>
        <w:t>casu,</w:t>
      </w:r>
      <w:r w:rsidR="00B04DEA" w:rsidRPr="0084507C">
        <w:rPr>
          <w:rFonts w:ascii="Times New Roman" w:hAnsi="Times New Roman" w:cs="Times New Roman"/>
          <w:sz w:val="24"/>
          <w:szCs w:val="24"/>
          <w:lang w:val="en-GB"/>
        </w:rPr>
        <w:t xml:space="preserve"> the appellant’s</w:t>
      </w:r>
      <w:r w:rsidR="00A66B12" w:rsidRPr="0084507C">
        <w:rPr>
          <w:rFonts w:ascii="Times New Roman" w:hAnsi="Times New Roman" w:cs="Times New Roman"/>
          <w:sz w:val="24"/>
          <w:szCs w:val="24"/>
          <w:lang w:val="en-GB"/>
        </w:rPr>
        <w:t xml:space="preserve"> contention was not that the 2nd</w:t>
      </w:r>
      <w:r w:rsidR="00B04DEA" w:rsidRPr="0084507C">
        <w:rPr>
          <w:rFonts w:ascii="Times New Roman" w:hAnsi="Times New Roman" w:cs="Times New Roman"/>
          <w:sz w:val="24"/>
          <w:szCs w:val="24"/>
          <w:lang w:val="en-GB"/>
        </w:rPr>
        <w:t xml:space="preserve"> respondent had failed to act within the </w:t>
      </w:r>
      <w:r w:rsidR="00B04DEA" w:rsidRPr="0084507C">
        <w:rPr>
          <w:rFonts w:ascii="Times New Roman" w:hAnsi="Times New Roman" w:cs="Times New Roman"/>
          <w:i/>
          <w:iCs/>
          <w:sz w:val="24"/>
          <w:szCs w:val="24"/>
          <w:lang w:val="en-GB"/>
        </w:rPr>
        <w:t xml:space="preserve">dies </w:t>
      </w:r>
      <w:proofErr w:type="spellStart"/>
      <w:r w:rsidR="00B04DEA" w:rsidRPr="0084507C">
        <w:rPr>
          <w:rFonts w:ascii="Times New Roman" w:hAnsi="Times New Roman" w:cs="Times New Roman"/>
          <w:i/>
          <w:iCs/>
          <w:sz w:val="24"/>
          <w:szCs w:val="24"/>
          <w:lang w:val="en-GB"/>
        </w:rPr>
        <w:t>induciae</w:t>
      </w:r>
      <w:proofErr w:type="spellEnd"/>
      <w:r w:rsidR="00B04DEA" w:rsidRPr="0084507C">
        <w:rPr>
          <w:rFonts w:ascii="Times New Roman" w:hAnsi="Times New Roman" w:cs="Times New Roman"/>
          <w:sz w:val="24"/>
          <w:szCs w:val="24"/>
          <w:lang w:val="en-GB"/>
        </w:rPr>
        <w:t xml:space="preserve"> but that the notice of opposition filed was not properly addressed to him.  The alleged infraction as noted by the court </w:t>
      </w:r>
      <w:r w:rsidR="00B04DEA" w:rsidRPr="0084507C">
        <w:rPr>
          <w:rFonts w:ascii="Times New Roman" w:hAnsi="Times New Roman" w:cs="Times New Roman"/>
          <w:i/>
          <w:iCs/>
          <w:sz w:val="24"/>
          <w:szCs w:val="24"/>
          <w:lang w:val="en-GB"/>
        </w:rPr>
        <w:t>a quo</w:t>
      </w:r>
      <w:r w:rsidR="00B04DEA" w:rsidRPr="0084507C">
        <w:rPr>
          <w:rFonts w:ascii="Times New Roman" w:hAnsi="Times New Roman" w:cs="Times New Roman"/>
          <w:sz w:val="24"/>
          <w:szCs w:val="24"/>
          <w:lang w:val="en-GB"/>
        </w:rPr>
        <w:t xml:space="preserve"> was that the applicant’s name and address were hand-written and not in typed form.  The appellant having admitted to receiving the notice of opposition, did not allude to any prejudice he suffered as a consequence of his address being handwritten as opposed to being typewritten.  It was such an infraction that the court </w:t>
      </w:r>
      <w:r w:rsidR="00B04DEA" w:rsidRPr="0084507C">
        <w:rPr>
          <w:rFonts w:ascii="Times New Roman" w:hAnsi="Times New Roman" w:cs="Times New Roman"/>
          <w:i/>
          <w:iCs/>
          <w:sz w:val="24"/>
          <w:szCs w:val="24"/>
          <w:lang w:val="en-GB"/>
        </w:rPr>
        <w:t>a quo</w:t>
      </w:r>
      <w:r w:rsidR="00B04DEA" w:rsidRPr="0084507C">
        <w:rPr>
          <w:rFonts w:ascii="Times New Roman" w:hAnsi="Times New Roman" w:cs="Times New Roman"/>
          <w:sz w:val="24"/>
          <w:szCs w:val="24"/>
          <w:lang w:val="en-GB"/>
        </w:rPr>
        <w:t xml:space="preserve"> held as not fatal and condoned it in the interest of justice</w:t>
      </w:r>
      <w:r w:rsidRPr="0084507C">
        <w:rPr>
          <w:rFonts w:ascii="Times New Roman" w:hAnsi="Times New Roman" w:cs="Times New Roman"/>
          <w:sz w:val="24"/>
          <w:szCs w:val="24"/>
          <w:lang w:val="en-GB"/>
        </w:rPr>
        <w:t>”</w:t>
      </w:r>
      <w:r w:rsidR="00B04DEA" w:rsidRPr="0084507C">
        <w:rPr>
          <w:rFonts w:ascii="Times New Roman" w:hAnsi="Times New Roman" w:cs="Times New Roman"/>
          <w:sz w:val="24"/>
          <w:szCs w:val="24"/>
          <w:lang w:val="en-GB"/>
        </w:rPr>
        <w:t>.</w:t>
      </w:r>
    </w:p>
    <w:p w14:paraId="0C2DDF3D" w14:textId="77777777" w:rsidR="00A03C79" w:rsidRPr="0084507C" w:rsidRDefault="00A03C79" w:rsidP="00FD0109">
      <w:pPr>
        <w:spacing w:line="360" w:lineRule="auto"/>
        <w:jc w:val="both"/>
        <w:rPr>
          <w:rFonts w:ascii="Times New Roman" w:hAnsi="Times New Roman" w:cs="Times New Roman"/>
          <w:sz w:val="24"/>
          <w:szCs w:val="24"/>
        </w:rPr>
      </w:pPr>
    </w:p>
    <w:p w14:paraId="56D9DBAF" w14:textId="6F37735F" w:rsidR="00A03C79" w:rsidRPr="0084507C" w:rsidRDefault="00A03C79"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Here, the first respondent challenged the applicant’s proof of service on the ground that it did not include the full email transmission log required by Rule 15(22</w:t>
      </w:r>
      <w:proofErr w:type="gramStart"/>
      <w:r w:rsidRPr="0084507C">
        <w:rPr>
          <w:rFonts w:ascii="Times New Roman" w:hAnsi="Times New Roman" w:cs="Times New Roman"/>
          <w:sz w:val="24"/>
          <w:szCs w:val="24"/>
        </w:rPr>
        <w:t>)(</w:t>
      </w:r>
      <w:proofErr w:type="gramEnd"/>
      <w:r w:rsidRPr="0084507C">
        <w:rPr>
          <w:rFonts w:ascii="Times New Roman" w:hAnsi="Times New Roman" w:cs="Times New Roman"/>
          <w:sz w:val="24"/>
          <w:szCs w:val="24"/>
        </w:rPr>
        <w:t>e).</w:t>
      </w:r>
      <w:r w:rsidR="002F3B4E">
        <w:rPr>
          <w:rFonts w:ascii="Times New Roman" w:hAnsi="Times New Roman" w:cs="Times New Roman"/>
          <w:sz w:val="24"/>
          <w:szCs w:val="24"/>
        </w:rPr>
        <w:t xml:space="preserve"> However, that challenge falls on</w:t>
      </w:r>
      <w:r w:rsidRPr="0084507C">
        <w:rPr>
          <w:rFonts w:ascii="Times New Roman" w:hAnsi="Times New Roman" w:cs="Times New Roman"/>
          <w:sz w:val="24"/>
          <w:szCs w:val="24"/>
        </w:rPr>
        <w:t xml:space="preserve"> the respondent’s own admission that he received the chamber application on the date it was </w:t>
      </w:r>
      <w:r w:rsidRPr="0084507C">
        <w:rPr>
          <w:rFonts w:ascii="Times New Roman" w:hAnsi="Times New Roman" w:cs="Times New Roman"/>
          <w:sz w:val="24"/>
          <w:szCs w:val="24"/>
        </w:rPr>
        <w:lastRenderedPageBreak/>
        <w:t xml:space="preserve">filed. The respondent neither denies having seen the application nor suggests that the alleged omission impeded his ability to prepare and file his opposition. As in </w:t>
      </w:r>
      <w:proofErr w:type="spellStart"/>
      <w:r w:rsidR="008F3816" w:rsidRPr="0084507C">
        <w:rPr>
          <w:rFonts w:ascii="Times New Roman" w:hAnsi="Times New Roman" w:cs="Times New Roman"/>
          <w:i/>
          <w:iCs/>
          <w:sz w:val="24"/>
          <w:szCs w:val="24"/>
        </w:rPr>
        <w:t>Maphisa</w:t>
      </w:r>
      <w:proofErr w:type="spellEnd"/>
      <w:r w:rsidRPr="0084507C">
        <w:rPr>
          <w:rFonts w:ascii="Times New Roman" w:hAnsi="Times New Roman" w:cs="Times New Roman"/>
          <w:sz w:val="24"/>
          <w:szCs w:val="24"/>
        </w:rPr>
        <w:t>,</w:t>
      </w:r>
      <w:r w:rsidR="008F3816">
        <w:rPr>
          <w:rFonts w:ascii="Times New Roman" w:hAnsi="Times New Roman" w:cs="Times New Roman"/>
          <w:sz w:val="24"/>
          <w:szCs w:val="24"/>
        </w:rPr>
        <w:t xml:space="preserve"> case, </w:t>
      </w:r>
      <w:r w:rsidR="008F3816" w:rsidRPr="002F3B4E">
        <w:rPr>
          <w:rFonts w:ascii="Times New Roman" w:hAnsi="Times New Roman" w:cs="Times New Roman"/>
          <w:i/>
          <w:sz w:val="24"/>
          <w:szCs w:val="24"/>
        </w:rPr>
        <w:t>supra</w:t>
      </w:r>
      <w:r w:rsidRPr="0084507C">
        <w:rPr>
          <w:rFonts w:ascii="Times New Roman" w:hAnsi="Times New Roman" w:cs="Times New Roman"/>
          <w:sz w:val="24"/>
          <w:szCs w:val="24"/>
        </w:rPr>
        <w:t xml:space="preserve"> the actual receipt of process cures any technical defect in the proof of service.</w:t>
      </w:r>
    </w:p>
    <w:p w14:paraId="7ECDAF13" w14:textId="77777777" w:rsidR="00C56FA6" w:rsidRPr="0084507C" w:rsidRDefault="00C56FA6" w:rsidP="00FD0109">
      <w:pPr>
        <w:spacing w:line="360" w:lineRule="auto"/>
        <w:jc w:val="both"/>
        <w:rPr>
          <w:rFonts w:ascii="Times New Roman" w:hAnsi="Times New Roman" w:cs="Times New Roman"/>
          <w:b/>
          <w:bCs/>
          <w:sz w:val="24"/>
          <w:szCs w:val="24"/>
        </w:rPr>
      </w:pPr>
      <w:r w:rsidRPr="0084507C">
        <w:rPr>
          <w:rFonts w:ascii="Times New Roman" w:hAnsi="Times New Roman" w:cs="Times New Roman"/>
          <w:b/>
          <w:bCs/>
          <w:sz w:val="24"/>
          <w:szCs w:val="24"/>
        </w:rPr>
        <w:t>Disposition</w:t>
      </w:r>
    </w:p>
    <w:p w14:paraId="33C25853" w14:textId="77777777" w:rsidR="00C56FA6" w:rsidRPr="0084507C" w:rsidRDefault="00C56FA6"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In light of the foregoing, and having found that:</w:t>
      </w:r>
    </w:p>
    <w:p w14:paraId="41C33BB3" w14:textId="77777777" w:rsidR="00C56FA6" w:rsidRPr="0084507C" w:rsidRDefault="00471D00" w:rsidP="00FD0109">
      <w:pPr>
        <w:numPr>
          <w:ilvl w:val="0"/>
          <w:numId w:val="2"/>
        </w:num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The first</w:t>
      </w:r>
      <w:r w:rsidR="00C56FA6" w:rsidRPr="0084507C">
        <w:rPr>
          <w:rFonts w:ascii="Times New Roman" w:hAnsi="Times New Roman" w:cs="Times New Roman"/>
          <w:sz w:val="24"/>
          <w:szCs w:val="24"/>
        </w:rPr>
        <w:t xml:space="preserve"> respondent is properly before the court, having obtained a valid condonation order under HC 1039/24, which stands until set aside, and which this court cannot disregard in terms of the </w:t>
      </w:r>
      <w:proofErr w:type="spellStart"/>
      <w:r w:rsidR="00C56FA6" w:rsidRPr="002F3B4E">
        <w:rPr>
          <w:rFonts w:ascii="Times New Roman" w:hAnsi="Times New Roman" w:cs="Times New Roman"/>
          <w:i/>
          <w:sz w:val="24"/>
          <w:szCs w:val="24"/>
        </w:rPr>
        <w:t>functus</w:t>
      </w:r>
      <w:proofErr w:type="spellEnd"/>
      <w:r w:rsidR="00C56FA6" w:rsidRPr="002F3B4E">
        <w:rPr>
          <w:rFonts w:ascii="Times New Roman" w:hAnsi="Times New Roman" w:cs="Times New Roman"/>
          <w:i/>
          <w:sz w:val="24"/>
          <w:szCs w:val="24"/>
        </w:rPr>
        <w:t xml:space="preserve"> officio</w:t>
      </w:r>
      <w:r w:rsidR="00C56FA6" w:rsidRPr="0084507C">
        <w:rPr>
          <w:rFonts w:ascii="Times New Roman" w:hAnsi="Times New Roman" w:cs="Times New Roman"/>
          <w:sz w:val="24"/>
          <w:szCs w:val="24"/>
        </w:rPr>
        <w:t xml:space="preserve"> principle;</w:t>
      </w:r>
    </w:p>
    <w:p w14:paraId="79D609CE" w14:textId="77777777" w:rsidR="00C56FA6" w:rsidRPr="0084507C" w:rsidRDefault="00C56FA6" w:rsidP="00FD0109">
      <w:pPr>
        <w:numPr>
          <w:ilvl w:val="0"/>
          <w:numId w:val="2"/>
        </w:num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 xml:space="preserve">The application is not deemed abandoned, as the applicant effected actual service of the application on the 1st respondent, who received and responded to it timeously, and any technical irregularity in filing proof of service does not vitiate the proceedings, particularly in light of </w:t>
      </w:r>
      <w:r w:rsidR="00471D00" w:rsidRPr="0084507C">
        <w:rPr>
          <w:rFonts w:ascii="Times New Roman" w:hAnsi="Times New Roman" w:cs="Times New Roman"/>
          <w:sz w:val="24"/>
          <w:szCs w:val="24"/>
        </w:rPr>
        <w:t>Rule 7</w:t>
      </w:r>
      <w:r w:rsidRPr="0084507C">
        <w:rPr>
          <w:rFonts w:ascii="Times New Roman" w:hAnsi="Times New Roman" w:cs="Times New Roman"/>
          <w:sz w:val="24"/>
          <w:szCs w:val="24"/>
        </w:rPr>
        <w:t xml:space="preserve"> of the High Court Rules, 2021, which permits the court to depart from strict compliance with procedural rules in the interests of justice;</w:t>
      </w:r>
    </w:p>
    <w:p w14:paraId="2343247D" w14:textId="77777777" w:rsidR="00C56FA6" w:rsidRPr="0084507C" w:rsidRDefault="00C56FA6" w:rsidP="00FD0109">
      <w:p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Accordingly, the following order is made:</w:t>
      </w:r>
    </w:p>
    <w:p w14:paraId="61DBA49A" w14:textId="3E7AAF3D" w:rsidR="00C56FA6" w:rsidRPr="0084507C" w:rsidRDefault="00C56FA6" w:rsidP="00FD0109">
      <w:pPr>
        <w:numPr>
          <w:ilvl w:val="0"/>
          <w:numId w:val="3"/>
        </w:num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 xml:space="preserve">The points </w:t>
      </w:r>
      <w:r w:rsidRPr="00BA2D43">
        <w:rPr>
          <w:rFonts w:ascii="Times New Roman" w:hAnsi="Times New Roman" w:cs="Times New Roman"/>
          <w:i/>
          <w:sz w:val="24"/>
          <w:szCs w:val="24"/>
        </w:rPr>
        <w:t xml:space="preserve">in </w:t>
      </w:r>
      <w:proofErr w:type="spellStart"/>
      <w:r w:rsidRPr="00BA2D43">
        <w:rPr>
          <w:rFonts w:ascii="Times New Roman" w:hAnsi="Times New Roman" w:cs="Times New Roman"/>
          <w:i/>
          <w:sz w:val="24"/>
          <w:szCs w:val="24"/>
        </w:rPr>
        <w:t>limine</w:t>
      </w:r>
      <w:proofErr w:type="spellEnd"/>
      <w:r w:rsidRPr="0084507C">
        <w:rPr>
          <w:rFonts w:ascii="Times New Roman" w:hAnsi="Times New Roman" w:cs="Times New Roman"/>
          <w:sz w:val="24"/>
          <w:szCs w:val="24"/>
        </w:rPr>
        <w:t xml:space="preserve"> raised by </w:t>
      </w:r>
      <w:r w:rsidR="006178F8">
        <w:rPr>
          <w:rFonts w:ascii="Times New Roman" w:hAnsi="Times New Roman" w:cs="Times New Roman"/>
          <w:sz w:val="24"/>
          <w:szCs w:val="24"/>
        </w:rPr>
        <w:t>both parties</w:t>
      </w:r>
      <w:r w:rsidRPr="0084507C">
        <w:rPr>
          <w:rFonts w:ascii="Times New Roman" w:hAnsi="Times New Roman" w:cs="Times New Roman"/>
          <w:sz w:val="24"/>
          <w:szCs w:val="24"/>
        </w:rPr>
        <w:t xml:space="preserve"> are hereby dismissed.</w:t>
      </w:r>
    </w:p>
    <w:p w14:paraId="424695F1" w14:textId="77777777" w:rsidR="00C56FA6" w:rsidRPr="0084507C" w:rsidRDefault="00C56FA6" w:rsidP="00FD0109">
      <w:pPr>
        <w:numPr>
          <w:ilvl w:val="0"/>
          <w:numId w:val="3"/>
        </w:num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The matter shall proceed to be determined on the merits.</w:t>
      </w:r>
    </w:p>
    <w:p w14:paraId="28F30AE8" w14:textId="77777777" w:rsidR="00C56FA6" w:rsidRPr="0084507C" w:rsidRDefault="00C56FA6" w:rsidP="00FD0109">
      <w:pPr>
        <w:numPr>
          <w:ilvl w:val="0"/>
          <w:numId w:val="3"/>
        </w:numPr>
        <w:spacing w:line="360" w:lineRule="auto"/>
        <w:jc w:val="both"/>
        <w:rPr>
          <w:rFonts w:ascii="Times New Roman" w:hAnsi="Times New Roman" w:cs="Times New Roman"/>
          <w:sz w:val="24"/>
          <w:szCs w:val="24"/>
        </w:rPr>
      </w:pPr>
      <w:r w:rsidRPr="0084507C">
        <w:rPr>
          <w:rFonts w:ascii="Times New Roman" w:hAnsi="Times New Roman" w:cs="Times New Roman"/>
          <w:sz w:val="24"/>
          <w:szCs w:val="24"/>
        </w:rPr>
        <w:t>Costs shall be in the cause.</w:t>
      </w:r>
    </w:p>
    <w:p w14:paraId="0EF61D48" w14:textId="77777777" w:rsidR="00A03C79" w:rsidRPr="0084507C" w:rsidRDefault="00A03C79" w:rsidP="00FD0109">
      <w:pPr>
        <w:spacing w:line="360" w:lineRule="auto"/>
        <w:jc w:val="both"/>
        <w:rPr>
          <w:rFonts w:ascii="Times New Roman" w:hAnsi="Times New Roman" w:cs="Times New Roman"/>
          <w:sz w:val="24"/>
          <w:szCs w:val="24"/>
        </w:rPr>
      </w:pPr>
    </w:p>
    <w:p w14:paraId="06BE710F" w14:textId="77777777" w:rsidR="00E80C20" w:rsidRDefault="00E80C20" w:rsidP="00FD0109">
      <w:pPr>
        <w:spacing w:line="360" w:lineRule="auto"/>
        <w:jc w:val="both"/>
        <w:rPr>
          <w:rFonts w:ascii="Times New Roman" w:hAnsi="Times New Roman" w:cs="Times New Roman"/>
          <w:sz w:val="24"/>
          <w:szCs w:val="24"/>
        </w:rPr>
      </w:pPr>
    </w:p>
    <w:p w14:paraId="0E512F71" w14:textId="3721E4DC" w:rsidR="00BA2D43" w:rsidRDefault="00BA2D43" w:rsidP="00FD0109">
      <w:pPr>
        <w:spacing w:line="360" w:lineRule="auto"/>
        <w:jc w:val="both"/>
        <w:rPr>
          <w:rFonts w:ascii="Times New Roman" w:hAnsi="Times New Roman" w:cs="Times New Roman"/>
          <w:sz w:val="24"/>
          <w:szCs w:val="24"/>
        </w:rPr>
      </w:pPr>
      <w:r>
        <w:rPr>
          <w:rFonts w:ascii="Times New Roman" w:hAnsi="Times New Roman" w:cs="Times New Roman"/>
          <w:sz w:val="24"/>
          <w:szCs w:val="24"/>
        </w:rPr>
        <w:t>…………………………………..applicant’s legal practitioners</w:t>
      </w:r>
    </w:p>
    <w:p w14:paraId="2D79DD0C" w14:textId="3A7720F6" w:rsidR="00BA2D43" w:rsidRPr="0084507C" w:rsidRDefault="00BA2D43" w:rsidP="00FD0109">
      <w:p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legal practitioners</w:t>
      </w:r>
    </w:p>
    <w:sectPr w:rsidR="00BA2D43" w:rsidRPr="0084507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26971" w14:textId="77777777" w:rsidR="00314F26" w:rsidRDefault="00314F26" w:rsidP="00471D00">
      <w:pPr>
        <w:spacing w:after="0" w:line="240" w:lineRule="auto"/>
      </w:pPr>
      <w:r>
        <w:separator/>
      </w:r>
    </w:p>
  </w:endnote>
  <w:endnote w:type="continuationSeparator" w:id="0">
    <w:p w14:paraId="34F3D521" w14:textId="77777777" w:rsidR="00314F26" w:rsidRDefault="00314F26" w:rsidP="0047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73D87" w14:textId="77777777" w:rsidR="00314F26" w:rsidRDefault="00314F26" w:rsidP="00471D00">
      <w:pPr>
        <w:spacing w:after="0" w:line="240" w:lineRule="auto"/>
      </w:pPr>
      <w:r>
        <w:separator/>
      </w:r>
    </w:p>
  </w:footnote>
  <w:footnote w:type="continuationSeparator" w:id="0">
    <w:p w14:paraId="7CAC266C" w14:textId="77777777" w:rsidR="00314F26" w:rsidRDefault="00314F26" w:rsidP="0047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116705"/>
      <w:docPartObj>
        <w:docPartGallery w:val="Page Numbers (Top of Page)"/>
        <w:docPartUnique/>
      </w:docPartObj>
    </w:sdtPr>
    <w:sdtEndPr>
      <w:rPr>
        <w:noProof/>
      </w:rPr>
    </w:sdtEndPr>
    <w:sdtContent>
      <w:p w14:paraId="690EBFCD" w14:textId="73A16BFB" w:rsidR="0005319B" w:rsidRDefault="0005319B">
        <w:pPr>
          <w:pStyle w:val="Header"/>
          <w:jc w:val="right"/>
          <w:rPr>
            <w:noProof/>
          </w:rPr>
        </w:pPr>
        <w:r>
          <w:fldChar w:fldCharType="begin"/>
        </w:r>
        <w:r>
          <w:instrText xml:space="preserve"> PAGE   \* MERGEFORMAT </w:instrText>
        </w:r>
        <w:r>
          <w:fldChar w:fldCharType="separate"/>
        </w:r>
        <w:r w:rsidR="0069026D">
          <w:rPr>
            <w:noProof/>
          </w:rPr>
          <w:t>8</w:t>
        </w:r>
        <w:r>
          <w:rPr>
            <w:noProof/>
          </w:rPr>
          <w:fldChar w:fldCharType="end"/>
        </w:r>
        <w:r>
          <w:rPr>
            <w:noProof/>
          </w:rPr>
          <w:t xml:space="preserve"> </w:t>
        </w:r>
      </w:p>
      <w:p w14:paraId="75E11621" w14:textId="11398810" w:rsidR="0005319B" w:rsidRDefault="00912B06" w:rsidP="00912B06">
        <w:pPr>
          <w:pStyle w:val="Header"/>
          <w:tabs>
            <w:tab w:val="left" w:pos="8430"/>
          </w:tabs>
          <w:rPr>
            <w:noProof/>
          </w:rPr>
        </w:pPr>
        <w:r>
          <w:rPr>
            <w:noProof/>
          </w:rPr>
          <w:tab/>
        </w:r>
        <w:r>
          <w:rPr>
            <w:noProof/>
          </w:rPr>
          <w:tab/>
        </w:r>
        <w:r>
          <w:rPr>
            <w:noProof/>
          </w:rPr>
          <w:tab/>
        </w:r>
        <w:r w:rsidR="0005319B">
          <w:rPr>
            <w:noProof/>
          </w:rPr>
          <w:t>HB</w:t>
        </w:r>
        <w:r w:rsidR="00946425">
          <w:rPr>
            <w:noProof/>
          </w:rPr>
          <w:t xml:space="preserve"> 65</w:t>
        </w:r>
        <w:r w:rsidR="0005319B">
          <w:rPr>
            <w:noProof/>
          </w:rPr>
          <w:t>/25</w:t>
        </w:r>
      </w:p>
      <w:p w14:paraId="571AD717" w14:textId="77777777" w:rsidR="0005319B" w:rsidRDefault="0005319B">
        <w:pPr>
          <w:pStyle w:val="Header"/>
          <w:jc w:val="right"/>
          <w:rPr>
            <w:noProof/>
          </w:rPr>
        </w:pPr>
        <w:r>
          <w:rPr>
            <w:noProof/>
          </w:rPr>
          <w:t>HCBC 798/24</w:t>
        </w:r>
      </w:p>
      <w:p w14:paraId="3BBA64CC" w14:textId="77777777" w:rsidR="0005319B" w:rsidRDefault="00314F26">
        <w:pPr>
          <w:pStyle w:val="Header"/>
          <w:jc w:val="right"/>
        </w:pPr>
      </w:p>
    </w:sdtContent>
  </w:sdt>
  <w:p w14:paraId="78B9BEF9" w14:textId="77777777" w:rsidR="0005319B" w:rsidRDefault="000531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793D"/>
    <w:multiLevelType w:val="hybridMultilevel"/>
    <w:tmpl w:val="D99AA578"/>
    <w:lvl w:ilvl="0" w:tplc="6BC02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D31CA0"/>
    <w:multiLevelType w:val="hybridMultilevel"/>
    <w:tmpl w:val="84563EE4"/>
    <w:lvl w:ilvl="0" w:tplc="66AEA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05AAC"/>
    <w:multiLevelType w:val="multilevel"/>
    <w:tmpl w:val="A410A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229A4"/>
    <w:multiLevelType w:val="multilevel"/>
    <w:tmpl w:val="4C581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21420D"/>
    <w:multiLevelType w:val="multilevel"/>
    <w:tmpl w:val="787A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072F56"/>
    <w:multiLevelType w:val="hybridMultilevel"/>
    <w:tmpl w:val="B0A41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7933BD"/>
    <w:multiLevelType w:val="hybridMultilevel"/>
    <w:tmpl w:val="A48C4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F4"/>
    <w:rsid w:val="00001630"/>
    <w:rsid w:val="00017758"/>
    <w:rsid w:val="0005319B"/>
    <w:rsid w:val="000B27C9"/>
    <w:rsid w:val="000B2B30"/>
    <w:rsid w:val="000C4526"/>
    <w:rsid w:val="000C7C18"/>
    <w:rsid w:val="000E77D0"/>
    <w:rsid w:val="00177381"/>
    <w:rsid w:val="001861F3"/>
    <w:rsid w:val="001A134D"/>
    <w:rsid w:val="001C2BB0"/>
    <w:rsid w:val="001E4147"/>
    <w:rsid w:val="002478CD"/>
    <w:rsid w:val="0026291D"/>
    <w:rsid w:val="00265859"/>
    <w:rsid w:val="002712E3"/>
    <w:rsid w:val="002804DF"/>
    <w:rsid w:val="002A084E"/>
    <w:rsid w:val="002C397D"/>
    <w:rsid w:val="002C3E14"/>
    <w:rsid w:val="002C53E4"/>
    <w:rsid w:val="002D4553"/>
    <w:rsid w:val="002F3B4E"/>
    <w:rsid w:val="00300CF0"/>
    <w:rsid w:val="00314F26"/>
    <w:rsid w:val="003B23A6"/>
    <w:rsid w:val="003C1D17"/>
    <w:rsid w:val="00471D00"/>
    <w:rsid w:val="004910E4"/>
    <w:rsid w:val="004E0F62"/>
    <w:rsid w:val="00500067"/>
    <w:rsid w:val="005165BF"/>
    <w:rsid w:val="00585EA3"/>
    <w:rsid w:val="00611E2F"/>
    <w:rsid w:val="006178F8"/>
    <w:rsid w:val="00617B70"/>
    <w:rsid w:val="00674087"/>
    <w:rsid w:val="0069026D"/>
    <w:rsid w:val="00705FC2"/>
    <w:rsid w:val="00765234"/>
    <w:rsid w:val="007B6929"/>
    <w:rsid w:val="007D4FED"/>
    <w:rsid w:val="007F04E6"/>
    <w:rsid w:val="0084507C"/>
    <w:rsid w:val="00850BF7"/>
    <w:rsid w:val="00882EC2"/>
    <w:rsid w:val="008F3816"/>
    <w:rsid w:val="00912B06"/>
    <w:rsid w:val="00946425"/>
    <w:rsid w:val="0098303D"/>
    <w:rsid w:val="00A03C79"/>
    <w:rsid w:val="00A2783E"/>
    <w:rsid w:val="00A66B12"/>
    <w:rsid w:val="00A85D59"/>
    <w:rsid w:val="00A90E6F"/>
    <w:rsid w:val="00A9747B"/>
    <w:rsid w:val="00AB3356"/>
    <w:rsid w:val="00AC4B8F"/>
    <w:rsid w:val="00B04DEA"/>
    <w:rsid w:val="00B37761"/>
    <w:rsid w:val="00BA2D43"/>
    <w:rsid w:val="00BC7F24"/>
    <w:rsid w:val="00C138A1"/>
    <w:rsid w:val="00C56FA6"/>
    <w:rsid w:val="00CD6173"/>
    <w:rsid w:val="00CF10A1"/>
    <w:rsid w:val="00D939D0"/>
    <w:rsid w:val="00DC5A74"/>
    <w:rsid w:val="00E064F7"/>
    <w:rsid w:val="00E10467"/>
    <w:rsid w:val="00E13FF5"/>
    <w:rsid w:val="00E21216"/>
    <w:rsid w:val="00E75BFB"/>
    <w:rsid w:val="00E80C20"/>
    <w:rsid w:val="00ED2F4E"/>
    <w:rsid w:val="00ED584D"/>
    <w:rsid w:val="00F20846"/>
    <w:rsid w:val="00F3087A"/>
    <w:rsid w:val="00F73EF4"/>
    <w:rsid w:val="00FD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E4A61"/>
  <w15:chartTrackingRefBased/>
  <w15:docId w15:val="{241D97CA-8D6D-433F-AE89-BF472A33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467"/>
    <w:pPr>
      <w:ind w:left="720"/>
      <w:contextualSpacing/>
    </w:pPr>
  </w:style>
  <w:style w:type="paragraph" w:styleId="Header">
    <w:name w:val="header"/>
    <w:basedOn w:val="Normal"/>
    <w:link w:val="HeaderChar"/>
    <w:uiPriority w:val="99"/>
    <w:unhideWhenUsed/>
    <w:rsid w:val="00A9747B"/>
    <w:pPr>
      <w:tabs>
        <w:tab w:val="center" w:pos="4680"/>
        <w:tab w:val="right" w:pos="9360"/>
      </w:tabs>
      <w:spacing w:after="0" w:line="240" w:lineRule="auto"/>
    </w:pPr>
    <w:rPr>
      <w:lang w:val="en-ZW"/>
    </w:rPr>
  </w:style>
  <w:style w:type="character" w:customStyle="1" w:styleId="HeaderChar">
    <w:name w:val="Header Char"/>
    <w:basedOn w:val="DefaultParagraphFont"/>
    <w:link w:val="Header"/>
    <w:uiPriority w:val="99"/>
    <w:rsid w:val="00A9747B"/>
    <w:rPr>
      <w:lang w:val="en-ZW"/>
    </w:rPr>
  </w:style>
  <w:style w:type="paragraph" w:styleId="Footer">
    <w:name w:val="footer"/>
    <w:basedOn w:val="Normal"/>
    <w:link w:val="FooterChar"/>
    <w:uiPriority w:val="99"/>
    <w:unhideWhenUsed/>
    <w:rsid w:val="0047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00"/>
  </w:style>
  <w:style w:type="paragraph" w:styleId="BalloonText">
    <w:name w:val="Balloon Text"/>
    <w:basedOn w:val="Normal"/>
    <w:link w:val="BalloonTextChar"/>
    <w:uiPriority w:val="99"/>
    <w:semiHidden/>
    <w:unhideWhenUsed/>
    <w:rsid w:val="00516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5BF"/>
    <w:rPr>
      <w:rFonts w:ascii="Segoe UI" w:hAnsi="Segoe UI" w:cs="Segoe UI"/>
      <w:sz w:val="18"/>
      <w:szCs w:val="18"/>
    </w:rPr>
  </w:style>
  <w:style w:type="paragraph" w:styleId="FootnoteText">
    <w:name w:val="footnote text"/>
    <w:basedOn w:val="Normal"/>
    <w:link w:val="FootnoteTextChar"/>
    <w:uiPriority w:val="99"/>
    <w:semiHidden/>
    <w:unhideWhenUsed/>
    <w:rsid w:val="005165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5BF"/>
    <w:rPr>
      <w:sz w:val="20"/>
      <w:szCs w:val="20"/>
    </w:rPr>
  </w:style>
  <w:style w:type="character" w:styleId="FootnoteReference">
    <w:name w:val="footnote reference"/>
    <w:basedOn w:val="DefaultParagraphFont"/>
    <w:uiPriority w:val="99"/>
    <w:semiHidden/>
    <w:unhideWhenUsed/>
    <w:rsid w:val="005165BF"/>
    <w:rPr>
      <w:vertAlign w:val="superscript"/>
    </w:rPr>
  </w:style>
  <w:style w:type="character" w:styleId="CommentReference">
    <w:name w:val="annotation reference"/>
    <w:basedOn w:val="DefaultParagraphFont"/>
    <w:uiPriority w:val="99"/>
    <w:semiHidden/>
    <w:unhideWhenUsed/>
    <w:rsid w:val="005165BF"/>
    <w:rPr>
      <w:sz w:val="16"/>
      <w:szCs w:val="16"/>
    </w:rPr>
  </w:style>
  <w:style w:type="paragraph" w:styleId="CommentText">
    <w:name w:val="annotation text"/>
    <w:basedOn w:val="Normal"/>
    <w:link w:val="CommentTextChar"/>
    <w:uiPriority w:val="99"/>
    <w:semiHidden/>
    <w:unhideWhenUsed/>
    <w:rsid w:val="005165BF"/>
    <w:pPr>
      <w:spacing w:line="240" w:lineRule="auto"/>
    </w:pPr>
    <w:rPr>
      <w:sz w:val="20"/>
      <w:szCs w:val="20"/>
    </w:rPr>
  </w:style>
  <w:style w:type="character" w:customStyle="1" w:styleId="CommentTextChar">
    <w:name w:val="Comment Text Char"/>
    <w:basedOn w:val="DefaultParagraphFont"/>
    <w:link w:val="CommentText"/>
    <w:uiPriority w:val="99"/>
    <w:semiHidden/>
    <w:rsid w:val="005165BF"/>
    <w:rPr>
      <w:sz w:val="20"/>
      <w:szCs w:val="20"/>
    </w:rPr>
  </w:style>
  <w:style w:type="paragraph" w:styleId="CommentSubject">
    <w:name w:val="annotation subject"/>
    <w:basedOn w:val="CommentText"/>
    <w:next w:val="CommentText"/>
    <w:link w:val="CommentSubjectChar"/>
    <w:uiPriority w:val="99"/>
    <w:semiHidden/>
    <w:unhideWhenUsed/>
    <w:rsid w:val="005165BF"/>
    <w:rPr>
      <w:b/>
      <w:bCs/>
    </w:rPr>
  </w:style>
  <w:style w:type="character" w:customStyle="1" w:styleId="CommentSubjectChar">
    <w:name w:val="Comment Subject Char"/>
    <w:basedOn w:val="CommentTextChar"/>
    <w:link w:val="CommentSubject"/>
    <w:uiPriority w:val="99"/>
    <w:semiHidden/>
    <w:rsid w:val="005165BF"/>
    <w:rPr>
      <w:b/>
      <w:bCs/>
      <w:sz w:val="20"/>
      <w:szCs w:val="20"/>
    </w:rPr>
  </w:style>
  <w:style w:type="paragraph" w:styleId="Revision">
    <w:name w:val="Revision"/>
    <w:hidden/>
    <w:uiPriority w:val="99"/>
    <w:semiHidden/>
    <w:rsid w:val="00265859"/>
    <w:pPr>
      <w:spacing w:after="0" w:line="240" w:lineRule="auto"/>
    </w:pPr>
  </w:style>
  <w:style w:type="paragraph" w:styleId="NoSpacing">
    <w:name w:val="No Spacing"/>
    <w:uiPriority w:val="1"/>
    <w:qFormat/>
    <w:rsid w:val="00F30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2503">
      <w:bodyDiv w:val="1"/>
      <w:marLeft w:val="0"/>
      <w:marRight w:val="0"/>
      <w:marTop w:val="0"/>
      <w:marBottom w:val="0"/>
      <w:divBdr>
        <w:top w:val="none" w:sz="0" w:space="0" w:color="auto"/>
        <w:left w:val="none" w:sz="0" w:space="0" w:color="auto"/>
        <w:bottom w:val="none" w:sz="0" w:space="0" w:color="auto"/>
        <w:right w:val="none" w:sz="0" w:space="0" w:color="auto"/>
      </w:divBdr>
    </w:div>
    <w:div w:id="151071939">
      <w:bodyDiv w:val="1"/>
      <w:marLeft w:val="0"/>
      <w:marRight w:val="0"/>
      <w:marTop w:val="0"/>
      <w:marBottom w:val="0"/>
      <w:divBdr>
        <w:top w:val="none" w:sz="0" w:space="0" w:color="auto"/>
        <w:left w:val="none" w:sz="0" w:space="0" w:color="auto"/>
        <w:bottom w:val="none" w:sz="0" w:space="0" w:color="auto"/>
        <w:right w:val="none" w:sz="0" w:space="0" w:color="auto"/>
      </w:divBdr>
    </w:div>
    <w:div w:id="230425901">
      <w:bodyDiv w:val="1"/>
      <w:marLeft w:val="0"/>
      <w:marRight w:val="0"/>
      <w:marTop w:val="0"/>
      <w:marBottom w:val="0"/>
      <w:divBdr>
        <w:top w:val="none" w:sz="0" w:space="0" w:color="auto"/>
        <w:left w:val="none" w:sz="0" w:space="0" w:color="auto"/>
        <w:bottom w:val="none" w:sz="0" w:space="0" w:color="auto"/>
        <w:right w:val="none" w:sz="0" w:space="0" w:color="auto"/>
      </w:divBdr>
    </w:div>
    <w:div w:id="325473523">
      <w:bodyDiv w:val="1"/>
      <w:marLeft w:val="0"/>
      <w:marRight w:val="0"/>
      <w:marTop w:val="0"/>
      <w:marBottom w:val="0"/>
      <w:divBdr>
        <w:top w:val="none" w:sz="0" w:space="0" w:color="auto"/>
        <w:left w:val="none" w:sz="0" w:space="0" w:color="auto"/>
        <w:bottom w:val="none" w:sz="0" w:space="0" w:color="auto"/>
        <w:right w:val="none" w:sz="0" w:space="0" w:color="auto"/>
      </w:divBdr>
    </w:div>
    <w:div w:id="1134447068">
      <w:bodyDiv w:val="1"/>
      <w:marLeft w:val="0"/>
      <w:marRight w:val="0"/>
      <w:marTop w:val="0"/>
      <w:marBottom w:val="0"/>
      <w:divBdr>
        <w:top w:val="none" w:sz="0" w:space="0" w:color="auto"/>
        <w:left w:val="none" w:sz="0" w:space="0" w:color="auto"/>
        <w:bottom w:val="none" w:sz="0" w:space="0" w:color="auto"/>
        <w:right w:val="none" w:sz="0" w:space="0" w:color="auto"/>
      </w:divBdr>
    </w:div>
    <w:div w:id="1524787558">
      <w:bodyDiv w:val="1"/>
      <w:marLeft w:val="0"/>
      <w:marRight w:val="0"/>
      <w:marTop w:val="0"/>
      <w:marBottom w:val="0"/>
      <w:divBdr>
        <w:top w:val="none" w:sz="0" w:space="0" w:color="auto"/>
        <w:left w:val="none" w:sz="0" w:space="0" w:color="auto"/>
        <w:bottom w:val="none" w:sz="0" w:space="0" w:color="auto"/>
        <w:right w:val="none" w:sz="0" w:space="0" w:color="auto"/>
      </w:divBdr>
    </w:div>
    <w:div w:id="1762754317">
      <w:bodyDiv w:val="1"/>
      <w:marLeft w:val="0"/>
      <w:marRight w:val="0"/>
      <w:marTop w:val="0"/>
      <w:marBottom w:val="0"/>
      <w:divBdr>
        <w:top w:val="none" w:sz="0" w:space="0" w:color="auto"/>
        <w:left w:val="none" w:sz="0" w:space="0" w:color="auto"/>
        <w:bottom w:val="none" w:sz="0" w:space="0" w:color="auto"/>
        <w:right w:val="none" w:sz="0" w:space="0" w:color="auto"/>
      </w:divBdr>
      <w:divsChild>
        <w:div w:id="1642999137">
          <w:marLeft w:val="0"/>
          <w:marRight w:val="0"/>
          <w:marTop w:val="0"/>
          <w:marBottom w:val="0"/>
          <w:divBdr>
            <w:top w:val="none" w:sz="0" w:space="0" w:color="auto"/>
            <w:left w:val="none" w:sz="0" w:space="0" w:color="auto"/>
            <w:bottom w:val="none" w:sz="0" w:space="0" w:color="auto"/>
            <w:right w:val="none" w:sz="0" w:space="0" w:color="auto"/>
          </w:divBdr>
          <w:divsChild>
            <w:div w:id="2127314711">
              <w:marLeft w:val="0"/>
              <w:marRight w:val="0"/>
              <w:marTop w:val="0"/>
              <w:marBottom w:val="0"/>
              <w:divBdr>
                <w:top w:val="none" w:sz="0" w:space="0" w:color="auto"/>
                <w:left w:val="none" w:sz="0" w:space="0" w:color="auto"/>
                <w:bottom w:val="none" w:sz="0" w:space="0" w:color="auto"/>
                <w:right w:val="none" w:sz="0" w:space="0" w:color="auto"/>
              </w:divBdr>
              <w:divsChild>
                <w:div w:id="674579677">
                  <w:marLeft w:val="0"/>
                  <w:marRight w:val="0"/>
                  <w:marTop w:val="0"/>
                  <w:marBottom w:val="0"/>
                  <w:divBdr>
                    <w:top w:val="none" w:sz="0" w:space="0" w:color="auto"/>
                    <w:left w:val="none" w:sz="0" w:space="0" w:color="auto"/>
                    <w:bottom w:val="none" w:sz="0" w:space="0" w:color="auto"/>
                    <w:right w:val="none" w:sz="0" w:space="0" w:color="auto"/>
                  </w:divBdr>
                  <w:divsChild>
                    <w:div w:id="548221806">
                      <w:marLeft w:val="0"/>
                      <w:marRight w:val="0"/>
                      <w:marTop w:val="0"/>
                      <w:marBottom w:val="0"/>
                      <w:divBdr>
                        <w:top w:val="none" w:sz="0" w:space="0" w:color="auto"/>
                        <w:left w:val="none" w:sz="0" w:space="0" w:color="auto"/>
                        <w:bottom w:val="none" w:sz="0" w:space="0" w:color="auto"/>
                        <w:right w:val="none" w:sz="0" w:space="0" w:color="auto"/>
                      </w:divBdr>
                      <w:divsChild>
                        <w:div w:id="1400593138">
                          <w:marLeft w:val="0"/>
                          <w:marRight w:val="0"/>
                          <w:marTop w:val="0"/>
                          <w:marBottom w:val="0"/>
                          <w:divBdr>
                            <w:top w:val="none" w:sz="0" w:space="0" w:color="auto"/>
                            <w:left w:val="none" w:sz="0" w:space="0" w:color="auto"/>
                            <w:bottom w:val="none" w:sz="0" w:space="0" w:color="auto"/>
                            <w:right w:val="none" w:sz="0" w:space="0" w:color="auto"/>
                          </w:divBdr>
                          <w:divsChild>
                            <w:div w:id="1119570734">
                              <w:marLeft w:val="0"/>
                              <w:marRight w:val="0"/>
                              <w:marTop w:val="0"/>
                              <w:marBottom w:val="0"/>
                              <w:divBdr>
                                <w:top w:val="none" w:sz="0" w:space="0" w:color="auto"/>
                                <w:left w:val="none" w:sz="0" w:space="0" w:color="auto"/>
                                <w:bottom w:val="none" w:sz="0" w:space="0" w:color="auto"/>
                                <w:right w:val="none" w:sz="0" w:space="0" w:color="auto"/>
                              </w:divBdr>
                              <w:divsChild>
                                <w:div w:id="757169052">
                                  <w:marLeft w:val="0"/>
                                  <w:marRight w:val="0"/>
                                  <w:marTop w:val="0"/>
                                  <w:marBottom w:val="0"/>
                                  <w:divBdr>
                                    <w:top w:val="none" w:sz="0" w:space="0" w:color="auto"/>
                                    <w:left w:val="none" w:sz="0" w:space="0" w:color="auto"/>
                                    <w:bottom w:val="none" w:sz="0" w:space="0" w:color="auto"/>
                                    <w:right w:val="none" w:sz="0" w:space="0" w:color="auto"/>
                                  </w:divBdr>
                                  <w:divsChild>
                                    <w:div w:id="21257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4507">
      <w:bodyDiv w:val="1"/>
      <w:marLeft w:val="0"/>
      <w:marRight w:val="0"/>
      <w:marTop w:val="0"/>
      <w:marBottom w:val="0"/>
      <w:divBdr>
        <w:top w:val="none" w:sz="0" w:space="0" w:color="auto"/>
        <w:left w:val="none" w:sz="0" w:space="0" w:color="auto"/>
        <w:bottom w:val="none" w:sz="0" w:space="0" w:color="auto"/>
        <w:right w:val="none" w:sz="0" w:space="0" w:color="auto"/>
      </w:divBdr>
    </w:div>
    <w:div w:id="2084378093">
      <w:bodyDiv w:val="1"/>
      <w:marLeft w:val="0"/>
      <w:marRight w:val="0"/>
      <w:marTop w:val="0"/>
      <w:marBottom w:val="0"/>
      <w:divBdr>
        <w:top w:val="none" w:sz="0" w:space="0" w:color="auto"/>
        <w:left w:val="none" w:sz="0" w:space="0" w:color="auto"/>
        <w:bottom w:val="none" w:sz="0" w:space="0" w:color="auto"/>
        <w:right w:val="none" w:sz="0" w:space="0" w:color="auto"/>
      </w:divBdr>
    </w:div>
    <w:div w:id="20925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64362-D832-4413-8890-4EBF2768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dc:creator>
  <cp:keywords/>
  <dc:description/>
  <cp:lastModifiedBy>usr</cp:lastModifiedBy>
  <cp:revision>7</cp:revision>
  <dcterms:created xsi:type="dcterms:W3CDTF">2025-05-20T06:40:00Z</dcterms:created>
  <dcterms:modified xsi:type="dcterms:W3CDTF">2025-05-22T07:28:00Z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7d612408-ee8d-4037-9662-234d753c450c</vt:lpwstr>
  </property>
</Properties>
</file>