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421" w:rsidRDefault="00376421" w:rsidP="00756E65">
      <w:pPr>
        <w:spacing w:after="0" w:line="240" w:lineRule="auto"/>
        <w:jc w:val="both"/>
        <w:rPr>
          <w:rFonts w:ascii="Times New Roman" w:eastAsia="Calibri" w:hAnsi="Times New Roman" w:cs="Times New Roman"/>
          <w:b/>
          <w:sz w:val="24"/>
          <w:szCs w:val="24"/>
          <w:u w:val="single"/>
        </w:rPr>
      </w:pPr>
      <w:bookmarkStart w:id="0" w:name="_GoBack"/>
      <w:bookmarkEnd w:id="0"/>
    </w:p>
    <w:p w:rsidR="00756E65" w:rsidRPr="00756E65" w:rsidRDefault="00756E65" w:rsidP="00756E65">
      <w:pPr>
        <w:spacing w:after="0" w:line="240" w:lineRule="auto"/>
        <w:jc w:val="both"/>
        <w:rPr>
          <w:rFonts w:ascii="Times New Roman" w:eastAsia="Calibri" w:hAnsi="Times New Roman" w:cs="Times New Roman"/>
          <w:b/>
          <w:sz w:val="24"/>
          <w:szCs w:val="24"/>
        </w:rPr>
      </w:pPr>
      <w:r w:rsidRPr="00756E65">
        <w:rPr>
          <w:rFonts w:ascii="Times New Roman" w:eastAsia="Calibri" w:hAnsi="Times New Roman" w:cs="Times New Roman"/>
          <w:b/>
          <w:sz w:val="24"/>
          <w:szCs w:val="24"/>
          <w:u w:val="single"/>
        </w:rPr>
        <w:t>REPORTABLE:</w:t>
      </w:r>
      <w:r w:rsidRPr="00756E65">
        <w:rPr>
          <w:rFonts w:ascii="Times New Roman" w:eastAsia="Calibri" w:hAnsi="Times New Roman" w:cs="Times New Roman"/>
          <w:b/>
          <w:sz w:val="24"/>
          <w:szCs w:val="24"/>
        </w:rPr>
        <w:tab/>
        <w:t>(85)</w:t>
      </w:r>
    </w:p>
    <w:p w:rsidR="00756E65" w:rsidRDefault="00756E65" w:rsidP="0081415A">
      <w:pPr>
        <w:spacing w:after="0" w:line="240" w:lineRule="auto"/>
        <w:ind w:left="5040" w:firstLine="720"/>
        <w:jc w:val="both"/>
        <w:rPr>
          <w:rFonts w:ascii="Times New Roman" w:eastAsia="Calibri" w:hAnsi="Times New Roman" w:cs="Times New Roman"/>
          <w:sz w:val="24"/>
          <w:szCs w:val="24"/>
        </w:rPr>
      </w:pPr>
    </w:p>
    <w:p w:rsidR="00756E65" w:rsidRPr="00F530B0" w:rsidRDefault="00756E65" w:rsidP="0081415A">
      <w:pPr>
        <w:spacing w:after="0" w:line="240" w:lineRule="auto"/>
        <w:ind w:left="5040" w:firstLine="720"/>
        <w:jc w:val="both"/>
        <w:rPr>
          <w:rFonts w:ascii="Times New Roman" w:eastAsia="Calibri" w:hAnsi="Times New Roman" w:cs="Times New Roman"/>
          <w:sz w:val="24"/>
          <w:szCs w:val="24"/>
        </w:rPr>
      </w:pPr>
    </w:p>
    <w:p w:rsidR="008E479C" w:rsidRPr="00F530B0" w:rsidRDefault="008E479C" w:rsidP="0081415A">
      <w:pPr>
        <w:spacing w:after="0" w:line="240" w:lineRule="auto"/>
        <w:jc w:val="both"/>
        <w:rPr>
          <w:rFonts w:ascii="Times New Roman" w:eastAsia="Calibri" w:hAnsi="Times New Roman" w:cs="Times New Roman"/>
          <w:b/>
          <w:sz w:val="24"/>
          <w:szCs w:val="24"/>
        </w:rPr>
      </w:pPr>
    </w:p>
    <w:p w:rsidR="008E479C" w:rsidRPr="00F530B0" w:rsidRDefault="0000273D" w:rsidP="004661AB">
      <w:pPr>
        <w:spacing w:after="0" w:line="240" w:lineRule="auto"/>
        <w:jc w:val="center"/>
        <w:rPr>
          <w:rFonts w:ascii="Times New Roman" w:eastAsia="Calibri" w:hAnsi="Times New Roman" w:cs="Times New Roman"/>
          <w:b/>
          <w:sz w:val="24"/>
          <w:szCs w:val="24"/>
        </w:rPr>
      </w:pPr>
      <w:r w:rsidRPr="00F530B0">
        <w:rPr>
          <w:rFonts w:ascii="Times New Roman" w:eastAsia="Calibri" w:hAnsi="Times New Roman" w:cs="Times New Roman"/>
          <w:b/>
          <w:sz w:val="24"/>
          <w:szCs w:val="24"/>
        </w:rPr>
        <w:t>THE</w:t>
      </w:r>
      <w:r w:rsidR="003A0910" w:rsidRPr="00F530B0">
        <w:rPr>
          <w:rFonts w:ascii="Times New Roman" w:eastAsia="Calibri" w:hAnsi="Times New Roman" w:cs="Times New Roman"/>
          <w:b/>
          <w:sz w:val="24"/>
          <w:szCs w:val="24"/>
        </w:rPr>
        <w:t xml:space="preserve">     </w:t>
      </w:r>
      <w:r w:rsidRPr="00F530B0">
        <w:rPr>
          <w:rFonts w:ascii="Times New Roman" w:eastAsia="Calibri" w:hAnsi="Times New Roman" w:cs="Times New Roman"/>
          <w:b/>
          <w:sz w:val="24"/>
          <w:szCs w:val="24"/>
        </w:rPr>
        <w:t xml:space="preserve"> COMMISSIONER</w:t>
      </w:r>
      <w:r w:rsidR="003A0910" w:rsidRPr="00F530B0">
        <w:rPr>
          <w:rFonts w:ascii="Times New Roman" w:eastAsia="Calibri" w:hAnsi="Times New Roman" w:cs="Times New Roman"/>
          <w:b/>
          <w:sz w:val="24"/>
          <w:szCs w:val="24"/>
        </w:rPr>
        <w:t xml:space="preserve">     </w:t>
      </w:r>
      <w:r w:rsidRPr="00F530B0">
        <w:rPr>
          <w:rFonts w:ascii="Times New Roman" w:eastAsia="Calibri" w:hAnsi="Times New Roman" w:cs="Times New Roman"/>
          <w:b/>
          <w:sz w:val="24"/>
          <w:szCs w:val="24"/>
        </w:rPr>
        <w:t xml:space="preserve"> GENERAL</w:t>
      </w:r>
      <w:r w:rsidR="003A0910" w:rsidRPr="00F530B0">
        <w:rPr>
          <w:rFonts w:ascii="Times New Roman" w:eastAsia="Calibri" w:hAnsi="Times New Roman" w:cs="Times New Roman"/>
          <w:b/>
          <w:sz w:val="24"/>
          <w:szCs w:val="24"/>
        </w:rPr>
        <w:t xml:space="preserve">     </w:t>
      </w:r>
      <w:r w:rsidRPr="00F530B0">
        <w:rPr>
          <w:rFonts w:ascii="Times New Roman" w:eastAsia="Calibri" w:hAnsi="Times New Roman" w:cs="Times New Roman"/>
          <w:b/>
          <w:sz w:val="24"/>
          <w:szCs w:val="24"/>
        </w:rPr>
        <w:t>-</w:t>
      </w:r>
      <w:r w:rsidR="003A0910" w:rsidRPr="00F530B0">
        <w:rPr>
          <w:rFonts w:ascii="Times New Roman" w:eastAsia="Calibri" w:hAnsi="Times New Roman" w:cs="Times New Roman"/>
          <w:b/>
          <w:sz w:val="24"/>
          <w:szCs w:val="24"/>
        </w:rPr>
        <w:t xml:space="preserve">     </w:t>
      </w:r>
      <w:r w:rsidRPr="00F530B0">
        <w:rPr>
          <w:rFonts w:ascii="Times New Roman" w:eastAsia="Calibri" w:hAnsi="Times New Roman" w:cs="Times New Roman"/>
          <w:b/>
          <w:sz w:val="24"/>
          <w:szCs w:val="24"/>
        </w:rPr>
        <w:t>ZIMBABWE</w:t>
      </w:r>
      <w:r w:rsidR="003A0910" w:rsidRPr="00F530B0">
        <w:rPr>
          <w:rFonts w:ascii="Times New Roman" w:eastAsia="Calibri" w:hAnsi="Times New Roman" w:cs="Times New Roman"/>
          <w:b/>
          <w:sz w:val="24"/>
          <w:szCs w:val="24"/>
        </w:rPr>
        <w:t xml:space="preserve">     </w:t>
      </w:r>
      <w:r w:rsidRPr="00F530B0">
        <w:rPr>
          <w:rFonts w:ascii="Times New Roman" w:eastAsia="Calibri" w:hAnsi="Times New Roman" w:cs="Times New Roman"/>
          <w:b/>
          <w:sz w:val="24"/>
          <w:szCs w:val="24"/>
        </w:rPr>
        <w:t xml:space="preserve"> REVENUE AUTHORITY</w:t>
      </w:r>
    </w:p>
    <w:p w:rsidR="008E479C" w:rsidRPr="00F530B0" w:rsidRDefault="008E479C" w:rsidP="004661AB">
      <w:pPr>
        <w:spacing w:after="0" w:line="240" w:lineRule="auto"/>
        <w:jc w:val="center"/>
        <w:rPr>
          <w:rFonts w:ascii="Times New Roman" w:eastAsia="Calibri" w:hAnsi="Times New Roman" w:cs="Times New Roman"/>
          <w:b/>
          <w:sz w:val="24"/>
          <w:szCs w:val="24"/>
        </w:rPr>
      </w:pPr>
      <w:r w:rsidRPr="00F530B0">
        <w:rPr>
          <w:rFonts w:ascii="Times New Roman" w:eastAsia="Calibri" w:hAnsi="Times New Roman" w:cs="Times New Roman"/>
          <w:b/>
          <w:sz w:val="24"/>
          <w:szCs w:val="24"/>
        </w:rPr>
        <w:t>v</w:t>
      </w:r>
    </w:p>
    <w:p w:rsidR="008E479C" w:rsidRPr="00F530B0" w:rsidRDefault="0000273D" w:rsidP="004661AB">
      <w:pPr>
        <w:spacing w:after="0" w:line="240" w:lineRule="auto"/>
        <w:contextualSpacing/>
        <w:jc w:val="center"/>
        <w:rPr>
          <w:rFonts w:ascii="Times New Roman" w:eastAsia="Calibri" w:hAnsi="Times New Roman" w:cs="Times New Roman"/>
          <w:b/>
          <w:sz w:val="24"/>
          <w:szCs w:val="24"/>
        </w:rPr>
      </w:pPr>
      <w:r w:rsidRPr="00F530B0">
        <w:rPr>
          <w:rFonts w:ascii="Times New Roman" w:eastAsia="Calibri" w:hAnsi="Times New Roman" w:cs="Times New Roman"/>
          <w:b/>
          <w:sz w:val="24"/>
          <w:szCs w:val="24"/>
        </w:rPr>
        <w:t>BENCHMAN</w:t>
      </w:r>
      <w:r w:rsidR="003A0910" w:rsidRPr="00F530B0">
        <w:rPr>
          <w:rFonts w:ascii="Times New Roman" w:eastAsia="Calibri" w:hAnsi="Times New Roman" w:cs="Times New Roman"/>
          <w:b/>
          <w:sz w:val="24"/>
          <w:szCs w:val="24"/>
        </w:rPr>
        <w:t xml:space="preserve">     </w:t>
      </w:r>
      <w:r w:rsidRPr="00F530B0">
        <w:rPr>
          <w:rFonts w:ascii="Times New Roman" w:eastAsia="Calibri" w:hAnsi="Times New Roman" w:cs="Times New Roman"/>
          <w:b/>
          <w:sz w:val="24"/>
          <w:szCs w:val="24"/>
        </w:rPr>
        <w:t xml:space="preserve"> INVESTMENTS </w:t>
      </w:r>
      <w:r w:rsidR="003A0910" w:rsidRPr="00F530B0">
        <w:rPr>
          <w:rFonts w:ascii="Times New Roman" w:eastAsia="Calibri" w:hAnsi="Times New Roman" w:cs="Times New Roman"/>
          <w:b/>
          <w:sz w:val="24"/>
          <w:szCs w:val="24"/>
        </w:rPr>
        <w:t xml:space="preserve">     </w:t>
      </w:r>
      <w:r w:rsidRPr="00F530B0">
        <w:rPr>
          <w:rFonts w:ascii="Times New Roman" w:eastAsia="Calibri" w:hAnsi="Times New Roman" w:cs="Times New Roman"/>
          <w:b/>
          <w:sz w:val="24"/>
          <w:szCs w:val="24"/>
        </w:rPr>
        <w:t>(PRIVATE)</w:t>
      </w:r>
      <w:r w:rsidR="003A0910" w:rsidRPr="00F530B0">
        <w:rPr>
          <w:rFonts w:ascii="Times New Roman" w:eastAsia="Calibri" w:hAnsi="Times New Roman" w:cs="Times New Roman"/>
          <w:b/>
          <w:sz w:val="24"/>
          <w:szCs w:val="24"/>
        </w:rPr>
        <w:t xml:space="preserve">     </w:t>
      </w:r>
      <w:r w:rsidRPr="00F530B0">
        <w:rPr>
          <w:rFonts w:ascii="Times New Roman" w:eastAsia="Calibri" w:hAnsi="Times New Roman" w:cs="Times New Roman"/>
          <w:b/>
          <w:sz w:val="24"/>
          <w:szCs w:val="24"/>
        </w:rPr>
        <w:t xml:space="preserve"> LIMITED</w:t>
      </w:r>
    </w:p>
    <w:p w:rsidR="008E479C" w:rsidRPr="00F530B0" w:rsidRDefault="008E479C" w:rsidP="004661AB">
      <w:pPr>
        <w:spacing w:after="0" w:line="240" w:lineRule="auto"/>
        <w:jc w:val="center"/>
        <w:rPr>
          <w:rFonts w:ascii="Times New Roman" w:eastAsia="Calibri" w:hAnsi="Times New Roman" w:cs="Times New Roman"/>
          <w:sz w:val="24"/>
          <w:szCs w:val="24"/>
        </w:rPr>
      </w:pPr>
    </w:p>
    <w:p w:rsidR="008E479C" w:rsidRPr="00F530B0" w:rsidRDefault="008E479C" w:rsidP="004661AB">
      <w:pPr>
        <w:spacing w:after="0" w:line="240" w:lineRule="auto"/>
        <w:jc w:val="center"/>
        <w:rPr>
          <w:rFonts w:ascii="Times New Roman" w:eastAsia="Calibri" w:hAnsi="Times New Roman" w:cs="Times New Roman"/>
          <w:sz w:val="24"/>
          <w:szCs w:val="24"/>
        </w:rPr>
      </w:pPr>
    </w:p>
    <w:p w:rsidR="008E479C" w:rsidRPr="00F530B0" w:rsidRDefault="008E479C" w:rsidP="0081415A">
      <w:pPr>
        <w:spacing w:after="0" w:line="240" w:lineRule="auto"/>
        <w:jc w:val="both"/>
        <w:rPr>
          <w:rFonts w:ascii="Times New Roman" w:eastAsia="Calibri" w:hAnsi="Times New Roman" w:cs="Times New Roman"/>
          <w:sz w:val="24"/>
          <w:szCs w:val="24"/>
        </w:rPr>
      </w:pPr>
    </w:p>
    <w:p w:rsidR="005C01EC" w:rsidRPr="00F530B0" w:rsidRDefault="005C01EC" w:rsidP="0081415A">
      <w:pPr>
        <w:spacing w:after="0" w:line="240" w:lineRule="auto"/>
        <w:jc w:val="both"/>
        <w:rPr>
          <w:rFonts w:ascii="Times New Roman" w:eastAsia="Calibri" w:hAnsi="Times New Roman" w:cs="Times New Roman"/>
          <w:sz w:val="24"/>
          <w:szCs w:val="24"/>
        </w:rPr>
      </w:pPr>
    </w:p>
    <w:p w:rsidR="008E479C" w:rsidRPr="00F530B0" w:rsidRDefault="008E479C" w:rsidP="0081415A">
      <w:pPr>
        <w:spacing w:after="0" w:line="240" w:lineRule="auto"/>
        <w:jc w:val="both"/>
        <w:rPr>
          <w:rFonts w:ascii="Times New Roman" w:eastAsia="Calibri" w:hAnsi="Times New Roman" w:cs="Times New Roman"/>
          <w:b/>
          <w:sz w:val="24"/>
          <w:szCs w:val="24"/>
        </w:rPr>
      </w:pPr>
      <w:r w:rsidRPr="00F530B0">
        <w:rPr>
          <w:rFonts w:ascii="Times New Roman" w:eastAsia="Calibri" w:hAnsi="Times New Roman" w:cs="Times New Roman"/>
          <w:b/>
          <w:sz w:val="24"/>
          <w:szCs w:val="24"/>
        </w:rPr>
        <w:t>SUPREME COURT OF ZIMBABWE</w:t>
      </w:r>
    </w:p>
    <w:p w:rsidR="008E479C" w:rsidRPr="00F530B0" w:rsidRDefault="003A0910" w:rsidP="0081415A">
      <w:pPr>
        <w:spacing w:after="0" w:line="240" w:lineRule="auto"/>
        <w:jc w:val="both"/>
        <w:rPr>
          <w:rFonts w:ascii="Times New Roman" w:eastAsia="Calibri" w:hAnsi="Times New Roman" w:cs="Times New Roman"/>
          <w:b/>
          <w:sz w:val="24"/>
          <w:szCs w:val="24"/>
        </w:rPr>
      </w:pPr>
      <w:r w:rsidRPr="00F530B0">
        <w:rPr>
          <w:rFonts w:ascii="Times New Roman" w:eastAsia="Calibri" w:hAnsi="Times New Roman" w:cs="Times New Roman"/>
          <w:b/>
          <w:sz w:val="24"/>
          <w:szCs w:val="24"/>
        </w:rPr>
        <w:t xml:space="preserve">GWAUNZA DCJ, </w:t>
      </w:r>
      <w:r w:rsidR="00696E0F" w:rsidRPr="00F530B0">
        <w:rPr>
          <w:rFonts w:ascii="Times New Roman" w:eastAsia="Calibri" w:hAnsi="Times New Roman" w:cs="Times New Roman"/>
          <w:b/>
          <w:sz w:val="24"/>
          <w:szCs w:val="24"/>
        </w:rPr>
        <w:t>BHUNU</w:t>
      </w:r>
      <w:r w:rsidR="008E479C" w:rsidRPr="00F530B0">
        <w:rPr>
          <w:rFonts w:ascii="Times New Roman" w:eastAsia="Calibri" w:hAnsi="Times New Roman" w:cs="Times New Roman"/>
          <w:b/>
          <w:sz w:val="24"/>
          <w:szCs w:val="24"/>
        </w:rPr>
        <w:t xml:space="preserve"> JA &amp; MATHONSI JA</w:t>
      </w:r>
    </w:p>
    <w:p w:rsidR="008E479C" w:rsidRPr="00F530B0" w:rsidRDefault="008E479C" w:rsidP="0081415A">
      <w:pPr>
        <w:spacing w:after="0" w:line="240" w:lineRule="auto"/>
        <w:jc w:val="both"/>
        <w:rPr>
          <w:rFonts w:ascii="Times New Roman" w:eastAsia="Calibri" w:hAnsi="Times New Roman" w:cs="Times New Roman"/>
          <w:b/>
          <w:sz w:val="24"/>
          <w:szCs w:val="24"/>
        </w:rPr>
      </w:pPr>
      <w:r w:rsidRPr="00F530B0">
        <w:rPr>
          <w:rFonts w:ascii="Times New Roman" w:eastAsia="Calibri" w:hAnsi="Times New Roman" w:cs="Times New Roman"/>
          <w:b/>
          <w:sz w:val="24"/>
          <w:szCs w:val="24"/>
        </w:rPr>
        <w:t>HARARE:</w:t>
      </w:r>
      <w:r w:rsidR="00FB4BAB" w:rsidRPr="00F530B0">
        <w:rPr>
          <w:rFonts w:ascii="Times New Roman" w:eastAsia="Calibri" w:hAnsi="Times New Roman" w:cs="Times New Roman"/>
          <w:b/>
          <w:sz w:val="24"/>
          <w:szCs w:val="24"/>
        </w:rPr>
        <w:t xml:space="preserve">  1 JUNE </w:t>
      </w:r>
      <w:r w:rsidR="009D56B3" w:rsidRPr="00F530B0">
        <w:rPr>
          <w:rFonts w:ascii="Times New Roman" w:eastAsia="Calibri" w:hAnsi="Times New Roman" w:cs="Times New Roman"/>
          <w:b/>
          <w:sz w:val="24"/>
          <w:szCs w:val="24"/>
        </w:rPr>
        <w:t>2021</w:t>
      </w:r>
      <w:r w:rsidRPr="00F530B0">
        <w:rPr>
          <w:rFonts w:ascii="Times New Roman" w:eastAsia="Calibri" w:hAnsi="Times New Roman" w:cs="Times New Roman"/>
          <w:b/>
          <w:sz w:val="24"/>
          <w:szCs w:val="24"/>
        </w:rPr>
        <w:t xml:space="preserve"> &amp;</w:t>
      </w:r>
      <w:r w:rsidR="00F530B0">
        <w:rPr>
          <w:rFonts w:ascii="Times New Roman" w:eastAsia="Calibri" w:hAnsi="Times New Roman" w:cs="Times New Roman"/>
          <w:b/>
          <w:sz w:val="24"/>
          <w:szCs w:val="24"/>
        </w:rPr>
        <w:t xml:space="preserve"> 19 JULY 2021</w:t>
      </w:r>
    </w:p>
    <w:p w:rsidR="008E479C" w:rsidRPr="00F530B0" w:rsidRDefault="008E479C" w:rsidP="0081415A">
      <w:pPr>
        <w:spacing w:after="0" w:line="480" w:lineRule="auto"/>
        <w:jc w:val="both"/>
        <w:rPr>
          <w:rFonts w:ascii="Times New Roman" w:eastAsia="Calibri" w:hAnsi="Times New Roman" w:cs="Times New Roman"/>
          <w:b/>
          <w:sz w:val="24"/>
          <w:szCs w:val="24"/>
        </w:rPr>
      </w:pPr>
    </w:p>
    <w:p w:rsidR="005C01EC" w:rsidRPr="00F530B0" w:rsidRDefault="005C01EC" w:rsidP="00C82698">
      <w:pPr>
        <w:spacing w:after="0" w:line="240" w:lineRule="auto"/>
        <w:jc w:val="both"/>
        <w:rPr>
          <w:rFonts w:ascii="Times New Roman" w:eastAsia="Calibri" w:hAnsi="Times New Roman" w:cs="Times New Roman"/>
          <w:b/>
          <w:sz w:val="24"/>
          <w:szCs w:val="24"/>
        </w:rPr>
      </w:pPr>
    </w:p>
    <w:p w:rsidR="008E479C" w:rsidRPr="00F530B0" w:rsidRDefault="00C12691" w:rsidP="0081415A">
      <w:pPr>
        <w:spacing w:after="0" w:line="480" w:lineRule="auto"/>
        <w:jc w:val="both"/>
        <w:rPr>
          <w:rFonts w:ascii="Times New Roman" w:eastAsia="Calibri" w:hAnsi="Times New Roman" w:cs="Times New Roman"/>
          <w:sz w:val="24"/>
          <w:szCs w:val="24"/>
        </w:rPr>
      </w:pPr>
      <w:r w:rsidRPr="00F530B0">
        <w:rPr>
          <w:rFonts w:ascii="Times New Roman" w:eastAsia="Calibri" w:hAnsi="Times New Roman" w:cs="Times New Roman"/>
          <w:i/>
          <w:sz w:val="24"/>
          <w:szCs w:val="24"/>
        </w:rPr>
        <w:t>G. Sithole</w:t>
      </w:r>
      <w:r w:rsidRPr="00F530B0">
        <w:rPr>
          <w:rFonts w:ascii="Times New Roman" w:eastAsia="Calibri" w:hAnsi="Times New Roman" w:cs="Times New Roman"/>
          <w:sz w:val="24"/>
          <w:szCs w:val="24"/>
        </w:rPr>
        <w:t>, for</w:t>
      </w:r>
      <w:r w:rsidR="008E479C" w:rsidRPr="00F530B0">
        <w:rPr>
          <w:rFonts w:ascii="Times New Roman" w:eastAsia="Calibri" w:hAnsi="Times New Roman" w:cs="Times New Roman"/>
          <w:sz w:val="24"/>
          <w:szCs w:val="24"/>
        </w:rPr>
        <w:t xml:space="preserve"> the appellant</w:t>
      </w:r>
    </w:p>
    <w:p w:rsidR="008E479C" w:rsidRPr="00F530B0" w:rsidRDefault="00C12691" w:rsidP="0081415A">
      <w:pPr>
        <w:spacing w:after="0" w:line="480" w:lineRule="auto"/>
        <w:jc w:val="both"/>
        <w:rPr>
          <w:rFonts w:ascii="Times New Roman" w:eastAsia="Calibri" w:hAnsi="Times New Roman" w:cs="Times New Roman"/>
          <w:sz w:val="24"/>
          <w:szCs w:val="24"/>
        </w:rPr>
      </w:pPr>
      <w:r w:rsidRPr="00F530B0">
        <w:rPr>
          <w:rFonts w:ascii="Times New Roman" w:eastAsia="Calibri" w:hAnsi="Times New Roman" w:cs="Times New Roman"/>
          <w:i/>
          <w:sz w:val="24"/>
          <w:szCs w:val="24"/>
        </w:rPr>
        <w:t>S.M. Hashiti</w:t>
      </w:r>
      <w:r w:rsidR="008E479C" w:rsidRPr="00F530B0">
        <w:rPr>
          <w:rFonts w:ascii="Times New Roman" w:eastAsia="Calibri" w:hAnsi="Times New Roman" w:cs="Times New Roman"/>
          <w:i/>
          <w:sz w:val="24"/>
          <w:szCs w:val="24"/>
        </w:rPr>
        <w:t xml:space="preserve">, </w:t>
      </w:r>
      <w:r w:rsidR="008E479C" w:rsidRPr="00F530B0">
        <w:rPr>
          <w:rFonts w:ascii="Times New Roman" w:eastAsia="Calibri" w:hAnsi="Times New Roman" w:cs="Times New Roman"/>
          <w:sz w:val="24"/>
          <w:szCs w:val="24"/>
        </w:rPr>
        <w:t xml:space="preserve">for </w:t>
      </w:r>
      <w:r w:rsidR="009D56B3" w:rsidRPr="00F530B0">
        <w:rPr>
          <w:rFonts w:ascii="Times New Roman" w:eastAsia="Calibri" w:hAnsi="Times New Roman" w:cs="Times New Roman"/>
          <w:sz w:val="24"/>
          <w:szCs w:val="24"/>
        </w:rPr>
        <w:t>the respondent</w:t>
      </w:r>
    </w:p>
    <w:p w:rsidR="008E479C" w:rsidRPr="00F530B0" w:rsidRDefault="008E479C" w:rsidP="0081415A">
      <w:pPr>
        <w:spacing w:after="0" w:line="480" w:lineRule="auto"/>
        <w:jc w:val="both"/>
        <w:rPr>
          <w:rFonts w:ascii="Times New Roman" w:eastAsia="Calibri" w:hAnsi="Times New Roman" w:cs="Times New Roman"/>
          <w:sz w:val="24"/>
          <w:szCs w:val="24"/>
        </w:rPr>
      </w:pPr>
    </w:p>
    <w:p w:rsidR="00434AB5" w:rsidRPr="00F530B0" w:rsidRDefault="008E479C" w:rsidP="0081415A">
      <w:pPr>
        <w:spacing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b/>
          <w:sz w:val="24"/>
          <w:szCs w:val="24"/>
        </w:rPr>
        <w:t>MATHONSI JA:</w:t>
      </w:r>
      <w:r w:rsidRPr="00F530B0">
        <w:rPr>
          <w:rFonts w:ascii="Times New Roman" w:eastAsia="Calibri" w:hAnsi="Times New Roman" w:cs="Times New Roman"/>
          <w:sz w:val="24"/>
          <w:szCs w:val="24"/>
        </w:rPr>
        <w:t xml:space="preserve"> </w:t>
      </w:r>
      <w:r w:rsidRPr="00F530B0">
        <w:rPr>
          <w:rFonts w:ascii="Times New Roman" w:eastAsia="Calibri" w:hAnsi="Times New Roman" w:cs="Times New Roman"/>
          <w:sz w:val="24"/>
          <w:szCs w:val="24"/>
        </w:rPr>
        <w:tab/>
      </w:r>
      <w:r w:rsidR="00010E93" w:rsidRPr="00F530B0">
        <w:rPr>
          <w:rFonts w:ascii="Times New Roman" w:eastAsia="Calibri" w:hAnsi="Times New Roman" w:cs="Times New Roman"/>
          <w:sz w:val="24"/>
          <w:szCs w:val="24"/>
        </w:rPr>
        <w:t>On 12 February 2020, the High Court handed down judgment directing the appellant to refund to the respondent the sum of ZWL 545 058, 14 together with interest at the prescribed rate reckoned from September 2002.  It also ordered the appellant to pay the respondent’s costs of suit.  This appeal is against the whole of that judgment.</w:t>
      </w:r>
    </w:p>
    <w:p w:rsidR="00010E93" w:rsidRPr="00F530B0" w:rsidRDefault="00010E93" w:rsidP="0081415A">
      <w:pPr>
        <w:spacing w:line="240" w:lineRule="auto"/>
        <w:ind w:firstLine="1134"/>
        <w:jc w:val="both"/>
        <w:rPr>
          <w:rFonts w:ascii="Times New Roman" w:eastAsia="Calibri" w:hAnsi="Times New Roman" w:cs="Times New Roman"/>
          <w:sz w:val="24"/>
          <w:szCs w:val="24"/>
        </w:rPr>
      </w:pPr>
    </w:p>
    <w:p w:rsidR="00010E93" w:rsidRPr="00F530B0" w:rsidRDefault="00010E93" w:rsidP="0081415A">
      <w:pPr>
        <w:spacing w:line="480" w:lineRule="auto"/>
        <w:jc w:val="both"/>
        <w:rPr>
          <w:rFonts w:ascii="Times New Roman" w:eastAsia="Calibri" w:hAnsi="Times New Roman" w:cs="Times New Roman"/>
          <w:b/>
          <w:sz w:val="24"/>
          <w:szCs w:val="24"/>
        </w:rPr>
      </w:pPr>
      <w:r w:rsidRPr="00F530B0">
        <w:rPr>
          <w:rFonts w:ascii="Times New Roman" w:eastAsia="Calibri" w:hAnsi="Times New Roman" w:cs="Times New Roman"/>
          <w:b/>
          <w:sz w:val="24"/>
          <w:szCs w:val="24"/>
        </w:rPr>
        <w:t>BACKGROUND</w:t>
      </w:r>
    </w:p>
    <w:p w:rsidR="00010E93" w:rsidRPr="00F530B0" w:rsidRDefault="00010E93" w:rsidP="0081415A">
      <w:pPr>
        <w:spacing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On 18 June 2002 the respondent, which is</w:t>
      </w:r>
      <w:r w:rsidR="00301EA4">
        <w:rPr>
          <w:rFonts w:ascii="Times New Roman" w:eastAsia="Calibri" w:hAnsi="Times New Roman" w:cs="Times New Roman"/>
          <w:sz w:val="24"/>
          <w:szCs w:val="24"/>
        </w:rPr>
        <w:t xml:space="preserve"> an</w:t>
      </w:r>
      <w:r w:rsidRPr="00F530B0">
        <w:rPr>
          <w:rFonts w:ascii="Times New Roman" w:eastAsia="Calibri" w:hAnsi="Times New Roman" w:cs="Times New Roman"/>
          <w:sz w:val="24"/>
          <w:szCs w:val="24"/>
        </w:rPr>
        <w:t xml:space="preserve"> </w:t>
      </w:r>
      <w:r w:rsidR="00426516" w:rsidRPr="00F530B0">
        <w:rPr>
          <w:rFonts w:ascii="Times New Roman" w:eastAsia="Calibri" w:hAnsi="Times New Roman" w:cs="Times New Roman"/>
          <w:sz w:val="24"/>
          <w:szCs w:val="24"/>
        </w:rPr>
        <w:t>incorporation</w:t>
      </w:r>
      <w:r w:rsidRPr="00F530B0">
        <w:rPr>
          <w:rFonts w:ascii="Times New Roman" w:eastAsia="Calibri" w:hAnsi="Times New Roman" w:cs="Times New Roman"/>
          <w:sz w:val="24"/>
          <w:szCs w:val="24"/>
        </w:rPr>
        <w:t xml:space="preserve"> registered in Zimbabwe, purchased 30 motor vehicles from Japan which</w:t>
      </w:r>
      <w:r w:rsidR="00191660" w:rsidRPr="00F530B0">
        <w:rPr>
          <w:rFonts w:ascii="Times New Roman" w:eastAsia="Calibri" w:hAnsi="Times New Roman" w:cs="Times New Roman"/>
          <w:sz w:val="24"/>
          <w:szCs w:val="24"/>
        </w:rPr>
        <w:t xml:space="preserve"> were quickly shipped to Durban in </w:t>
      </w:r>
      <w:r w:rsidRPr="00F530B0">
        <w:rPr>
          <w:rFonts w:ascii="Times New Roman" w:eastAsia="Calibri" w:hAnsi="Times New Roman" w:cs="Times New Roman"/>
          <w:sz w:val="24"/>
          <w:szCs w:val="24"/>
        </w:rPr>
        <w:t>South Africa on 29 July 2002. On 2 August 2002 the Minister of Finance published General Notice 359</w:t>
      </w:r>
      <w:r w:rsidR="00021EFF" w:rsidRPr="00F530B0">
        <w:rPr>
          <w:rFonts w:ascii="Times New Roman" w:eastAsia="Calibri" w:hAnsi="Times New Roman" w:cs="Times New Roman"/>
          <w:sz w:val="24"/>
          <w:szCs w:val="24"/>
        </w:rPr>
        <w:t xml:space="preserve">A of 2002 and Statutory Instrument 225 of 2002 designating the selling rate for </w:t>
      </w:r>
      <w:r w:rsidR="005D57DC" w:rsidRPr="00F530B0">
        <w:rPr>
          <w:rFonts w:ascii="Times New Roman" w:eastAsia="Calibri" w:hAnsi="Times New Roman" w:cs="Times New Roman"/>
          <w:sz w:val="24"/>
          <w:szCs w:val="24"/>
        </w:rPr>
        <w:t xml:space="preserve">certain imported </w:t>
      </w:r>
      <w:r w:rsidR="007B3945" w:rsidRPr="00F530B0">
        <w:rPr>
          <w:rFonts w:ascii="Times New Roman" w:eastAsia="Calibri" w:hAnsi="Times New Roman" w:cs="Times New Roman"/>
          <w:sz w:val="24"/>
          <w:szCs w:val="24"/>
        </w:rPr>
        <w:t>goods including</w:t>
      </w:r>
      <w:r w:rsidR="00021EFF" w:rsidRPr="00F530B0">
        <w:rPr>
          <w:rFonts w:ascii="Times New Roman" w:eastAsia="Calibri" w:hAnsi="Times New Roman" w:cs="Times New Roman"/>
          <w:sz w:val="24"/>
          <w:szCs w:val="24"/>
        </w:rPr>
        <w:t xml:space="preserve"> motor vehicles</w:t>
      </w:r>
      <w:r w:rsidR="007B3945" w:rsidRPr="00F530B0">
        <w:rPr>
          <w:rFonts w:ascii="Times New Roman" w:eastAsia="Calibri" w:hAnsi="Times New Roman" w:cs="Times New Roman"/>
          <w:sz w:val="24"/>
          <w:szCs w:val="24"/>
        </w:rPr>
        <w:t>.  This was for</w:t>
      </w:r>
      <w:r w:rsidR="00021EFF" w:rsidRPr="00F530B0">
        <w:rPr>
          <w:rFonts w:ascii="Times New Roman" w:eastAsia="Calibri" w:hAnsi="Times New Roman" w:cs="Times New Roman"/>
          <w:sz w:val="24"/>
          <w:szCs w:val="24"/>
        </w:rPr>
        <w:t xml:space="preserve"> purposes of s 115 of </w:t>
      </w:r>
      <w:r w:rsidR="00021EFF" w:rsidRPr="00F530B0">
        <w:rPr>
          <w:rFonts w:ascii="Times New Roman" w:eastAsia="Calibri" w:hAnsi="Times New Roman" w:cs="Times New Roman"/>
          <w:sz w:val="24"/>
          <w:szCs w:val="24"/>
        </w:rPr>
        <w:lastRenderedPageBreak/>
        <w:t>the Cust</w:t>
      </w:r>
      <w:r w:rsidR="0016658A">
        <w:rPr>
          <w:rFonts w:ascii="Times New Roman" w:eastAsia="Calibri" w:hAnsi="Times New Roman" w:cs="Times New Roman"/>
          <w:sz w:val="24"/>
          <w:szCs w:val="24"/>
        </w:rPr>
        <w:t>oms and Exci</w:t>
      </w:r>
      <w:r w:rsidR="00101C48" w:rsidRPr="00F530B0">
        <w:rPr>
          <w:rFonts w:ascii="Times New Roman" w:eastAsia="Calibri" w:hAnsi="Times New Roman" w:cs="Times New Roman"/>
          <w:sz w:val="24"/>
          <w:szCs w:val="24"/>
        </w:rPr>
        <w:t>se Act [</w:t>
      </w:r>
      <w:r w:rsidR="00101C48" w:rsidRPr="00F530B0">
        <w:rPr>
          <w:rFonts w:ascii="Times New Roman" w:eastAsia="Calibri" w:hAnsi="Times New Roman" w:cs="Times New Roman"/>
          <w:i/>
          <w:sz w:val="24"/>
          <w:szCs w:val="24"/>
        </w:rPr>
        <w:t>Chapter 23: </w:t>
      </w:r>
      <w:r w:rsidR="00021EFF" w:rsidRPr="00F530B0">
        <w:rPr>
          <w:rFonts w:ascii="Times New Roman" w:eastAsia="Calibri" w:hAnsi="Times New Roman" w:cs="Times New Roman"/>
          <w:i/>
          <w:sz w:val="24"/>
          <w:szCs w:val="24"/>
        </w:rPr>
        <w:t>02</w:t>
      </w:r>
      <w:r w:rsidR="00021EFF" w:rsidRPr="00F530B0">
        <w:rPr>
          <w:rFonts w:ascii="Times New Roman" w:eastAsia="Calibri" w:hAnsi="Times New Roman" w:cs="Times New Roman"/>
          <w:sz w:val="24"/>
          <w:szCs w:val="24"/>
        </w:rPr>
        <w:t xml:space="preserve">]. The rate is used to determine the value in local currency of goods purchased in foreign currency for </w:t>
      </w:r>
      <w:r w:rsidR="00F10342" w:rsidRPr="00F530B0">
        <w:rPr>
          <w:rFonts w:ascii="Times New Roman" w:eastAsia="Calibri" w:hAnsi="Times New Roman" w:cs="Times New Roman"/>
          <w:sz w:val="24"/>
          <w:szCs w:val="24"/>
        </w:rPr>
        <w:t xml:space="preserve">import </w:t>
      </w:r>
      <w:r w:rsidR="00021EFF" w:rsidRPr="00F530B0">
        <w:rPr>
          <w:rFonts w:ascii="Times New Roman" w:eastAsia="Calibri" w:hAnsi="Times New Roman" w:cs="Times New Roman"/>
          <w:sz w:val="24"/>
          <w:szCs w:val="24"/>
        </w:rPr>
        <w:t>duty purposes.</w:t>
      </w:r>
    </w:p>
    <w:p w:rsidR="00EA4B61" w:rsidRPr="00F530B0" w:rsidRDefault="00EA4B61" w:rsidP="001C45E0">
      <w:pPr>
        <w:spacing w:after="0" w:line="240" w:lineRule="auto"/>
        <w:jc w:val="both"/>
        <w:rPr>
          <w:rFonts w:ascii="Times New Roman" w:eastAsia="Calibri" w:hAnsi="Times New Roman" w:cs="Times New Roman"/>
          <w:sz w:val="24"/>
          <w:szCs w:val="24"/>
        </w:rPr>
      </w:pPr>
    </w:p>
    <w:p w:rsidR="00021EFF" w:rsidRPr="00F530B0" w:rsidRDefault="00021EFF" w:rsidP="0081415A">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009D56B3"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 xml:space="preserve">The rate fixed by General Notice 359A of 2002 was used by the Zimbabwe Revenue Authority (ZIMRA) to calculate import duty </w:t>
      </w:r>
      <w:r w:rsidR="009D56B3" w:rsidRPr="00F530B0">
        <w:rPr>
          <w:rFonts w:ascii="Times New Roman" w:eastAsia="Calibri" w:hAnsi="Times New Roman" w:cs="Times New Roman"/>
          <w:sz w:val="24"/>
          <w:szCs w:val="24"/>
        </w:rPr>
        <w:t>payable by</w:t>
      </w:r>
      <w:r w:rsidRPr="00F530B0">
        <w:rPr>
          <w:rFonts w:ascii="Times New Roman" w:eastAsia="Calibri" w:hAnsi="Times New Roman" w:cs="Times New Roman"/>
          <w:sz w:val="24"/>
          <w:szCs w:val="24"/>
        </w:rPr>
        <w:t xml:space="preserve"> the res</w:t>
      </w:r>
      <w:r w:rsidR="00B9128E" w:rsidRPr="00F530B0">
        <w:rPr>
          <w:rFonts w:ascii="Times New Roman" w:eastAsia="Calibri" w:hAnsi="Times New Roman" w:cs="Times New Roman"/>
          <w:sz w:val="24"/>
          <w:szCs w:val="24"/>
        </w:rPr>
        <w:t>pondent when it imported the 30 </w:t>
      </w:r>
      <w:r w:rsidR="00BE747E" w:rsidRPr="00F530B0">
        <w:rPr>
          <w:rFonts w:ascii="Times New Roman" w:eastAsia="Calibri" w:hAnsi="Times New Roman" w:cs="Times New Roman"/>
          <w:sz w:val="24"/>
          <w:szCs w:val="24"/>
        </w:rPr>
        <w:t>motor vehicles in</w:t>
      </w:r>
      <w:r w:rsidRPr="00F530B0">
        <w:rPr>
          <w:rFonts w:ascii="Times New Roman" w:eastAsia="Calibri" w:hAnsi="Times New Roman" w:cs="Times New Roman"/>
          <w:sz w:val="24"/>
          <w:szCs w:val="24"/>
        </w:rPr>
        <w:t>to Zimbabwe on 5 August 2002. As a result</w:t>
      </w:r>
      <w:r w:rsidR="00BD4B44" w:rsidRPr="00F530B0">
        <w:rPr>
          <w:rFonts w:ascii="Times New Roman" w:eastAsia="Calibri" w:hAnsi="Times New Roman" w:cs="Times New Roman"/>
          <w:sz w:val="24"/>
          <w:szCs w:val="24"/>
        </w:rPr>
        <w:t>,</w:t>
      </w:r>
      <w:r w:rsidRPr="00F530B0">
        <w:rPr>
          <w:rFonts w:ascii="Times New Roman" w:eastAsia="Calibri" w:hAnsi="Times New Roman" w:cs="Times New Roman"/>
          <w:sz w:val="24"/>
          <w:szCs w:val="24"/>
        </w:rPr>
        <w:t xml:space="preserve"> the respondent was </w:t>
      </w:r>
      <w:r w:rsidR="00A541A8" w:rsidRPr="00F530B0">
        <w:rPr>
          <w:rFonts w:ascii="Times New Roman" w:eastAsia="Calibri" w:hAnsi="Times New Roman" w:cs="Times New Roman"/>
          <w:sz w:val="24"/>
          <w:szCs w:val="24"/>
        </w:rPr>
        <w:t>made to pay a sum of ZWD 36 500 </w:t>
      </w:r>
      <w:r w:rsidRPr="00F530B0">
        <w:rPr>
          <w:rFonts w:ascii="Times New Roman" w:eastAsia="Calibri" w:hAnsi="Times New Roman" w:cs="Times New Roman"/>
          <w:sz w:val="24"/>
          <w:szCs w:val="24"/>
        </w:rPr>
        <w:t>000.00</w:t>
      </w:r>
      <w:r w:rsidR="009D56B3" w:rsidRPr="00F530B0">
        <w:rPr>
          <w:rFonts w:ascii="Times New Roman" w:eastAsia="Calibri" w:hAnsi="Times New Roman" w:cs="Times New Roman"/>
          <w:sz w:val="24"/>
          <w:szCs w:val="24"/>
        </w:rPr>
        <w:t xml:space="preserve"> a</w:t>
      </w:r>
      <w:r w:rsidRPr="00F530B0">
        <w:rPr>
          <w:rFonts w:ascii="Times New Roman" w:eastAsia="Calibri" w:hAnsi="Times New Roman" w:cs="Times New Roman"/>
          <w:sz w:val="24"/>
          <w:szCs w:val="24"/>
        </w:rPr>
        <w:t>s duty.  Th</w:t>
      </w:r>
      <w:r w:rsidR="00D31F5E">
        <w:rPr>
          <w:rFonts w:ascii="Times New Roman" w:eastAsia="Calibri" w:hAnsi="Times New Roman" w:cs="Times New Roman"/>
          <w:sz w:val="24"/>
          <w:szCs w:val="24"/>
        </w:rPr>
        <w:t xml:space="preserve">is was an overpayment of </w:t>
      </w:r>
      <w:r w:rsidR="00A26EB7" w:rsidRPr="00F530B0">
        <w:rPr>
          <w:rFonts w:ascii="Times New Roman" w:eastAsia="Calibri" w:hAnsi="Times New Roman" w:cs="Times New Roman"/>
          <w:sz w:val="24"/>
          <w:szCs w:val="24"/>
        </w:rPr>
        <w:t>ZWD 30 </w:t>
      </w:r>
      <w:r w:rsidRPr="00F530B0">
        <w:rPr>
          <w:rFonts w:ascii="Times New Roman" w:eastAsia="Calibri" w:hAnsi="Times New Roman" w:cs="Times New Roman"/>
          <w:sz w:val="24"/>
          <w:szCs w:val="24"/>
        </w:rPr>
        <w:t>000 000.00</w:t>
      </w:r>
      <w:r w:rsidR="009D56B3" w:rsidRPr="00F530B0">
        <w:rPr>
          <w:rFonts w:ascii="Times New Roman" w:eastAsia="Calibri" w:hAnsi="Times New Roman" w:cs="Times New Roman"/>
          <w:sz w:val="24"/>
          <w:szCs w:val="24"/>
        </w:rPr>
        <w:t>.</w:t>
      </w:r>
    </w:p>
    <w:p w:rsidR="009D56B3" w:rsidRPr="00F530B0" w:rsidRDefault="009D56B3" w:rsidP="008E212B">
      <w:pPr>
        <w:spacing w:after="0" w:line="240" w:lineRule="auto"/>
        <w:jc w:val="both"/>
        <w:rPr>
          <w:rFonts w:ascii="Times New Roman" w:eastAsia="Calibri" w:hAnsi="Times New Roman" w:cs="Times New Roman"/>
          <w:sz w:val="24"/>
          <w:szCs w:val="24"/>
        </w:rPr>
      </w:pPr>
    </w:p>
    <w:p w:rsidR="009D56B3" w:rsidRPr="00F530B0" w:rsidRDefault="009D56B3" w:rsidP="0081415A">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t>By urgent application filed in the High Court the respondent then challenged the validity of the increase in import duty introduced by the General Notice.  It contended that, the General Notice purporting to fix the selling rate was invalid by reason that it was not made by the Commissioner General after consultation with the Reserve Bank of Zimbabwe as required by s 115 of the Act.</w:t>
      </w:r>
    </w:p>
    <w:p w:rsidR="009D56B3" w:rsidRPr="00F530B0" w:rsidRDefault="009D56B3" w:rsidP="008E212B">
      <w:pPr>
        <w:spacing w:after="0" w:line="240" w:lineRule="auto"/>
        <w:jc w:val="both"/>
        <w:rPr>
          <w:rFonts w:ascii="Times New Roman" w:eastAsia="Calibri" w:hAnsi="Times New Roman" w:cs="Times New Roman"/>
          <w:sz w:val="24"/>
          <w:szCs w:val="24"/>
        </w:rPr>
      </w:pPr>
    </w:p>
    <w:p w:rsidR="009D56B3" w:rsidRPr="00F530B0" w:rsidRDefault="009D56B3" w:rsidP="0081415A">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r>
      <w:r w:rsidR="00A23A26" w:rsidRPr="00F530B0">
        <w:rPr>
          <w:rFonts w:ascii="Times New Roman" w:eastAsia="Calibri" w:hAnsi="Times New Roman" w:cs="Times New Roman"/>
          <w:sz w:val="24"/>
          <w:szCs w:val="24"/>
        </w:rPr>
        <w:t xml:space="preserve">The High Court upheld the respondent’s contention and by judgment delivered on 7 April 2004 in </w:t>
      </w:r>
      <w:r w:rsidR="00A23A26" w:rsidRPr="00F530B0">
        <w:rPr>
          <w:rFonts w:ascii="Times New Roman" w:eastAsia="Calibri" w:hAnsi="Times New Roman" w:cs="Times New Roman"/>
          <w:i/>
          <w:sz w:val="24"/>
          <w:szCs w:val="24"/>
        </w:rPr>
        <w:t>Benchman</w:t>
      </w:r>
      <w:r w:rsidR="00A23A26" w:rsidRPr="00F530B0">
        <w:rPr>
          <w:rFonts w:ascii="Times New Roman" w:eastAsia="Calibri" w:hAnsi="Times New Roman" w:cs="Times New Roman"/>
          <w:sz w:val="24"/>
          <w:szCs w:val="24"/>
        </w:rPr>
        <w:t xml:space="preserve"> </w:t>
      </w:r>
      <w:r w:rsidR="00A23A26" w:rsidRPr="00F530B0">
        <w:rPr>
          <w:rFonts w:ascii="Times New Roman" w:eastAsia="Calibri" w:hAnsi="Times New Roman" w:cs="Times New Roman"/>
          <w:i/>
          <w:sz w:val="24"/>
          <w:szCs w:val="24"/>
        </w:rPr>
        <w:t>Investments (Private) Limited v Commissioner General Zimbabwe</w:t>
      </w:r>
      <w:r w:rsidR="00A23A26" w:rsidRPr="00F530B0">
        <w:rPr>
          <w:rFonts w:ascii="Times New Roman" w:eastAsia="Calibri" w:hAnsi="Times New Roman" w:cs="Times New Roman"/>
          <w:sz w:val="24"/>
          <w:szCs w:val="24"/>
        </w:rPr>
        <w:t xml:space="preserve"> </w:t>
      </w:r>
      <w:r w:rsidR="00A23A26" w:rsidRPr="00F530B0">
        <w:rPr>
          <w:rFonts w:ascii="Times New Roman" w:eastAsia="Calibri" w:hAnsi="Times New Roman" w:cs="Times New Roman"/>
          <w:i/>
          <w:sz w:val="24"/>
          <w:szCs w:val="24"/>
        </w:rPr>
        <w:t>Revenue Authority</w:t>
      </w:r>
      <w:r w:rsidR="00A23A26" w:rsidRPr="00F530B0">
        <w:rPr>
          <w:rFonts w:ascii="Times New Roman" w:eastAsia="Calibri" w:hAnsi="Times New Roman" w:cs="Times New Roman"/>
          <w:sz w:val="24"/>
          <w:szCs w:val="24"/>
        </w:rPr>
        <w:t xml:space="preserve"> 2004(1) ZLR 358(H)</w:t>
      </w:r>
      <w:r w:rsidR="00C5793C" w:rsidRPr="00F530B0">
        <w:rPr>
          <w:rFonts w:ascii="Times New Roman" w:eastAsia="Calibri" w:hAnsi="Times New Roman" w:cs="Times New Roman"/>
          <w:sz w:val="24"/>
          <w:szCs w:val="24"/>
        </w:rPr>
        <w:t>,</w:t>
      </w:r>
      <w:r w:rsidR="00A23A26" w:rsidRPr="00F530B0">
        <w:rPr>
          <w:rFonts w:ascii="Times New Roman" w:eastAsia="Calibri" w:hAnsi="Times New Roman" w:cs="Times New Roman"/>
          <w:sz w:val="24"/>
          <w:szCs w:val="24"/>
        </w:rPr>
        <w:t xml:space="preserve"> the </w:t>
      </w:r>
      <w:r w:rsidR="002D545E" w:rsidRPr="00F530B0">
        <w:rPr>
          <w:rFonts w:ascii="Times New Roman" w:eastAsia="Calibri" w:hAnsi="Times New Roman" w:cs="Times New Roman"/>
          <w:sz w:val="24"/>
          <w:szCs w:val="24"/>
        </w:rPr>
        <w:t>court declared</w:t>
      </w:r>
      <w:r w:rsidR="00A23A26" w:rsidRPr="00F530B0">
        <w:rPr>
          <w:rFonts w:ascii="Times New Roman" w:eastAsia="Calibri" w:hAnsi="Times New Roman" w:cs="Times New Roman"/>
          <w:sz w:val="24"/>
          <w:szCs w:val="24"/>
        </w:rPr>
        <w:t xml:space="preserve"> General Notice 359A of 2002 invalid.  The basis for the invalidity was that it was not made in accordance </w:t>
      </w:r>
      <w:r w:rsidR="00F76DF1">
        <w:rPr>
          <w:rFonts w:ascii="Times New Roman" w:eastAsia="Calibri" w:hAnsi="Times New Roman" w:cs="Times New Roman"/>
          <w:sz w:val="24"/>
          <w:szCs w:val="24"/>
        </w:rPr>
        <w:t>with s</w:t>
      </w:r>
      <w:r w:rsidR="00975273">
        <w:rPr>
          <w:rFonts w:ascii="Times New Roman" w:eastAsia="Calibri" w:hAnsi="Times New Roman" w:cs="Times New Roman"/>
          <w:sz w:val="24"/>
          <w:szCs w:val="24"/>
        </w:rPr>
        <w:t> </w:t>
      </w:r>
      <w:r w:rsidR="000139E8" w:rsidRPr="00F530B0">
        <w:rPr>
          <w:rFonts w:ascii="Times New Roman" w:eastAsia="Calibri" w:hAnsi="Times New Roman" w:cs="Times New Roman"/>
          <w:sz w:val="24"/>
          <w:szCs w:val="24"/>
        </w:rPr>
        <w:t>115 of the Act.  The declaration of invalidity immediately entitled the respondent to</w:t>
      </w:r>
      <w:r w:rsidR="001243DE">
        <w:rPr>
          <w:rFonts w:ascii="Times New Roman" w:eastAsia="Calibri" w:hAnsi="Times New Roman" w:cs="Times New Roman"/>
          <w:sz w:val="24"/>
          <w:szCs w:val="24"/>
        </w:rPr>
        <w:t xml:space="preserve"> a refund of the over payment of</w:t>
      </w:r>
      <w:r w:rsidR="000139E8" w:rsidRPr="00F530B0">
        <w:rPr>
          <w:rFonts w:ascii="Times New Roman" w:eastAsia="Calibri" w:hAnsi="Times New Roman" w:cs="Times New Roman"/>
          <w:sz w:val="24"/>
          <w:szCs w:val="24"/>
        </w:rPr>
        <w:t xml:space="preserve"> duty.</w:t>
      </w:r>
    </w:p>
    <w:p w:rsidR="000139E8" w:rsidRPr="00F530B0" w:rsidRDefault="000139E8" w:rsidP="008E212B">
      <w:pPr>
        <w:spacing w:after="0" w:line="240" w:lineRule="auto"/>
        <w:jc w:val="both"/>
        <w:rPr>
          <w:rFonts w:ascii="Times New Roman" w:eastAsia="Calibri" w:hAnsi="Times New Roman" w:cs="Times New Roman"/>
          <w:sz w:val="24"/>
          <w:szCs w:val="24"/>
        </w:rPr>
      </w:pPr>
    </w:p>
    <w:p w:rsidR="000139E8" w:rsidRPr="00F530B0" w:rsidRDefault="000139E8" w:rsidP="0081415A">
      <w:pPr>
        <w:spacing w:line="480" w:lineRule="auto"/>
        <w:jc w:val="both"/>
        <w:rPr>
          <w:rFonts w:ascii="Times New Roman" w:eastAsia="Calibri" w:hAnsi="Times New Roman" w:cs="Times New Roman"/>
          <w:b/>
          <w:sz w:val="24"/>
          <w:szCs w:val="24"/>
        </w:rPr>
      </w:pPr>
      <w:r w:rsidRPr="00F530B0">
        <w:rPr>
          <w:rFonts w:ascii="Times New Roman" w:eastAsia="Calibri" w:hAnsi="Times New Roman" w:cs="Times New Roman"/>
          <w:b/>
          <w:sz w:val="24"/>
          <w:szCs w:val="24"/>
        </w:rPr>
        <w:t xml:space="preserve">PROCEEDINGS IN THE COURT </w:t>
      </w:r>
      <w:r w:rsidRPr="00F530B0">
        <w:rPr>
          <w:rFonts w:ascii="Times New Roman" w:eastAsia="Calibri" w:hAnsi="Times New Roman" w:cs="Times New Roman"/>
          <w:b/>
          <w:i/>
          <w:sz w:val="24"/>
          <w:szCs w:val="24"/>
        </w:rPr>
        <w:t>A QUO</w:t>
      </w:r>
    </w:p>
    <w:p w:rsidR="000139E8" w:rsidRPr="00F530B0" w:rsidRDefault="000139E8" w:rsidP="005A7273">
      <w:pPr>
        <w:spacing w:line="480" w:lineRule="auto"/>
        <w:ind w:firstLine="720"/>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It was not until 12 June 2019, that the respondent f</w:t>
      </w:r>
      <w:r w:rsidR="005C7F43">
        <w:rPr>
          <w:rFonts w:ascii="Times New Roman" w:eastAsia="Calibri" w:hAnsi="Times New Roman" w:cs="Times New Roman"/>
          <w:sz w:val="24"/>
          <w:szCs w:val="24"/>
        </w:rPr>
        <w:t>iled an application in the High </w:t>
      </w:r>
      <w:r w:rsidRPr="00F530B0">
        <w:rPr>
          <w:rFonts w:ascii="Times New Roman" w:eastAsia="Calibri" w:hAnsi="Times New Roman" w:cs="Times New Roman"/>
          <w:sz w:val="24"/>
          <w:szCs w:val="24"/>
        </w:rPr>
        <w:t>Court</w:t>
      </w:r>
      <w:r w:rsidR="00D66177" w:rsidRPr="00F530B0">
        <w:rPr>
          <w:rFonts w:ascii="Times New Roman" w:eastAsia="Calibri" w:hAnsi="Times New Roman" w:cs="Times New Roman"/>
          <w:sz w:val="24"/>
          <w:szCs w:val="24"/>
        </w:rPr>
        <w:t xml:space="preserve"> seeking a</w:t>
      </w:r>
      <w:r w:rsidR="00DA35AC" w:rsidRPr="00F530B0">
        <w:rPr>
          <w:rFonts w:ascii="Times New Roman" w:eastAsia="Calibri" w:hAnsi="Times New Roman" w:cs="Times New Roman"/>
          <w:sz w:val="24"/>
          <w:szCs w:val="24"/>
        </w:rPr>
        <w:t>n order directing the appellant</w:t>
      </w:r>
      <w:r w:rsidR="00D66177" w:rsidRPr="00F530B0">
        <w:rPr>
          <w:rFonts w:ascii="Times New Roman" w:eastAsia="Calibri" w:hAnsi="Times New Roman" w:cs="Times New Roman"/>
          <w:sz w:val="24"/>
          <w:szCs w:val="24"/>
        </w:rPr>
        <w:t xml:space="preserve"> to refund the sum of US$658 844.76 plus </w:t>
      </w:r>
      <w:r w:rsidR="00D66177" w:rsidRPr="00F530B0">
        <w:rPr>
          <w:rFonts w:ascii="Times New Roman" w:eastAsia="Calibri" w:hAnsi="Times New Roman" w:cs="Times New Roman"/>
          <w:sz w:val="24"/>
          <w:szCs w:val="24"/>
        </w:rPr>
        <w:lastRenderedPageBreak/>
        <w:t xml:space="preserve">interest and costs of suit.  That amount was perceived to be the equivalent of the excess </w:t>
      </w:r>
      <w:r w:rsidR="00052269" w:rsidRPr="00F530B0">
        <w:rPr>
          <w:rFonts w:ascii="Times New Roman" w:eastAsia="Calibri" w:hAnsi="Times New Roman" w:cs="Times New Roman"/>
          <w:sz w:val="24"/>
          <w:szCs w:val="24"/>
        </w:rPr>
        <w:t>duty of</w:t>
      </w:r>
      <w:r w:rsidR="00D66177" w:rsidRPr="00F530B0">
        <w:rPr>
          <w:rFonts w:ascii="Times New Roman" w:eastAsia="Calibri" w:hAnsi="Times New Roman" w:cs="Times New Roman"/>
          <w:sz w:val="24"/>
          <w:szCs w:val="24"/>
        </w:rPr>
        <w:t xml:space="preserve"> ZWD30 000 000.00 the respondent paid to ZIMRA in 2002.</w:t>
      </w:r>
    </w:p>
    <w:p w:rsidR="00D66177" w:rsidRPr="00F530B0" w:rsidRDefault="00D66177" w:rsidP="008E212B">
      <w:pPr>
        <w:spacing w:after="0" w:line="240" w:lineRule="auto"/>
        <w:jc w:val="both"/>
        <w:rPr>
          <w:rFonts w:ascii="Times New Roman" w:eastAsia="Calibri" w:hAnsi="Times New Roman" w:cs="Times New Roman"/>
          <w:sz w:val="24"/>
          <w:szCs w:val="24"/>
        </w:rPr>
      </w:pPr>
    </w:p>
    <w:p w:rsidR="00D66177" w:rsidRPr="00F530B0" w:rsidRDefault="00D66177" w:rsidP="0081415A">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t>The respondent’s contention was that the law did not require it to pay the additional ZWD30 000 000.00 to the appellant, which it was forced to pay for the importation of its motor vehicles. The respondent took the view that approaching the High Court the way it did was the only remedy available to it in the circumstances.</w:t>
      </w:r>
    </w:p>
    <w:p w:rsidR="00D66177" w:rsidRPr="00F530B0" w:rsidRDefault="00D66177" w:rsidP="008E212B">
      <w:pPr>
        <w:spacing w:after="0" w:line="240" w:lineRule="auto"/>
        <w:jc w:val="both"/>
        <w:rPr>
          <w:rFonts w:ascii="Times New Roman" w:eastAsia="Calibri" w:hAnsi="Times New Roman" w:cs="Times New Roman"/>
          <w:sz w:val="24"/>
          <w:szCs w:val="24"/>
        </w:rPr>
      </w:pPr>
    </w:p>
    <w:p w:rsidR="00D66177" w:rsidRPr="00F530B0" w:rsidRDefault="00D66177" w:rsidP="0081415A">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t xml:space="preserve">The application was opposed by the appellant who raised essentially 3 points </w:t>
      </w:r>
      <w:r w:rsidRPr="00F530B0">
        <w:rPr>
          <w:rFonts w:ascii="Times New Roman" w:eastAsia="Calibri" w:hAnsi="Times New Roman" w:cs="Times New Roman"/>
          <w:i/>
          <w:sz w:val="24"/>
          <w:szCs w:val="24"/>
        </w:rPr>
        <w:t xml:space="preserve">in limine. </w:t>
      </w:r>
      <w:r w:rsidRPr="00F530B0">
        <w:rPr>
          <w:rFonts w:ascii="Times New Roman" w:eastAsia="Calibri" w:hAnsi="Times New Roman" w:cs="Times New Roman"/>
          <w:sz w:val="24"/>
          <w:szCs w:val="24"/>
        </w:rPr>
        <w:t>The first point taken by the respondent related to her improper citation as respondent in the application.  It was stated that the Commissioner General of ZIMRA and ZIMRA are two different entities.  In any event, so it was contended, the cause of complaint was against the actions of the employees of ZIMRA.  As such</w:t>
      </w:r>
      <w:r w:rsidR="003F005F" w:rsidRPr="00F530B0">
        <w:rPr>
          <w:rFonts w:ascii="Times New Roman" w:eastAsia="Calibri" w:hAnsi="Times New Roman" w:cs="Times New Roman"/>
          <w:sz w:val="24"/>
          <w:szCs w:val="24"/>
        </w:rPr>
        <w:t>,</w:t>
      </w:r>
      <w:r w:rsidRPr="00F530B0">
        <w:rPr>
          <w:rFonts w:ascii="Times New Roman" w:eastAsia="Calibri" w:hAnsi="Times New Roman" w:cs="Times New Roman"/>
          <w:sz w:val="24"/>
          <w:szCs w:val="24"/>
        </w:rPr>
        <w:t xml:space="preserve"> the proper respondent should have been ZIMRA as opposed to the Commissioner General.</w:t>
      </w:r>
    </w:p>
    <w:p w:rsidR="00D66177" w:rsidRPr="00F530B0" w:rsidRDefault="00D66177" w:rsidP="008E212B">
      <w:pPr>
        <w:spacing w:after="0" w:line="240" w:lineRule="auto"/>
        <w:jc w:val="both"/>
        <w:rPr>
          <w:rFonts w:ascii="Times New Roman" w:eastAsia="Calibri" w:hAnsi="Times New Roman" w:cs="Times New Roman"/>
          <w:sz w:val="24"/>
          <w:szCs w:val="24"/>
        </w:rPr>
      </w:pPr>
    </w:p>
    <w:p w:rsidR="00D66177" w:rsidRPr="00F530B0" w:rsidRDefault="00D66177" w:rsidP="0081415A">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t xml:space="preserve">The second point </w:t>
      </w:r>
      <w:r w:rsidRPr="00F530B0">
        <w:rPr>
          <w:rFonts w:ascii="Times New Roman" w:eastAsia="Calibri" w:hAnsi="Times New Roman" w:cs="Times New Roman"/>
          <w:i/>
          <w:sz w:val="24"/>
          <w:szCs w:val="24"/>
        </w:rPr>
        <w:t>in limine</w:t>
      </w:r>
      <w:r w:rsidRPr="00F530B0">
        <w:rPr>
          <w:rFonts w:ascii="Times New Roman" w:eastAsia="Calibri" w:hAnsi="Times New Roman" w:cs="Times New Roman"/>
          <w:sz w:val="24"/>
          <w:szCs w:val="24"/>
        </w:rPr>
        <w:t xml:space="preserve"> </w:t>
      </w:r>
      <w:r w:rsidR="00DD0F46" w:rsidRPr="00F530B0">
        <w:rPr>
          <w:rFonts w:ascii="Times New Roman" w:eastAsia="Calibri" w:hAnsi="Times New Roman" w:cs="Times New Roman"/>
          <w:sz w:val="24"/>
          <w:szCs w:val="24"/>
        </w:rPr>
        <w:t xml:space="preserve">was that given that the </w:t>
      </w:r>
      <w:r w:rsidR="00AA18DA" w:rsidRPr="00F530B0">
        <w:rPr>
          <w:rFonts w:ascii="Times New Roman" w:eastAsia="Calibri" w:hAnsi="Times New Roman" w:cs="Times New Roman"/>
          <w:sz w:val="24"/>
          <w:szCs w:val="24"/>
        </w:rPr>
        <w:t xml:space="preserve">respondent’s cause of </w:t>
      </w:r>
      <w:r w:rsidR="0028443E" w:rsidRPr="00F530B0">
        <w:rPr>
          <w:rFonts w:ascii="Times New Roman" w:eastAsia="Calibri" w:hAnsi="Times New Roman" w:cs="Times New Roman"/>
          <w:sz w:val="24"/>
          <w:szCs w:val="24"/>
        </w:rPr>
        <w:t>action arose</w:t>
      </w:r>
      <w:r w:rsidR="00AA18DA" w:rsidRPr="00F530B0">
        <w:rPr>
          <w:rFonts w:ascii="Times New Roman" w:eastAsia="Calibri" w:hAnsi="Times New Roman" w:cs="Times New Roman"/>
          <w:sz w:val="24"/>
          <w:szCs w:val="24"/>
        </w:rPr>
        <w:t xml:space="preserve"> from the declaration of invalidity </w:t>
      </w:r>
      <w:r w:rsidR="00BB6D22" w:rsidRPr="00F530B0">
        <w:rPr>
          <w:rFonts w:ascii="Times New Roman" w:eastAsia="Calibri" w:hAnsi="Times New Roman" w:cs="Times New Roman"/>
          <w:i/>
          <w:sz w:val="24"/>
          <w:szCs w:val="24"/>
        </w:rPr>
        <w:t>v</w:t>
      </w:r>
      <w:r w:rsidR="002517BD" w:rsidRPr="00F530B0">
        <w:rPr>
          <w:rFonts w:ascii="Times New Roman" w:eastAsia="Calibri" w:hAnsi="Times New Roman" w:cs="Times New Roman"/>
          <w:i/>
          <w:sz w:val="24"/>
          <w:szCs w:val="24"/>
        </w:rPr>
        <w:t>iz</w:t>
      </w:r>
      <w:r w:rsidR="003F3A91" w:rsidRPr="00F530B0">
        <w:rPr>
          <w:rFonts w:ascii="Times New Roman" w:eastAsia="Calibri" w:hAnsi="Times New Roman" w:cs="Times New Roman"/>
          <w:i/>
          <w:sz w:val="24"/>
          <w:szCs w:val="24"/>
        </w:rPr>
        <w:t>-a-</w:t>
      </w:r>
      <w:r w:rsidR="00BB6D22" w:rsidRPr="00F530B0">
        <w:rPr>
          <w:rFonts w:ascii="Times New Roman" w:eastAsia="Calibri" w:hAnsi="Times New Roman" w:cs="Times New Roman"/>
          <w:i/>
          <w:sz w:val="24"/>
          <w:szCs w:val="24"/>
        </w:rPr>
        <w:t>v</w:t>
      </w:r>
      <w:r w:rsidR="002517BD" w:rsidRPr="00F530B0">
        <w:rPr>
          <w:rFonts w:ascii="Times New Roman" w:eastAsia="Calibri" w:hAnsi="Times New Roman" w:cs="Times New Roman"/>
          <w:i/>
          <w:sz w:val="24"/>
          <w:szCs w:val="24"/>
        </w:rPr>
        <w:t>iz</w:t>
      </w:r>
      <w:r w:rsidR="00AA18DA" w:rsidRPr="00F530B0">
        <w:rPr>
          <w:rFonts w:ascii="Times New Roman" w:eastAsia="Calibri" w:hAnsi="Times New Roman" w:cs="Times New Roman"/>
          <w:i/>
          <w:sz w:val="24"/>
          <w:szCs w:val="24"/>
        </w:rPr>
        <w:t xml:space="preserve"> </w:t>
      </w:r>
      <w:r w:rsidR="00AA18DA" w:rsidRPr="00F530B0">
        <w:rPr>
          <w:rFonts w:ascii="Times New Roman" w:eastAsia="Calibri" w:hAnsi="Times New Roman" w:cs="Times New Roman"/>
          <w:sz w:val="24"/>
          <w:szCs w:val="24"/>
        </w:rPr>
        <w:t xml:space="preserve">General </w:t>
      </w:r>
      <w:r w:rsidR="00F24491">
        <w:rPr>
          <w:rFonts w:ascii="Times New Roman" w:eastAsia="Calibri" w:hAnsi="Times New Roman" w:cs="Times New Roman"/>
          <w:sz w:val="24"/>
          <w:szCs w:val="24"/>
        </w:rPr>
        <w:t>Notice 359A of 2002 by the High </w:t>
      </w:r>
      <w:r w:rsidR="00AA18DA" w:rsidRPr="00F530B0">
        <w:rPr>
          <w:rFonts w:ascii="Times New Roman" w:eastAsia="Calibri" w:hAnsi="Times New Roman" w:cs="Times New Roman"/>
          <w:sz w:val="24"/>
          <w:szCs w:val="24"/>
        </w:rPr>
        <w:t xml:space="preserve">Court, </w:t>
      </w:r>
      <w:r w:rsidR="004A0478" w:rsidRPr="00F530B0">
        <w:rPr>
          <w:rFonts w:ascii="Times New Roman" w:eastAsia="Calibri" w:hAnsi="Times New Roman" w:cs="Times New Roman"/>
          <w:sz w:val="24"/>
          <w:szCs w:val="24"/>
        </w:rPr>
        <w:t>the respondent’s</w:t>
      </w:r>
      <w:r w:rsidR="00AA18DA" w:rsidRPr="00F530B0">
        <w:rPr>
          <w:rFonts w:ascii="Times New Roman" w:eastAsia="Calibri" w:hAnsi="Times New Roman" w:cs="Times New Roman"/>
          <w:sz w:val="24"/>
          <w:szCs w:val="24"/>
        </w:rPr>
        <w:t xml:space="preserve"> claim has been </w:t>
      </w:r>
      <w:r w:rsidR="004A0478" w:rsidRPr="00F530B0">
        <w:rPr>
          <w:rFonts w:ascii="Times New Roman" w:eastAsia="Calibri" w:hAnsi="Times New Roman" w:cs="Times New Roman"/>
          <w:sz w:val="24"/>
          <w:szCs w:val="24"/>
        </w:rPr>
        <w:t>extinguished by prescription.  In the appellant’s view the respondent was not seeking to enforce the High Court judgment which declared the invalidity because it did not order anything.  To the extent that the respondent sought a positive remedy of a refund stemming from the declaration of invalidity, its claim prescribed 3 years from 7 April 2004</w:t>
      </w:r>
      <w:r w:rsidR="007B2854" w:rsidRPr="00F530B0">
        <w:rPr>
          <w:rFonts w:ascii="Times New Roman" w:eastAsia="Calibri" w:hAnsi="Times New Roman" w:cs="Times New Roman"/>
          <w:sz w:val="24"/>
          <w:szCs w:val="24"/>
        </w:rPr>
        <w:t xml:space="preserve"> when the judgment was handed down.</w:t>
      </w:r>
    </w:p>
    <w:p w:rsidR="007B2854" w:rsidRPr="00F530B0" w:rsidRDefault="007B2854" w:rsidP="00EB7487">
      <w:pPr>
        <w:spacing w:after="0" w:line="240" w:lineRule="auto"/>
        <w:jc w:val="both"/>
        <w:rPr>
          <w:rFonts w:ascii="Times New Roman" w:eastAsia="Calibri" w:hAnsi="Times New Roman" w:cs="Times New Roman"/>
          <w:sz w:val="24"/>
          <w:szCs w:val="24"/>
        </w:rPr>
      </w:pPr>
    </w:p>
    <w:p w:rsidR="007B2854" w:rsidRPr="00F530B0" w:rsidRDefault="007B2854" w:rsidP="0081415A">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t xml:space="preserve">The third point taken </w:t>
      </w:r>
      <w:r w:rsidR="00EB30C7" w:rsidRPr="00F530B0">
        <w:rPr>
          <w:rFonts w:ascii="Times New Roman" w:eastAsia="Calibri" w:hAnsi="Times New Roman" w:cs="Times New Roman"/>
          <w:sz w:val="24"/>
          <w:szCs w:val="24"/>
        </w:rPr>
        <w:t>by the appellant was that there were material dispu</w:t>
      </w:r>
      <w:r w:rsidR="00B45C85" w:rsidRPr="00F530B0">
        <w:rPr>
          <w:rFonts w:ascii="Times New Roman" w:eastAsia="Calibri" w:hAnsi="Times New Roman" w:cs="Times New Roman"/>
          <w:sz w:val="24"/>
          <w:szCs w:val="24"/>
        </w:rPr>
        <w:t>tes of fact which could not be</w:t>
      </w:r>
      <w:r w:rsidR="00EB30C7" w:rsidRPr="00F530B0">
        <w:rPr>
          <w:rFonts w:ascii="Times New Roman" w:eastAsia="Calibri" w:hAnsi="Times New Roman" w:cs="Times New Roman"/>
          <w:sz w:val="24"/>
          <w:szCs w:val="24"/>
        </w:rPr>
        <w:t xml:space="preserve"> resolved by motion proceeding</w:t>
      </w:r>
      <w:r w:rsidR="00E72B1C" w:rsidRPr="00F530B0">
        <w:rPr>
          <w:rFonts w:ascii="Times New Roman" w:eastAsia="Calibri" w:hAnsi="Times New Roman" w:cs="Times New Roman"/>
          <w:sz w:val="24"/>
          <w:szCs w:val="24"/>
        </w:rPr>
        <w:t>s</w:t>
      </w:r>
      <w:r w:rsidR="00EB30C7" w:rsidRPr="00F530B0">
        <w:rPr>
          <w:rFonts w:ascii="Times New Roman" w:eastAsia="Calibri" w:hAnsi="Times New Roman" w:cs="Times New Roman"/>
          <w:sz w:val="24"/>
          <w:szCs w:val="24"/>
        </w:rPr>
        <w:t>. According to the appellant</w:t>
      </w:r>
      <w:r w:rsidR="00B8620A" w:rsidRPr="00F530B0">
        <w:rPr>
          <w:rFonts w:ascii="Times New Roman" w:eastAsia="Calibri" w:hAnsi="Times New Roman" w:cs="Times New Roman"/>
          <w:sz w:val="24"/>
          <w:szCs w:val="24"/>
        </w:rPr>
        <w:t>,</w:t>
      </w:r>
      <w:r w:rsidR="00EB30C7" w:rsidRPr="00F530B0">
        <w:rPr>
          <w:rFonts w:ascii="Times New Roman" w:eastAsia="Calibri" w:hAnsi="Times New Roman" w:cs="Times New Roman"/>
          <w:sz w:val="24"/>
          <w:szCs w:val="24"/>
        </w:rPr>
        <w:t xml:space="preserve"> there was no convergence between the parties regarding when the judgment was handed down.  </w:t>
      </w:r>
      <w:r w:rsidR="00EB30C7" w:rsidRPr="00F530B0">
        <w:rPr>
          <w:rFonts w:ascii="Times New Roman" w:eastAsia="Calibri" w:hAnsi="Times New Roman" w:cs="Times New Roman"/>
          <w:sz w:val="24"/>
          <w:szCs w:val="24"/>
        </w:rPr>
        <w:lastRenderedPageBreak/>
        <w:t>The responde</w:t>
      </w:r>
      <w:r w:rsidR="0013274C" w:rsidRPr="00F530B0">
        <w:rPr>
          <w:rFonts w:ascii="Times New Roman" w:eastAsia="Calibri" w:hAnsi="Times New Roman" w:cs="Times New Roman"/>
          <w:sz w:val="24"/>
          <w:szCs w:val="24"/>
        </w:rPr>
        <w:t xml:space="preserve">nt took the view that the judgment forming the basis of the suit was handed down on 26 September 2016.  That date was refuted by the appellant and in her view this should have </w:t>
      </w:r>
      <w:r w:rsidR="00D87F7D" w:rsidRPr="00F530B0">
        <w:rPr>
          <w:rFonts w:ascii="Times New Roman" w:eastAsia="Calibri" w:hAnsi="Times New Roman" w:cs="Times New Roman"/>
          <w:sz w:val="24"/>
          <w:szCs w:val="24"/>
        </w:rPr>
        <w:t>informed</w:t>
      </w:r>
      <w:r w:rsidR="0013274C" w:rsidRPr="00F530B0">
        <w:rPr>
          <w:rFonts w:ascii="Times New Roman" w:eastAsia="Calibri" w:hAnsi="Times New Roman" w:cs="Times New Roman"/>
          <w:sz w:val="24"/>
          <w:szCs w:val="24"/>
        </w:rPr>
        <w:t xml:space="preserve"> the respondent to opt for trial action.</w:t>
      </w:r>
    </w:p>
    <w:p w:rsidR="0013274C" w:rsidRPr="00F530B0" w:rsidRDefault="0013274C" w:rsidP="00EB7487">
      <w:pPr>
        <w:spacing w:after="0" w:line="240" w:lineRule="auto"/>
        <w:jc w:val="both"/>
        <w:rPr>
          <w:rFonts w:ascii="Times New Roman" w:eastAsia="Calibri" w:hAnsi="Times New Roman" w:cs="Times New Roman"/>
          <w:sz w:val="24"/>
          <w:szCs w:val="24"/>
        </w:rPr>
      </w:pPr>
    </w:p>
    <w:p w:rsidR="0013274C" w:rsidRPr="00F530B0" w:rsidRDefault="0013274C" w:rsidP="0081415A">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t xml:space="preserve">I mention in passing that the alleged </w:t>
      </w:r>
      <w:r w:rsidR="00D87F7D" w:rsidRPr="00F530B0">
        <w:rPr>
          <w:rFonts w:ascii="Times New Roman" w:eastAsia="Calibri" w:hAnsi="Times New Roman" w:cs="Times New Roman"/>
          <w:sz w:val="24"/>
          <w:szCs w:val="24"/>
        </w:rPr>
        <w:t xml:space="preserve">dispute of fact is illusory because </w:t>
      </w:r>
      <w:r w:rsidR="00284F6E" w:rsidRPr="00F530B0">
        <w:rPr>
          <w:rFonts w:ascii="Times New Roman" w:eastAsia="Calibri" w:hAnsi="Times New Roman" w:cs="Times New Roman"/>
          <w:sz w:val="24"/>
          <w:szCs w:val="24"/>
        </w:rPr>
        <w:t xml:space="preserve">it cannot be </w:t>
      </w:r>
      <w:r w:rsidR="001022E2" w:rsidRPr="00F530B0">
        <w:rPr>
          <w:rFonts w:ascii="Times New Roman" w:eastAsia="Calibri" w:hAnsi="Times New Roman" w:cs="Times New Roman"/>
          <w:sz w:val="24"/>
          <w:szCs w:val="24"/>
        </w:rPr>
        <w:t>disputed that the judgment was handed down on 7 April 2004.</w:t>
      </w:r>
      <w:r w:rsidR="00470E84" w:rsidRPr="00F530B0">
        <w:rPr>
          <w:rFonts w:ascii="Times New Roman" w:eastAsia="Calibri" w:hAnsi="Times New Roman" w:cs="Times New Roman"/>
          <w:sz w:val="24"/>
          <w:szCs w:val="24"/>
        </w:rPr>
        <w:t xml:space="preserve"> It bears that date and in fact it was reported in Volume One o</w:t>
      </w:r>
      <w:r w:rsidR="00320080" w:rsidRPr="00F530B0">
        <w:rPr>
          <w:rFonts w:ascii="Times New Roman" w:eastAsia="Calibri" w:hAnsi="Times New Roman" w:cs="Times New Roman"/>
          <w:sz w:val="24"/>
          <w:szCs w:val="24"/>
        </w:rPr>
        <w:t>f the Zimbabwe Law Report of that</w:t>
      </w:r>
      <w:r w:rsidR="00470E84" w:rsidRPr="00F530B0">
        <w:rPr>
          <w:rFonts w:ascii="Times New Roman" w:eastAsia="Calibri" w:hAnsi="Times New Roman" w:cs="Times New Roman"/>
          <w:sz w:val="24"/>
          <w:szCs w:val="24"/>
        </w:rPr>
        <w:t xml:space="preserve"> year.  In that regard if the respondent’s claim prescribed after </w:t>
      </w:r>
      <w:r w:rsidR="00B87799" w:rsidRPr="00F530B0">
        <w:rPr>
          <w:rFonts w:ascii="Times New Roman" w:eastAsia="Calibri" w:hAnsi="Times New Roman" w:cs="Times New Roman"/>
          <w:sz w:val="24"/>
          <w:szCs w:val="24"/>
        </w:rPr>
        <w:t>3 years from the date of the judgment of invalidity, it had long prescribed by the time the respondent</w:t>
      </w:r>
      <w:r w:rsidR="00E8696F" w:rsidRPr="00F530B0">
        <w:rPr>
          <w:rFonts w:ascii="Times New Roman" w:eastAsia="Calibri" w:hAnsi="Times New Roman" w:cs="Times New Roman"/>
          <w:sz w:val="24"/>
          <w:szCs w:val="24"/>
        </w:rPr>
        <w:t xml:space="preserve"> filed its application.</w:t>
      </w:r>
    </w:p>
    <w:p w:rsidR="00E8696F" w:rsidRPr="00F530B0" w:rsidRDefault="00E8696F" w:rsidP="00EB7487">
      <w:pPr>
        <w:spacing w:after="0" w:line="240" w:lineRule="auto"/>
        <w:jc w:val="both"/>
        <w:rPr>
          <w:rFonts w:ascii="Times New Roman" w:eastAsia="Calibri" w:hAnsi="Times New Roman" w:cs="Times New Roman"/>
          <w:sz w:val="24"/>
          <w:szCs w:val="24"/>
        </w:rPr>
      </w:pPr>
    </w:p>
    <w:p w:rsidR="00E8696F" w:rsidRPr="00F530B0" w:rsidRDefault="00E8696F" w:rsidP="0081415A">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r>
      <w:r w:rsidR="00FD4195" w:rsidRPr="00F530B0">
        <w:rPr>
          <w:rFonts w:ascii="Times New Roman" w:eastAsia="Calibri" w:hAnsi="Times New Roman" w:cs="Times New Roman"/>
          <w:sz w:val="24"/>
          <w:szCs w:val="24"/>
        </w:rPr>
        <w:t>On the merits, the appellant denied owing the respondent any refund.  In her view, the duty that was levied was lawful at the time.  The</w:t>
      </w:r>
      <w:r w:rsidR="00E26BBD" w:rsidRPr="00F530B0">
        <w:rPr>
          <w:rFonts w:ascii="Times New Roman" w:eastAsia="Calibri" w:hAnsi="Times New Roman" w:cs="Times New Roman"/>
          <w:sz w:val="24"/>
          <w:szCs w:val="24"/>
        </w:rPr>
        <w:t xml:space="preserve"> invalidity only came after the event</w:t>
      </w:r>
      <w:r w:rsidR="00FD4195" w:rsidRPr="00F530B0">
        <w:rPr>
          <w:rFonts w:ascii="Times New Roman" w:eastAsia="Calibri" w:hAnsi="Times New Roman" w:cs="Times New Roman"/>
          <w:sz w:val="24"/>
          <w:szCs w:val="24"/>
        </w:rPr>
        <w:t>.</w:t>
      </w:r>
    </w:p>
    <w:p w:rsidR="00FD4195" w:rsidRPr="00F530B0" w:rsidRDefault="00FD4195" w:rsidP="00A56DAF">
      <w:pPr>
        <w:spacing w:after="0" w:line="240" w:lineRule="auto"/>
        <w:jc w:val="both"/>
        <w:rPr>
          <w:rFonts w:ascii="Times New Roman" w:eastAsia="Calibri" w:hAnsi="Times New Roman" w:cs="Times New Roman"/>
          <w:sz w:val="24"/>
          <w:szCs w:val="24"/>
        </w:rPr>
      </w:pPr>
    </w:p>
    <w:p w:rsidR="00FD4195" w:rsidRPr="00F530B0" w:rsidRDefault="00FD4195" w:rsidP="0081415A">
      <w:pPr>
        <w:spacing w:line="480" w:lineRule="auto"/>
        <w:jc w:val="both"/>
        <w:rPr>
          <w:rFonts w:ascii="Times New Roman" w:eastAsia="Calibri" w:hAnsi="Times New Roman" w:cs="Times New Roman"/>
          <w:b/>
          <w:i/>
          <w:sz w:val="24"/>
          <w:szCs w:val="24"/>
        </w:rPr>
      </w:pPr>
      <w:r w:rsidRPr="00F530B0">
        <w:rPr>
          <w:rFonts w:ascii="Times New Roman" w:eastAsia="Calibri" w:hAnsi="Times New Roman" w:cs="Times New Roman"/>
          <w:b/>
          <w:sz w:val="24"/>
          <w:szCs w:val="24"/>
        </w:rPr>
        <w:t xml:space="preserve">DECISION </w:t>
      </w:r>
      <w:r w:rsidRPr="00F530B0">
        <w:rPr>
          <w:rFonts w:ascii="Times New Roman" w:eastAsia="Calibri" w:hAnsi="Times New Roman" w:cs="Times New Roman"/>
          <w:b/>
          <w:i/>
          <w:sz w:val="24"/>
          <w:szCs w:val="24"/>
        </w:rPr>
        <w:t>A QUO</w:t>
      </w:r>
    </w:p>
    <w:p w:rsidR="00FD4195" w:rsidRPr="00F530B0" w:rsidRDefault="00FD4195" w:rsidP="00B11B2F">
      <w:pPr>
        <w:spacing w:line="480" w:lineRule="auto"/>
        <w:ind w:firstLine="1276"/>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The court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xml:space="preserve"> dismissed all the preliminary points raised by the appellant.  In dismissing the objection on the citation of the appellant as opposed to ZIMRA the learned judge </w:t>
      </w:r>
      <w:r w:rsidRPr="00F530B0">
        <w:rPr>
          <w:rFonts w:ascii="Times New Roman" w:eastAsia="Calibri" w:hAnsi="Times New Roman" w:cs="Times New Roman"/>
          <w:i/>
          <w:sz w:val="24"/>
          <w:szCs w:val="24"/>
        </w:rPr>
        <w:t xml:space="preserve">a quo </w:t>
      </w:r>
      <w:r w:rsidRPr="00F530B0">
        <w:rPr>
          <w:rFonts w:ascii="Times New Roman" w:eastAsia="Calibri" w:hAnsi="Times New Roman" w:cs="Times New Roman"/>
          <w:sz w:val="24"/>
          <w:szCs w:val="24"/>
        </w:rPr>
        <w:t>made reference to some judgments of the High Court which determined that the Commissioner General cannot be cited personally as a part</w:t>
      </w:r>
      <w:r w:rsidR="00085C36" w:rsidRPr="00F530B0">
        <w:rPr>
          <w:rFonts w:ascii="Times New Roman" w:eastAsia="Calibri" w:hAnsi="Times New Roman" w:cs="Times New Roman"/>
          <w:sz w:val="24"/>
          <w:szCs w:val="24"/>
        </w:rPr>
        <w:t>y</w:t>
      </w:r>
      <w:r w:rsidRPr="00F530B0">
        <w:rPr>
          <w:rFonts w:ascii="Times New Roman" w:eastAsia="Calibri" w:hAnsi="Times New Roman" w:cs="Times New Roman"/>
          <w:sz w:val="24"/>
          <w:szCs w:val="24"/>
        </w:rPr>
        <w:t xml:space="preserve"> in proceedings instituted as a result of the conduct of employees of ZIMRA.</w:t>
      </w:r>
    </w:p>
    <w:p w:rsidR="00FD4195" w:rsidRPr="00F530B0" w:rsidRDefault="00FD4195" w:rsidP="006C6A51">
      <w:pPr>
        <w:spacing w:after="0" w:line="240" w:lineRule="auto"/>
        <w:jc w:val="both"/>
        <w:rPr>
          <w:rFonts w:ascii="Times New Roman" w:eastAsia="Calibri" w:hAnsi="Times New Roman" w:cs="Times New Roman"/>
          <w:sz w:val="24"/>
          <w:szCs w:val="24"/>
        </w:rPr>
      </w:pPr>
    </w:p>
    <w:p w:rsidR="00FD4195" w:rsidRPr="00F530B0" w:rsidRDefault="00FD4195" w:rsidP="007D519C">
      <w:pPr>
        <w:tabs>
          <w:tab w:val="left" w:pos="1418"/>
        </w:tabs>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t xml:space="preserve">The cases of </w:t>
      </w:r>
      <w:r w:rsidRPr="00F530B0">
        <w:rPr>
          <w:rFonts w:ascii="Times New Roman" w:eastAsia="Calibri" w:hAnsi="Times New Roman" w:cs="Times New Roman"/>
          <w:i/>
          <w:sz w:val="24"/>
          <w:szCs w:val="24"/>
        </w:rPr>
        <w:t>Main Motors v Commissioner General</w:t>
      </w:r>
      <w:r w:rsidR="00420DFE" w:rsidRPr="00F530B0">
        <w:rPr>
          <w:rFonts w:ascii="Times New Roman" w:eastAsia="Calibri" w:hAnsi="Times New Roman" w:cs="Times New Roman"/>
          <w:i/>
          <w:sz w:val="24"/>
          <w:szCs w:val="24"/>
        </w:rPr>
        <w:t xml:space="preserve"> HMA</w:t>
      </w:r>
      <w:r w:rsidR="00420DFE" w:rsidRPr="00F530B0">
        <w:rPr>
          <w:rFonts w:ascii="Times New Roman" w:eastAsia="Calibri" w:hAnsi="Times New Roman" w:cs="Times New Roman"/>
          <w:sz w:val="24"/>
          <w:szCs w:val="24"/>
        </w:rPr>
        <w:t xml:space="preserve"> 17 -17 and </w:t>
      </w:r>
      <w:r w:rsidR="00420DFE" w:rsidRPr="00F530B0">
        <w:rPr>
          <w:rFonts w:ascii="Times New Roman" w:eastAsia="Calibri" w:hAnsi="Times New Roman" w:cs="Times New Roman"/>
          <w:i/>
          <w:sz w:val="24"/>
          <w:szCs w:val="24"/>
        </w:rPr>
        <w:t>Pacifique v Commissioner General, Department of Customs</w:t>
      </w:r>
      <w:r w:rsidR="00193591" w:rsidRPr="00F530B0">
        <w:rPr>
          <w:rFonts w:ascii="Times New Roman" w:eastAsia="Calibri" w:hAnsi="Times New Roman" w:cs="Times New Roman"/>
          <w:i/>
          <w:sz w:val="24"/>
          <w:szCs w:val="24"/>
        </w:rPr>
        <w:t xml:space="preserve"> and</w:t>
      </w:r>
      <w:r w:rsidR="00420DFE" w:rsidRPr="00F530B0">
        <w:rPr>
          <w:rFonts w:ascii="Times New Roman" w:eastAsia="Calibri" w:hAnsi="Times New Roman" w:cs="Times New Roman"/>
          <w:i/>
          <w:sz w:val="24"/>
          <w:szCs w:val="24"/>
        </w:rPr>
        <w:t xml:space="preserve"> Excise </w:t>
      </w:r>
      <w:r w:rsidR="00420DFE" w:rsidRPr="00F530B0">
        <w:rPr>
          <w:rFonts w:ascii="Times New Roman" w:eastAsia="Calibri" w:hAnsi="Times New Roman" w:cs="Times New Roman"/>
          <w:sz w:val="24"/>
          <w:szCs w:val="24"/>
        </w:rPr>
        <w:t xml:space="preserve">HH 123/18 concluded that </w:t>
      </w:r>
      <w:r w:rsidR="00193591" w:rsidRPr="00F530B0">
        <w:rPr>
          <w:rFonts w:ascii="Times New Roman" w:eastAsia="Calibri" w:hAnsi="Times New Roman" w:cs="Times New Roman"/>
          <w:sz w:val="24"/>
          <w:szCs w:val="24"/>
        </w:rPr>
        <w:t xml:space="preserve">it is not </w:t>
      </w:r>
      <w:r w:rsidR="00420DFE" w:rsidRPr="00F530B0">
        <w:rPr>
          <w:rFonts w:ascii="Times New Roman" w:eastAsia="Calibri" w:hAnsi="Times New Roman" w:cs="Times New Roman"/>
          <w:sz w:val="24"/>
          <w:szCs w:val="24"/>
        </w:rPr>
        <w:t>the Commissioner who should be cited in such proceedings bu</w:t>
      </w:r>
      <w:r w:rsidR="00E87973" w:rsidRPr="00F530B0">
        <w:rPr>
          <w:rFonts w:ascii="Times New Roman" w:eastAsia="Calibri" w:hAnsi="Times New Roman" w:cs="Times New Roman"/>
          <w:sz w:val="24"/>
          <w:szCs w:val="24"/>
        </w:rPr>
        <w:t xml:space="preserve">t </w:t>
      </w:r>
      <w:r w:rsidR="00E87973" w:rsidRPr="00F530B0">
        <w:rPr>
          <w:rFonts w:ascii="Times New Roman" w:eastAsia="Calibri" w:hAnsi="Times New Roman" w:cs="Times New Roman"/>
          <w:sz w:val="24"/>
          <w:szCs w:val="24"/>
        </w:rPr>
        <w:lastRenderedPageBreak/>
        <w:t>ZIMRA itself.  In terms of s 3</w:t>
      </w:r>
      <w:r w:rsidR="00420DFE" w:rsidRPr="00F530B0">
        <w:rPr>
          <w:rFonts w:ascii="Times New Roman" w:eastAsia="Calibri" w:hAnsi="Times New Roman" w:cs="Times New Roman"/>
          <w:sz w:val="24"/>
          <w:szCs w:val="24"/>
        </w:rPr>
        <w:t xml:space="preserve"> of the Revenue Authority Act [</w:t>
      </w:r>
      <w:r w:rsidR="00420DFE" w:rsidRPr="00F530B0">
        <w:rPr>
          <w:rFonts w:ascii="Times New Roman" w:eastAsia="Calibri" w:hAnsi="Times New Roman" w:cs="Times New Roman"/>
          <w:i/>
          <w:sz w:val="24"/>
          <w:szCs w:val="24"/>
        </w:rPr>
        <w:t>Chapter 23:11</w:t>
      </w:r>
      <w:r w:rsidR="00420DFE" w:rsidRPr="00F530B0">
        <w:rPr>
          <w:rFonts w:ascii="Times New Roman" w:eastAsia="Calibri" w:hAnsi="Times New Roman" w:cs="Times New Roman"/>
          <w:sz w:val="24"/>
          <w:szCs w:val="24"/>
        </w:rPr>
        <w:t>] ZIMRA is a body corporate capable of suing and being sued in its own name.</w:t>
      </w:r>
    </w:p>
    <w:p w:rsidR="00420DFE" w:rsidRPr="00F530B0" w:rsidRDefault="00420DFE" w:rsidP="006C6A51">
      <w:pPr>
        <w:spacing w:after="0" w:line="240" w:lineRule="auto"/>
        <w:jc w:val="both"/>
        <w:rPr>
          <w:rFonts w:ascii="Times New Roman" w:eastAsia="Calibri" w:hAnsi="Times New Roman" w:cs="Times New Roman"/>
          <w:sz w:val="24"/>
          <w:szCs w:val="24"/>
        </w:rPr>
      </w:pPr>
    </w:p>
    <w:p w:rsidR="00420DFE" w:rsidRPr="00F530B0" w:rsidRDefault="00420DFE" w:rsidP="0081415A">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r>
      <w:r w:rsidR="00542E36" w:rsidRPr="00F530B0">
        <w:rPr>
          <w:rFonts w:ascii="Times New Roman" w:eastAsia="Calibri" w:hAnsi="Times New Roman" w:cs="Times New Roman"/>
          <w:sz w:val="24"/>
          <w:szCs w:val="24"/>
        </w:rPr>
        <w:t>I should add</w:t>
      </w:r>
      <w:r w:rsidRPr="00F530B0">
        <w:rPr>
          <w:rFonts w:ascii="Times New Roman" w:eastAsia="Calibri" w:hAnsi="Times New Roman" w:cs="Times New Roman"/>
          <w:sz w:val="24"/>
          <w:szCs w:val="24"/>
        </w:rPr>
        <w:t xml:space="preserve"> th</w:t>
      </w:r>
      <w:r w:rsidR="00542E36" w:rsidRPr="00F530B0">
        <w:rPr>
          <w:rFonts w:ascii="Times New Roman" w:eastAsia="Calibri" w:hAnsi="Times New Roman" w:cs="Times New Roman"/>
          <w:sz w:val="24"/>
          <w:szCs w:val="24"/>
        </w:rPr>
        <w:t>at in arguments advanced before</w:t>
      </w:r>
      <w:r w:rsidRPr="00F530B0">
        <w:rPr>
          <w:rFonts w:ascii="Times New Roman" w:eastAsia="Calibri" w:hAnsi="Times New Roman" w:cs="Times New Roman"/>
          <w:sz w:val="24"/>
          <w:szCs w:val="24"/>
        </w:rPr>
        <w:t xml:space="preserve"> the court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cou</w:t>
      </w:r>
      <w:r w:rsidR="00256BE3" w:rsidRPr="00F530B0">
        <w:rPr>
          <w:rFonts w:ascii="Times New Roman" w:eastAsia="Calibri" w:hAnsi="Times New Roman" w:cs="Times New Roman"/>
          <w:sz w:val="24"/>
          <w:szCs w:val="24"/>
        </w:rPr>
        <w:t>nsel for the appellant drew</w:t>
      </w:r>
      <w:r w:rsidRPr="00F530B0">
        <w:rPr>
          <w:rFonts w:ascii="Times New Roman" w:eastAsia="Calibri" w:hAnsi="Times New Roman" w:cs="Times New Roman"/>
          <w:sz w:val="24"/>
          <w:szCs w:val="24"/>
        </w:rPr>
        <w:t xml:space="preserve"> the attention of the court to a number of authorit</w:t>
      </w:r>
      <w:r w:rsidR="00542E36" w:rsidRPr="00F530B0">
        <w:rPr>
          <w:rFonts w:ascii="Times New Roman" w:eastAsia="Calibri" w:hAnsi="Times New Roman" w:cs="Times New Roman"/>
          <w:sz w:val="24"/>
          <w:szCs w:val="24"/>
        </w:rPr>
        <w:t xml:space="preserve">ies on the issue including </w:t>
      </w:r>
      <w:r w:rsidRPr="00F530B0">
        <w:rPr>
          <w:rFonts w:ascii="Times New Roman" w:eastAsia="Calibri" w:hAnsi="Times New Roman" w:cs="Times New Roman"/>
          <w:sz w:val="24"/>
          <w:szCs w:val="24"/>
        </w:rPr>
        <w:t xml:space="preserve"> authorities </w:t>
      </w:r>
      <w:r w:rsidR="00542E36" w:rsidRPr="00F530B0">
        <w:rPr>
          <w:rFonts w:ascii="Times New Roman" w:eastAsia="Calibri" w:hAnsi="Times New Roman" w:cs="Times New Roman"/>
          <w:sz w:val="24"/>
          <w:szCs w:val="24"/>
        </w:rPr>
        <w:t>which</w:t>
      </w:r>
      <w:r w:rsidRPr="00F530B0">
        <w:rPr>
          <w:rFonts w:ascii="Times New Roman" w:eastAsia="Calibri" w:hAnsi="Times New Roman" w:cs="Times New Roman"/>
          <w:sz w:val="24"/>
          <w:szCs w:val="24"/>
        </w:rPr>
        <w:t xml:space="preserve"> had already been endorsed by the Supreme Court in </w:t>
      </w:r>
      <w:r w:rsidRPr="00F530B0">
        <w:rPr>
          <w:rFonts w:ascii="Times New Roman" w:eastAsia="Calibri" w:hAnsi="Times New Roman" w:cs="Times New Roman"/>
          <w:i/>
          <w:sz w:val="24"/>
          <w:szCs w:val="24"/>
        </w:rPr>
        <w:t>Care International in Zimbabwe v Zimbabwe Revenue</w:t>
      </w:r>
      <w:r w:rsidRPr="00F530B0">
        <w:rPr>
          <w:rFonts w:ascii="Times New Roman" w:eastAsia="Calibri" w:hAnsi="Times New Roman" w:cs="Times New Roman"/>
          <w:sz w:val="24"/>
          <w:szCs w:val="24"/>
        </w:rPr>
        <w:t xml:space="preserve"> </w:t>
      </w:r>
      <w:r w:rsidRPr="00F530B0">
        <w:rPr>
          <w:rFonts w:ascii="Times New Roman" w:eastAsia="Calibri" w:hAnsi="Times New Roman" w:cs="Times New Roman"/>
          <w:i/>
          <w:sz w:val="24"/>
          <w:szCs w:val="24"/>
        </w:rPr>
        <w:t xml:space="preserve">Authority &amp; Ors </w:t>
      </w:r>
      <w:r w:rsidRPr="00F530B0">
        <w:rPr>
          <w:rFonts w:ascii="Times New Roman" w:eastAsia="Calibri" w:hAnsi="Times New Roman" w:cs="Times New Roman"/>
          <w:sz w:val="24"/>
          <w:szCs w:val="24"/>
        </w:rPr>
        <w:t>SC76/17.  In that case this Court eminently pro</w:t>
      </w:r>
      <w:r w:rsidR="005257C0" w:rsidRPr="00F530B0">
        <w:rPr>
          <w:rFonts w:ascii="Times New Roman" w:eastAsia="Calibri" w:hAnsi="Times New Roman" w:cs="Times New Roman"/>
          <w:sz w:val="24"/>
          <w:szCs w:val="24"/>
        </w:rPr>
        <w:t>nounced that the Commissioner is</w:t>
      </w:r>
      <w:r w:rsidRPr="00F530B0">
        <w:rPr>
          <w:rFonts w:ascii="Times New Roman" w:eastAsia="Calibri" w:hAnsi="Times New Roman" w:cs="Times New Roman"/>
          <w:sz w:val="24"/>
          <w:szCs w:val="24"/>
        </w:rPr>
        <w:t xml:space="preserve"> merely an employee of ZIMRA who acts on the authority</w:t>
      </w:r>
      <w:r w:rsidR="002C74C3" w:rsidRPr="00F530B0">
        <w:rPr>
          <w:rFonts w:ascii="Times New Roman" w:eastAsia="Calibri" w:hAnsi="Times New Roman" w:cs="Times New Roman"/>
          <w:sz w:val="24"/>
          <w:szCs w:val="24"/>
        </w:rPr>
        <w:t xml:space="preserve"> besto</w:t>
      </w:r>
      <w:r w:rsidR="00475978" w:rsidRPr="00F530B0">
        <w:rPr>
          <w:rFonts w:ascii="Times New Roman" w:eastAsia="Calibri" w:hAnsi="Times New Roman" w:cs="Times New Roman"/>
          <w:sz w:val="24"/>
          <w:szCs w:val="24"/>
        </w:rPr>
        <w:t xml:space="preserve">wed to him or her by ZIMRA. The latter was </w:t>
      </w:r>
      <w:r w:rsidR="00F47F2F" w:rsidRPr="00F530B0">
        <w:rPr>
          <w:rFonts w:ascii="Times New Roman" w:eastAsia="Calibri" w:hAnsi="Times New Roman" w:cs="Times New Roman"/>
          <w:sz w:val="24"/>
          <w:szCs w:val="24"/>
        </w:rPr>
        <w:t>established with the power to sue and be sued in its own right and not through its Commissioner</w:t>
      </w:r>
      <w:r w:rsidR="00E96DCF" w:rsidRPr="00F530B0">
        <w:rPr>
          <w:rFonts w:ascii="Times New Roman" w:eastAsia="Calibri" w:hAnsi="Times New Roman" w:cs="Times New Roman"/>
          <w:sz w:val="24"/>
          <w:szCs w:val="24"/>
        </w:rPr>
        <w:t>.</w:t>
      </w:r>
    </w:p>
    <w:p w:rsidR="00E96DCF" w:rsidRPr="00F530B0" w:rsidRDefault="00E96DCF" w:rsidP="00ED2BD6">
      <w:pPr>
        <w:spacing w:after="0" w:line="240" w:lineRule="auto"/>
        <w:jc w:val="both"/>
        <w:rPr>
          <w:rFonts w:ascii="Times New Roman" w:eastAsia="Calibri" w:hAnsi="Times New Roman" w:cs="Times New Roman"/>
          <w:sz w:val="24"/>
          <w:szCs w:val="24"/>
        </w:rPr>
      </w:pPr>
    </w:p>
    <w:p w:rsidR="00E96DCF" w:rsidRPr="00F530B0" w:rsidRDefault="00E96DCF" w:rsidP="0081415A">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t>Unperturbed</w:t>
      </w:r>
      <w:r w:rsidR="00C2362C" w:rsidRPr="00F530B0">
        <w:rPr>
          <w:rFonts w:ascii="Times New Roman" w:eastAsia="Calibri" w:hAnsi="Times New Roman" w:cs="Times New Roman"/>
          <w:sz w:val="24"/>
          <w:szCs w:val="24"/>
        </w:rPr>
        <w:t>,</w:t>
      </w:r>
      <w:r w:rsidRPr="00F530B0">
        <w:rPr>
          <w:rFonts w:ascii="Times New Roman" w:eastAsia="Calibri" w:hAnsi="Times New Roman" w:cs="Times New Roman"/>
          <w:sz w:val="24"/>
          <w:szCs w:val="24"/>
        </w:rPr>
        <w:t xml:space="preserve"> the learned judge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xml:space="preserve"> sharply disagreed with those authorities.  He stated </w:t>
      </w:r>
      <w:r w:rsidR="00DA2CD7" w:rsidRPr="00F530B0">
        <w:rPr>
          <w:rFonts w:ascii="Times New Roman" w:eastAsia="Calibri" w:hAnsi="Times New Roman" w:cs="Times New Roman"/>
          <w:sz w:val="24"/>
          <w:szCs w:val="24"/>
        </w:rPr>
        <w:t>at pp 5 and 6 of the judgment:</w:t>
      </w:r>
    </w:p>
    <w:p w:rsidR="00A758F6" w:rsidRPr="00F530B0" w:rsidRDefault="00A758F6" w:rsidP="0081415A">
      <w:pPr>
        <w:spacing w:line="240" w:lineRule="auto"/>
        <w:ind w:left="709"/>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“What is evident from the citation and the pleadings is that </w:t>
      </w:r>
      <w:r w:rsidR="001E123E" w:rsidRPr="00F530B0">
        <w:rPr>
          <w:rFonts w:ascii="Times New Roman" w:eastAsia="Calibri" w:hAnsi="Times New Roman" w:cs="Times New Roman"/>
          <w:sz w:val="24"/>
          <w:szCs w:val="24"/>
        </w:rPr>
        <w:t>proceedings have been instituted</w:t>
      </w:r>
      <w:r w:rsidRPr="00F530B0">
        <w:rPr>
          <w:rFonts w:ascii="Times New Roman" w:eastAsia="Calibri" w:hAnsi="Times New Roman" w:cs="Times New Roman"/>
          <w:sz w:val="24"/>
          <w:szCs w:val="24"/>
        </w:rPr>
        <w:t xml:space="preserve"> against the Commissioner General </w:t>
      </w:r>
      <w:r w:rsidRPr="00F530B0">
        <w:rPr>
          <w:rFonts w:ascii="Times New Roman" w:eastAsia="Calibri" w:hAnsi="Times New Roman" w:cs="Times New Roman"/>
          <w:i/>
          <w:sz w:val="24"/>
          <w:szCs w:val="24"/>
        </w:rPr>
        <w:t>nomine officio</w:t>
      </w:r>
      <w:r w:rsidRPr="00F530B0">
        <w:rPr>
          <w:rFonts w:ascii="Times New Roman" w:eastAsia="Calibri" w:hAnsi="Times New Roman" w:cs="Times New Roman"/>
          <w:sz w:val="24"/>
          <w:szCs w:val="24"/>
        </w:rPr>
        <w:t>.  Needless to say, I do not agree with the conclusions reached in the judgments relied on by the respondent which take the view that the</w:t>
      </w:r>
      <w:r w:rsidR="00410609" w:rsidRPr="00F530B0">
        <w:rPr>
          <w:rFonts w:ascii="Times New Roman" w:eastAsia="Calibri" w:hAnsi="Times New Roman" w:cs="Times New Roman"/>
          <w:sz w:val="24"/>
          <w:szCs w:val="24"/>
        </w:rPr>
        <w:t xml:space="preserve"> </w:t>
      </w:r>
      <w:r w:rsidRPr="00F530B0">
        <w:rPr>
          <w:rFonts w:ascii="Times New Roman" w:eastAsia="Calibri" w:hAnsi="Times New Roman" w:cs="Times New Roman"/>
          <w:sz w:val="24"/>
          <w:szCs w:val="24"/>
        </w:rPr>
        <w:t xml:space="preserve">Commissioner </w:t>
      </w:r>
      <w:r w:rsidR="00410609" w:rsidRPr="00F530B0">
        <w:rPr>
          <w:rFonts w:ascii="Times New Roman" w:eastAsia="Calibri" w:hAnsi="Times New Roman" w:cs="Times New Roman"/>
          <w:sz w:val="24"/>
          <w:szCs w:val="24"/>
        </w:rPr>
        <w:t xml:space="preserve">General ‘cannot </w:t>
      </w:r>
      <w:r w:rsidRPr="00F530B0">
        <w:rPr>
          <w:rFonts w:ascii="Times New Roman" w:eastAsia="Calibri" w:hAnsi="Times New Roman" w:cs="Times New Roman"/>
          <w:sz w:val="24"/>
          <w:szCs w:val="24"/>
        </w:rPr>
        <w:t>be cited personally</w:t>
      </w:r>
      <w:r w:rsidR="00877DBE" w:rsidRPr="00F530B0">
        <w:rPr>
          <w:rFonts w:ascii="Times New Roman" w:eastAsia="Calibri" w:hAnsi="Times New Roman" w:cs="Times New Roman"/>
          <w:sz w:val="24"/>
          <w:szCs w:val="24"/>
        </w:rPr>
        <w:t>.’</w:t>
      </w:r>
      <w:r w:rsidR="00AA4CA1" w:rsidRPr="00F530B0">
        <w:rPr>
          <w:rFonts w:ascii="Times New Roman" w:eastAsia="Calibri" w:hAnsi="Times New Roman" w:cs="Times New Roman"/>
          <w:sz w:val="24"/>
          <w:szCs w:val="24"/>
        </w:rPr>
        <w:t xml:space="preserve"> </w:t>
      </w:r>
      <w:r w:rsidR="00700227" w:rsidRPr="00F530B0">
        <w:rPr>
          <w:rFonts w:ascii="Times New Roman" w:eastAsia="Calibri" w:hAnsi="Times New Roman" w:cs="Times New Roman"/>
          <w:sz w:val="24"/>
          <w:szCs w:val="24"/>
        </w:rPr>
        <w:t>My</w:t>
      </w:r>
      <w:r w:rsidRPr="00F530B0">
        <w:rPr>
          <w:rFonts w:ascii="Times New Roman" w:eastAsia="Calibri" w:hAnsi="Times New Roman" w:cs="Times New Roman"/>
          <w:sz w:val="24"/>
          <w:szCs w:val="24"/>
        </w:rPr>
        <w:t xml:space="preserve"> </w:t>
      </w:r>
      <w:r w:rsidR="00700227" w:rsidRPr="00F530B0">
        <w:rPr>
          <w:rFonts w:ascii="Times New Roman" w:eastAsia="Calibri" w:hAnsi="Times New Roman" w:cs="Times New Roman"/>
          <w:sz w:val="24"/>
          <w:szCs w:val="24"/>
        </w:rPr>
        <w:t>view is</w:t>
      </w:r>
      <w:r w:rsidRPr="00F530B0">
        <w:rPr>
          <w:rFonts w:ascii="Times New Roman" w:eastAsia="Calibri" w:hAnsi="Times New Roman" w:cs="Times New Roman"/>
          <w:sz w:val="24"/>
          <w:szCs w:val="24"/>
        </w:rPr>
        <w:t xml:space="preserve"> that it is incorrect, in any event, to suggest that the Commissioner General was sued personally in those matters, because the use</w:t>
      </w:r>
      <w:r w:rsidR="00F54490" w:rsidRPr="00F530B0">
        <w:rPr>
          <w:rFonts w:ascii="Times New Roman" w:eastAsia="Calibri" w:hAnsi="Times New Roman" w:cs="Times New Roman"/>
          <w:sz w:val="24"/>
          <w:szCs w:val="24"/>
        </w:rPr>
        <w:t xml:space="preserve"> of the official title betrays that the respondent was cited </w:t>
      </w:r>
      <w:r w:rsidR="00F54490" w:rsidRPr="00F530B0">
        <w:rPr>
          <w:rFonts w:ascii="Times New Roman" w:eastAsia="Calibri" w:hAnsi="Times New Roman" w:cs="Times New Roman"/>
          <w:i/>
          <w:sz w:val="24"/>
          <w:szCs w:val="24"/>
        </w:rPr>
        <w:t xml:space="preserve">nomine officio. </w:t>
      </w:r>
      <w:r w:rsidR="00F54490" w:rsidRPr="00F530B0">
        <w:rPr>
          <w:rFonts w:ascii="Times New Roman" w:eastAsia="Calibri" w:hAnsi="Times New Roman" w:cs="Times New Roman"/>
          <w:sz w:val="24"/>
          <w:szCs w:val="24"/>
        </w:rPr>
        <w:t xml:space="preserve">Otherwise, the respondent’s personal name </w:t>
      </w:r>
      <w:r w:rsidR="00410609" w:rsidRPr="00F530B0">
        <w:rPr>
          <w:rFonts w:ascii="Times New Roman" w:eastAsia="Calibri" w:hAnsi="Times New Roman" w:cs="Times New Roman"/>
          <w:sz w:val="24"/>
          <w:szCs w:val="24"/>
        </w:rPr>
        <w:t>would have</w:t>
      </w:r>
      <w:r w:rsidR="00F54490" w:rsidRPr="00F530B0">
        <w:rPr>
          <w:rFonts w:ascii="Times New Roman" w:eastAsia="Calibri" w:hAnsi="Times New Roman" w:cs="Times New Roman"/>
          <w:sz w:val="24"/>
          <w:szCs w:val="24"/>
        </w:rPr>
        <w:t xml:space="preserve"> been used</w:t>
      </w:r>
      <w:r w:rsidR="00410609" w:rsidRPr="00F530B0">
        <w:rPr>
          <w:rFonts w:ascii="Times New Roman" w:eastAsia="Calibri" w:hAnsi="Times New Roman" w:cs="Times New Roman"/>
          <w:sz w:val="24"/>
          <w:szCs w:val="24"/>
        </w:rPr>
        <w:t xml:space="preserve"> ----</w:t>
      </w:r>
    </w:p>
    <w:p w:rsidR="00700227" w:rsidRPr="00F530B0" w:rsidRDefault="00700227" w:rsidP="00700227">
      <w:pPr>
        <w:spacing w:line="240" w:lineRule="auto"/>
        <w:ind w:left="709"/>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The inevitable deduction from the above remarks is that, if a cause of action arises from an act or omission by the Commissioner General of his statutory responsibilities, he can be sued,  More generally, what emerges from the decided cases is  that the Commissioner General enjoy</w:t>
      </w:r>
      <w:r w:rsidR="00017338" w:rsidRPr="00F530B0">
        <w:rPr>
          <w:rFonts w:ascii="Times New Roman" w:eastAsia="Calibri" w:hAnsi="Times New Roman" w:cs="Times New Roman"/>
          <w:sz w:val="24"/>
          <w:szCs w:val="24"/>
        </w:rPr>
        <w:t>s no insulation from being sued</w:t>
      </w:r>
      <w:r w:rsidRPr="00F530B0">
        <w:rPr>
          <w:rFonts w:ascii="Times New Roman" w:eastAsia="Calibri" w:hAnsi="Times New Roman" w:cs="Times New Roman"/>
          <w:sz w:val="24"/>
          <w:szCs w:val="24"/>
        </w:rPr>
        <w:t>-----</w:t>
      </w:r>
    </w:p>
    <w:p w:rsidR="0081415A" w:rsidRPr="00F530B0" w:rsidRDefault="0081415A" w:rsidP="0081415A">
      <w:pPr>
        <w:spacing w:line="240" w:lineRule="auto"/>
        <w:ind w:left="709"/>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The authorities cited proceed from the premise that it is only </w:t>
      </w:r>
      <w:r w:rsidR="00410609" w:rsidRPr="00F530B0">
        <w:rPr>
          <w:rFonts w:ascii="Times New Roman" w:eastAsia="Calibri" w:hAnsi="Times New Roman" w:cs="Times New Roman"/>
          <w:sz w:val="24"/>
          <w:szCs w:val="24"/>
        </w:rPr>
        <w:t>ZIMRA which</w:t>
      </w:r>
      <w:r w:rsidRPr="00F530B0">
        <w:rPr>
          <w:rFonts w:ascii="Times New Roman" w:eastAsia="Calibri" w:hAnsi="Times New Roman" w:cs="Times New Roman"/>
          <w:sz w:val="24"/>
          <w:szCs w:val="24"/>
        </w:rPr>
        <w:t xml:space="preserve"> must be </w:t>
      </w:r>
      <w:r w:rsidR="00410609" w:rsidRPr="00F530B0">
        <w:rPr>
          <w:rFonts w:ascii="Times New Roman" w:eastAsia="Calibri" w:hAnsi="Times New Roman" w:cs="Times New Roman"/>
          <w:sz w:val="24"/>
          <w:szCs w:val="24"/>
        </w:rPr>
        <w:t>sued for acts of the authority’s employees. This</w:t>
      </w:r>
      <w:r w:rsidR="00017338" w:rsidRPr="00F530B0">
        <w:rPr>
          <w:rFonts w:ascii="Times New Roman" w:eastAsia="Calibri" w:hAnsi="Times New Roman" w:cs="Times New Roman"/>
          <w:sz w:val="24"/>
          <w:szCs w:val="24"/>
        </w:rPr>
        <w:t>, as will</w:t>
      </w:r>
      <w:r w:rsidR="00410609" w:rsidRPr="00F530B0">
        <w:rPr>
          <w:rFonts w:ascii="Times New Roman" w:eastAsia="Calibri" w:hAnsi="Times New Roman" w:cs="Times New Roman"/>
          <w:sz w:val="24"/>
          <w:szCs w:val="24"/>
        </w:rPr>
        <w:t xml:space="preserve"> shortly be demonstrated, is a flawed premise wh</w:t>
      </w:r>
      <w:r w:rsidR="00BE398E" w:rsidRPr="00F530B0">
        <w:rPr>
          <w:rFonts w:ascii="Times New Roman" w:eastAsia="Calibri" w:hAnsi="Times New Roman" w:cs="Times New Roman"/>
          <w:sz w:val="24"/>
          <w:szCs w:val="24"/>
        </w:rPr>
        <w:t>ich is not supported by the law.”</w:t>
      </w:r>
    </w:p>
    <w:p w:rsidR="00D41B75" w:rsidRPr="00F530B0" w:rsidRDefault="00D41B75" w:rsidP="00FE513D">
      <w:pPr>
        <w:spacing w:after="0" w:line="240" w:lineRule="auto"/>
        <w:jc w:val="both"/>
        <w:rPr>
          <w:rFonts w:ascii="Times New Roman" w:eastAsia="Calibri" w:hAnsi="Times New Roman" w:cs="Times New Roman"/>
          <w:sz w:val="24"/>
          <w:szCs w:val="24"/>
        </w:rPr>
      </w:pPr>
    </w:p>
    <w:p w:rsidR="00E35FB7" w:rsidRPr="00F530B0" w:rsidRDefault="00E35FB7" w:rsidP="00B00719">
      <w:pPr>
        <w:spacing w:line="240" w:lineRule="auto"/>
        <w:jc w:val="both"/>
        <w:rPr>
          <w:rFonts w:ascii="Times New Roman" w:eastAsia="Calibri" w:hAnsi="Times New Roman" w:cs="Times New Roman"/>
          <w:sz w:val="24"/>
          <w:szCs w:val="24"/>
        </w:rPr>
      </w:pPr>
    </w:p>
    <w:p w:rsidR="00D41B75" w:rsidRPr="00F530B0" w:rsidRDefault="0042425A" w:rsidP="0093230A">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t xml:space="preserve">   </w:t>
      </w:r>
      <w:r w:rsidR="00CB4D53" w:rsidRPr="00F530B0">
        <w:rPr>
          <w:rFonts w:ascii="Times New Roman" w:eastAsia="Calibri" w:hAnsi="Times New Roman" w:cs="Times New Roman"/>
          <w:sz w:val="24"/>
          <w:szCs w:val="24"/>
        </w:rPr>
        <w:t xml:space="preserve">  </w:t>
      </w:r>
      <w:r w:rsidR="00D41B75" w:rsidRPr="00F530B0">
        <w:rPr>
          <w:rFonts w:ascii="Times New Roman" w:eastAsia="Calibri" w:hAnsi="Times New Roman" w:cs="Times New Roman"/>
          <w:sz w:val="24"/>
          <w:szCs w:val="24"/>
        </w:rPr>
        <w:t xml:space="preserve">On the question of prescription of the claim, the court </w:t>
      </w:r>
      <w:r w:rsidR="00D41B75" w:rsidRPr="009F290A">
        <w:rPr>
          <w:rFonts w:ascii="Times New Roman" w:eastAsia="Calibri" w:hAnsi="Times New Roman" w:cs="Times New Roman"/>
          <w:i/>
          <w:sz w:val="24"/>
          <w:szCs w:val="24"/>
        </w:rPr>
        <w:t>a</w:t>
      </w:r>
      <w:r w:rsidR="00D41B75" w:rsidRPr="00F530B0">
        <w:rPr>
          <w:rFonts w:ascii="Times New Roman" w:eastAsia="Calibri" w:hAnsi="Times New Roman" w:cs="Times New Roman"/>
          <w:i/>
          <w:sz w:val="24"/>
          <w:szCs w:val="24"/>
        </w:rPr>
        <w:t xml:space="preserve"> quo</w:t>
      </w:r>
      <w:r w:rsidR="00D41B75" w:rsidRPr="00F530B0">
        <w:rPr>
          <w:rFonts w:ascii="Times New Roman" w:eastAsia="Calibri" w:hAnsi="Times New Roman" w:cs="Times New Roman"/>
          <w:sz w:val="24"/>
          <w:szCs w:val="24"/>
        </w:rPr>
        <w:t xml:space="preserve"> was confronted with two diametrically opposed arguments</w:t>
      </w:r>
      <w:r w:rsidR="0093230A" w:rsidRPr="00F530B0">
        <w:rPr>
          <w:rFonts w:ascii="Times New Roman" w:eastAsia="Calibri" w:hAnsi="Times New Roman" w:cs="Times New Roman"/>
          <w:sz w:val="24"/>
          <w:szCs w:val="24"/>
        </w:rPr>
        <w:t xml:space="preserve"> related to when the cause of action arose and when it </w:t>
      </w:r>
      <w:r w:rsidR="0093230A" w:rsidRPr="00F530B0">
        <w:rPr>
          <w:rFonts w:ascii="Times New Roman" w:eastAsia="Calibri" w:hAnsi="Times New Roman" w:cs="Times New Roman"/>
          <w:sz w:val="24"/>
          <w:szCs w:val="24"/>
        </w:rPr>
        <w:lastRenderedPageBreak/>
        <w:t>prescribed.  The appellant argued that the cause of action arose on 7 April 2004 when th</w:t>
      </w:r>
      <w:r w:rsidR="00C87E83" w:rsidRPr="00F530B0">
        <w:rPr>
          <w:rFonts w:ascii="Times New Roman" w:eastAsia="Calibri" w:hAnsi="Times New Roman" w:cs="Times New Roman"/>
          <w:sz w:val="24"/>
          <w:szCs w:val="24"/>
        </w:rPr>
        <w:t xml:space="preserve">e judgment of Hlatshwayo J (as </w:t>
      </w:r>
      <w:r w:rsidR="006C6A51" w:rsidRPr="00F530B0">
        <w:rPr>
          <w:rFonts w:ascii="Times New Roman" w:eastAsia="Calibri" w:hAnsi="Times New Roman" w:cs="Times New Roman"/>
          <w:sz w:val="24"/>
          <w:szCs w:val="24"/>
        </w:rPr>
        <w:t>he then</w:t>
      </w:r>
      <w:r w:rsidR="0093230A" w:rsidRPr="00F530B0">
        <w:rPr>
          <w:rFonts w:ascii="Times New Roman" w:eastAsia="Calibri" w:hAnsi="Times New Roman" w:cs="Times New Roman"/>
          <w:sz w:val="24"/>
          <w:szCs w:val="24"/>
        </w:rPr>
        <w:t xml:space="preserve"> was) declaring the invalidity of the General Notice was handed down.  The appellant asserted that the judgment gave the respondent cause to sue for a refund.  As such</w:t>
      </w:r>
      <w:r w:rsidR="002D68DE" w:rsidRPr="00F530B0">
        <w:rPr>
          <w:rFonts w:ascii="Times New Roman" w:eastAsia="Calibri" w:hAnsi="Times New Roman" w:cs="Times New Roman"/>
          <w:sz w:val="24"/>
          <w:szCs w:val="24"/>
        </w:rPr>
        <w:t>,</w:t>
      </w:r>
      <w:r w:rsidR="0093230A" w:rsidRPr="00F530B0">
        <w:rPr>
          <w:rFonts w:ascii="Times New Roman" w:eastAsia="Calibri" w:hAnsi="Times New Roman" w:cs="Times New Roman"/>
          <w:sz w:val="24"/>
          <w:szCs w:val="24"/>
        </w:rPr>
        <w:t xml:space="preserve"> it was subject to s 15 (d) of the Prescrip</w:t>
      </w:r>
      <w:r w:rsidR="00830883">
        <w:rPr>
          <w:rFonts w:ascii="Times New Roman" w:eastAsia="Calibri" w:hAnsi="Times New Roman" w:cs="Times New Roman"/>
          <w:sz w:val="24"/>
          <w:szCs w:val="24"/>
        </w:rPr>
        <w:t>tion Act and prescribed after 3 </w:t>
      </w:r>
      <w:r w:rsidR="0093230A" w:rsidRPr="00F530B0">
        <w:rPr>
          <w:rFonts w:ascii="Times New Roman" w:eastAsia="Calibri" w:hAnsi="Times New Roman" w:cs="Times New Roman"/>
          <w:sz w:val="24"/>
          <w:szCs w:val="24"/>
        </w:rPr>
        <w:t>years from 7 April 2004.</w:t>
      </w:r>
    </w:p>
    <w:p w:rsidR="00A559AD" w:rsidRPr="00F530B0" w:rsidRDefault="00A559AD" w:rsidP="00FC29D7">
      <w:pPr>
        <w:spacing w:after="0" w:line="240" w:lineRule="auto"/>
        <w:jc w:val="both"/>
        <w:rPr>
          <w:rFonts w:ascii="Times New Roman" w:eastAsia="Calibri" w:hAnsi="Times New Roman" w:cs="Times New Roman"/>
          <w:sz w:val="24"/>
          <w:szCs w:val="24"/>
        </w:rPr>
      </w:pPr>
    </w:p>
    <w:p w:rsidR="00A559AD" w:rsidRPr="00F530B0" w:rsidRDefault="00A559AD" w:rsidP="0093230A">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t>According to the appellant</w:t>
      </w:r>
      <w:r w:rsidR="002D68DE" w:rsidRPr="00F530B0">
        <w:rPr>
          <w:rFonts w:ascii="Times New Roman" w:eastAsia="Calibri" w:hAnsi="Times New Roman" w:cs="Times New Roman"/>
          <w:sz w:val="24"/>
          <w:szCs w:val="24"/>
        </w:rPr>
        <w:t>, when</w:t>
      </w:r>
      <w:r w:rsidRPr="00F530B0">
        <w:rPr>
          <w:rFonts w:ascii="Times New Roman" w:eastAsia="Calibri" w:hAnsi="Times New Roman" w:cs="Times New Roman"/>
          <w:sz w:val="24"/>
          <w:szCs w:val="24"/>
        </w:rPr>
        <w:t xml:space="preserve"> the respondent filed and </w:t>
      </w:r>
      <w:r w:rsidR="00AF2097" w:rsidRPr="00F530B0">
        <w:rPr>
          <w:rFonts w:ascii="Times New Roman" w:eastAsia="Calibri" w:hAnsi="Times New Roman" w:cs="Times New Roman"/>
          <w:sz w:val="24"/>
          <w:szCs w:val="24"/>
        </w:rPr>
        <w:t>served the</w:t>
      </w:r>
      <w:r w:rsidRPr="00F530B0">
        <w:rPr>
          <w:rFonts w:ascii="Times New Roman" w:eastAsia="Calibri" w:hAnsi="Times New Roman" w:cs="Times New Roman"/>
          <w:sz w:val="24"/>
          <w:szCs w:val="24"/>
        </w:rPr>
        <w:t xml:space="preserve"> court application in June 2019</w:t>
      </w:r>
      <w:r w:rsidR="00B57593" w:rsidRPr="00F530B0">
        <w:rPr>
          <w:rFonts w:ascii="Times New Roman" w:eastAsia="Calibri" w:hAnsi="Times New Roman" w:cs="Times New Roman"/>
          <w:sz w:val="24"/>
          <w:szCs w:val="24"/>
        </w:rPr>
        <w:t>,</w:t>
      </w:r>
      <w:r w:rsidR="00500635" w:rsidRPr="00F530B0">
        <w:rPr>
          <w:rFonts w:ascii="Times New Roman" w:eastAsia="Calibri" w:hAnsi="Times New Roman" w:cs="Times New Roman"/>
          <w:sz w:val="24"/>
          <w:szCs w:val="24"/>
        </w:rPr>
        <w:t xml:space="preserve"> the claim had</w:t>
      </w:r>
      <w:r w:rsidRPr="00F530B0">
        <w:rPr>
          <w:rFonts w:ascii="Times New Roman" w:eastAsia="Calibri" w:hAnsi="Times New Roman" w:cs="Times New Roman"/>
          <w:sz w:val="24"/>
          <w:szCs w:val="24"/>
        </w:rPr>
        <w:t xml:space="preserve"> presc</w:t>
      </w:r>
      <w:r w:rsidR="00AF2097" w:rsidRPr="00F530B0">
        <w:rPr>
          <w:rFonts w:ascii="Times New Roman" w:eastAsia="Calibri" w:hAnsi="Times New Roman" w:cs="Times New Roman"/>
          <w:sz w:val="24"/>
          <w:szCs w:val="24"/>
        </w:rPr>
        <w:t xml:space="preserve">ribed.  </w:t>
      </w:r>
      <w:r w:rsidR="00AF2097" w:rsidRPr="00F530B0">
        <w:rPr>
          <w:rFonts w:ascii="Times New Roman" w:eastAsia="Calibri" w:hAnsi="Times New Roman" w:cs="Times New Roman"/>
          <w:i/>
          <w:sz w:val="24"/>
          <w:szCs w:val="24"/>
        </w:rPr>
        <w:t>Per contra</w:t>
      </w:r>
      <w:r w:rsidR="00AF2097" w:rsidRPr="00F530B0">
        <w:rPr>
          <w:rFonts w:ascii="Times New Roman" w:eastAsia="Calibri" w:hAnsi="Times New Roman" w:cs="Times New Roman"/>
          <w:sz w:val="24"/>
          <w:szCs w:val="24"/>
        </w:rPr>
        <w:t>, the respondent submitted a two-pronged argument.  The first leg of the respondent’</w:t>
      </w:r>
      <w:r w:rsidR="00500635" w:rsidRPr="00F530B0">
        <w:rPr>
          <w:rFonts w:ascii="Times New Roman" w:eastAsia="Calibri" w:hAnsi="Times New Roman" w:cs="Times New Roman"/>
          <w:sz w:val="24"/>
          <w:szCs w:val="24"/>
        </w:rPr>
        <w:t>s</w:t>
      </w:r>
      <w:r w:rsidR="00AF2097" w:rsidRPr="00F530B0">
        <w:rPr>
          <w:rFonts w:ascii="Times New Roman" w:eastAsia="Calibri" w:hAnsi="Times New Roman" w:cs="Times New Roman"/>
          <w:sz w:val="24"/>
          <w:szCs w:val="24"/>
        </w:rPr>
        <w:t xml:space="preserve"> argument was that its cause of </w:t>
      </w:r>
      <w:r w:rsidR="00C7268E" w:rsidRPr="00F530B0">
        <w:rPr>
          <w:rFonts w:ascii="Times New Roman" w:eastAsia="Calibri" w:hAnsi="Times New Roman" w:cs="Times New Roman"/>
          <w:sz w:val="24"/>
          <w:szCs w:val="24"/>
        </w:rPr>
        <w:t>action</w:t>
      </w:r>
      <w:r w:rsidR="00AF2097" w:rsidRPr="00F530B0">
        <w:rPr>
          <w:rFonts w:ascii="Times New Roman" w:eastAsia="Calibri" w:hAnsi="Times New Roman" w:cs="Times New Roman"/>
          <w:sz w:val="24"/>
          <w:szCs w:val="24"/>
        </w:rPr>
        <w:t xml:space="preserve"> only arose when it uplifted the cyclostyled judgment on 26 September 2016 and not when the judgment was handed down on 7 April 2004.  Accordingly, the three year period had not expired when the application was filed and served in June 2019</w:t>
      </w:r>
      <w:r w:rsidR="00DD5484" w:rsidRPr="00F530B0">
        <w:rPr>
          <w:rFonts w:ascii="Times New Roman" w:eastAsia="Calibri" w:hAnsi="Times New Roman" w:cs="Times New Roman"/>
          <w:sz w:val="24"/>
          <w:szCs w:val="24"/>
        </w:rPr>
        <w:t>.</w:t>
      </w:r>
    </w:p>
    <w:p w:rsidR="00DD5484" w:rsidRPr="00F530B0" w:rsidRDefault="00DD5484" w:rsidP="006C6A51">
      <w:pPr>
        <w:spacing w:after="0" w:line="240" w:lineRule="auto"/>
        <w:jc w:val="both"/>
        <w:rPr>
          <w:rFonts w:ascii="Times New Roman" w:eastAsia="Calibri" w:hAnsi="Times New Roman" w:cs="Times New Roman"/>
          <w:sz w:val="24"/>
          <w:szCs w:val="24"/>
        </w:rPr>
      </w:pPr>
    </w:p>
    <w:p w:rsidR="00DD5484" w:rsidRPr="00F530B0" w:rsidRDefault="00DD5484" w:rsidP="00187584">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00321998"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 xml:space="preserve">The second leg of the </w:t>
      </w:r>
      <w:r w:rsidR="007C5DF0" w:rsidRPr="00F530B0">
        <w:rPr>
          <w:rFonts w:ascii="Times New Roman" w:eastAsia="Calibri" w:hAnsi="Times New Roman" w:cs="Times New Roman"/>
          <w:sz w:val="24"/>
          <w:szCs w:val="24"/>
        </w:rPr>
        <w:t>respondent’s</w:t>
      </w:r>
      <w:r w:rsidRPr="00F530B0">
        <w:rPr>
          <w:rFonts w:ascii="Times New Roman" w:eastAsia="Calibri" w:hAnsi="Times New Roman" w:cs="Times New Roman"/>
          <w:sz w:val="24"/>
          <w:szCs w:val="24"/>
        </w:rPr>
        <w:t xml:space="preserve"> argument was that Hlatshwayo J’s judgment was itself a judgment debt within the meaning of s 15(a</w:t>
      </w:r>
      <w:r w:rsidR="007C5DF0" w:rsidRPr="00F530B0">
        <w:rPr>
          <w:rFonts w:ascii="Times New Roman" w:eastAsia="Calibri" w:hAnsi="Times New Roman" w:cs="Times New Roman"/>
          <w:sz w:val="24"/>
          <w:szCs w:val="24"/>
        </w:rPr>
        <w:t>)(</w:t>
      </w:r>
      <w:r w:rsidRPr="00F530B0">
        <w:rPr>
          <w:rFonts w:ascii="Times New Roman" w:eastAsia="Calibri" w:hAnsi="Times New Roman" w:cs="Times New Roman"/>
          <w:sz w:val="24"/>
          <w:szCs w:val="24"/>
        </w:rPr>
        <w:t>11</w:t>
      </w:r>
      <w:r w:rsidR="007C5DF0" w:rsidRPr="00F530B0">
        <w:rPr>
          <w:rFonts w:ascii="Times New Roman" w:eastAsia="Calibri" w:hAnsi="Times New Roman" w:cs="Times New Roman"/>
          <w:sz w:val="24"/>
          <w:szCs w:val="24"/>
        </w:rPr>
        <w:t xml:space="preserve">) of the Prescription Act.  It prescribed after 30 years as provided for in that section. Regrettably the court </w:t>
      </w:r>
      <w:r w:rsidR="007C5DF0" w:rsidRPr="00F530B0">
        <w:rPr>
          <w:rFonts w:ascii="Times New Roman" w:eastAsia="Calibri" w:hAnsi="Times New Roman" w:cs="Times New Roman"/>
          <w:i/>
          <w:sz w:val="24"/>
          <w:szCs w:val="24"/>
        </w:rPr>
        <w:t>a quo</w:t>
      </w:r>
      <w:r w:rsidR="007C5DF0" w:rsidRPr="00F530B0">
        <w:rPr>
          <w:rFonts w:ascii="Times New Roman" w:eastAsia="Calibri" w:hAnsi="Times New Roman" w:cs="Times New Roman"/>
          <w:sz w:val="24"/>
          <w:szCs w:val="24"/>
        </w:rPr>
        <w:t xml:space="preserve"> does not appear to have resol</w:t>
      </w:r>
      <w:r w:rsidR="001111E2" w:rsidRPr="00F530B0">
        <w:rPr>
          <w:rFonts w:ascii="Times New Roman" w:eastAsia="Calibri" w:hAnsi="Times New Roman" w:cs="Times New Roman"/>
          <w:sz w:val="24"/>
          <w:szCs w:val="24"/>
        </w:rPr>
        <w:t xml:space="preserve">ved that issue.  It found that “a judgment which enables a party to exact performance is </w:t>
      </w:r>
      <w:r w:rsidR="007C5DF0" w:rsidRPr="00F530B0">
        <w:rPr>
          <w:rFonts w:ascii="Times New Roman" w:eastAsia="Calibri" w:hAnsi="Times New Roman" w:cs="Times New Roman"/>
          <w:sz w:val="24"/>
          <w:szCs w:val="24"/>
        </w:rPr>
        <w:t xml:space="preserve">a judgment debt.”  The court however did not pronounce itself at all on whether the Hlatshwayo J judgment declaring the invalidity of the General Notice was a judgment </w:t>
      </w:r>
      <w:r w:rsidR="00C7426C" w:rsidRPr="00F530B0">
        <w:rPr>
          <w:rFonts w:ascii="Times New Roman" w:eastAsia="Calibri" w:hAnsi="Times New Roman" w:cs="Times New Roman"/>
          <w:sz w:val="24"/>
          <w:szCs w:val="24"/>
        </w:rPr>
        <w:t>debt.</w:t>
      </w:r>
    </w:p>
    <w:p w:rsidR="00C7426C" w:rsidRPr="00F530B0" w:rsidRDefault="00C7426C" w:rsidP="006C6A51">
      <w:pPr>
        <w:spacing w:after="0" w:line="240" w:lineRule="auto"/>
        <w:jc w:val="both"/>
        <w:rPr>
          <w:rFonts w:ascii="Times New Roman" w:eastAsia="Calibri" w:hAnsi="Times New Roman" w:cs="Times New Roman"/>
          <w:sz w:val="24"/>
          <w:szCs w:val="24"/>
        </w:rPr>
      </w:pPr>
    </w:p>
    <w:p w:rsidR="00510488" w:rsidRPr="00F530B0" w:rsidRDefault="00C7426C" w:rsidP="0093230A">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t xml:space="preserve">Leaving that question open and unresolved the court </w:t>
      </w:r>
      <w:r w:rsidRPr="00F530B0">
        <w:rPr>
          <w:rFonts w:ascii="Times New Roman" w:eastAsia="Calibri" w:hAnsi="Times New Roman" w:cs="Times New Roman"/>
          <w:i/>
          <w:sz w:val="24"/>
          <w:szCs w:val="24"/>
        </w:rPr>
        <w:t xml:space="preserve">a quo </w:t>
      </w:r>
      <w:r w:rsidRPr="00F530B0">
        <w:rPr>
          <w:rFonts w:ascii="Times New Roman" w:eastAsia="Calibri" w:hAnsi="Times New Roman" w:cs="Times New Roman"/>
          <w:sz w:val="24"/>
          <w:szCs w:val="24"/>
        </w:rPr>
        <w:t xml:space="preserve">jumped to resolve the issue of when that judgment was handed down.  It found that the judgment, having been reported in the 2004 Zimbabwe Law Reports, was handed down then.  The </w:t>
      </w:r>
      <w:r w:rsidR="008A06FE" w:rsidRPr="00F530B0">
        <w:rPr>
          <w:rFonts w:ascii="Times New Roman" w:eastAsia="Calibri" w:hAnsi="Times New Roman" w:cs="Times New Roman"/>
          <w:sz w:val="24"/>
          <w:szCs w:val="24"/>
        </w:rPr>
        <w:t>court</w:t>
      </w:r>
      <w:r w:rsidRPr="00F530B0">
        <w:rPr>
          <w:rFonts w:ascii="Times New Roman" w:eastAsia="Calibri" w:hAnsi="Times New Roman" w:cs="Times New Roman"/>
          <w:sz w:val="24"/>
          <w:szCs w:val="24"/>
        </w:rPr>
        <w:t xml:space="preserve"> did not want “to d</w:t>
      </w:r>
      <w:r w:rsidR="00E43E1C" w:rsidRPr="00F530B0">
        <w:rPr>
          <w:rFonts w:ascii="Times New Roman" w:eastAsia="Calibri" w:hAnsi="Times New Roman" w:cs="Times New Roman"/>
          <w:sz w:val="24"/>
          <w:szCs w:val="24"/>
        </w:rPr>
        <w:t>well any further on this aspect</w:t>
      </w:r>
      <w:r w:rsidRPr="00F530B0">
        <w:rPr>
          <w:rFonts w:ascii="Times New Roman" w:eastAsia="Calibri" w:hAnsi="Times New Roman" w:cs="Times New Roman"/>
          <w:sz w:val="24"/>
          <w:szCs w:val="24"/>
        </w:rPr>
        <w:t xml:space="preserve">” and certainly did not.  As to whether, </w:t>
      </w:r>
      <w:r w:rsidR="00510488" w:rsidRPr="00F530B0">
        <w:rPr>
          <w:rFonts w:ascii="Times New Roman" w:eastAsia="Calibri" w:hAnsi="Times New Roman" w:cs="Times New Roman"/>
          <w:sz w:val="24"/>
          <w:szCs w:val="24"/>
        </w:rPr>
        <w:t>after the</w:t>
      </w:r>
      <w:r w:rsidRPr="00F530B0">
        <w:rPr>
          <w:rFonts w:ascii="Times New Roman" w:eastAsia="Calibri" w:hAnsi="Times New Roman" w:cs="Times New Roman"/>
          <w:sz w:val="24"/>
          <w:szCs w:val="24"/>
        </w:rPr>
        <w:t xml:space="preserve"> judgment </w:t>
      </w:r>
      <w:r w:rsidRPr="00F530B0">
        <w:rPr>
          <w:rFonts w:ascii="Times New Roman" w:eastAsia="Calibri" w:hAnsi="Times New Roman" w:cs="Times New Roman"/>
          <w:sz w:val="24"/>
          <w:szCs w:val="24"/>
        </w:rPr>
        <w:lastRenderedPageBreak/>
        <w:t xml:space="preserve">was handed down in 2004 the claim </w:t>
      </w:r>
      <w:r w:rsidR="00510488" w:rsidRPr="00F530B0">
        <w:rPr>
          <w:rFonts w:ascii="Times New Roman" w:eastAsia="Calibri" w:hAnsi="Times New Roman" w:cs="Times New Roman"/>
          <w:sz w:val="24"/>
          <w:szCs w:val="24"/>
        </w:rPr>
        <w:t>prescribed after</w:t>
      </w:r>
      <w:r w:rsidRPr="00F530B0">
        <w:rPr>
          <w:rFonts w:ascii="Times New Roman" w:eastAsia="Calibri" w:hAnsi="Times New Roman" w:cs="Times New Roman"/>
          <w:sz w:val="24"/>
          <w:szCs w:val="24"/>
        </w:rPr>
        <w:t xml:space="preserve"> 3 years</w:t>
      </w:r>
      <w:r w:rsidR="00510488" w:rsidRPr="00F530B0">
        <w:rPr>
          <w:rFonts w:ascii="Times New Roman" w:eastAsia="Calibri" w:hAnsi="Times New Roman" w:cs="Times New Roman"/>
          <w:sz w:val="24"/>
          <w:szCs w:val="24"/>
        </w:rPr>
        <w:t xml:space="preserve"> as submitted by the appellant or after 30 years as argued by the respondent, the court </w:t>
      </w:r>
      <w:r w:rsidR="00510488" w:rsidRPr="00F530B0">
        <w:rPr>
          <w:rFonts w:ascii="Times New Roman" w:eastAsia="Calibri" w:hAnsi="Times New Roman" w:cs="Times New Roman"/>
          <w:i/>
          <w:sz w:val="24"/>
          <w:szCs w:val="24"/>
        </w:rPr>
        <w:t xml:space="preserve">a quo </w:t>
      </w:r>
      <w:r w:rsidR="00510488" w:rsidRPr="00F530B0">
        <w:rPr>
          <w:rFonts w:ascii="Times New Roman" w:eastAsia="Calibri" w:hAnsi="Times New Roman" w:cs="Times New Roman"/>
          <w:sz w:val="24"/>
          <w:szCs w:val="24"/>
        </w:rPr>
        <w:t>remained silent.</w:t>
      </w:r>
    </w:p>
    <w:p w:rsidR="00510488" w:rsidRPr="00F530B0" w:rsidRDefault="00510488" w:rsidP="006C6A51">
      <w:pPr>
        <w:spacing w:after="0" w:line="240" w:lineRule="auto"/>
        <w:jc w:val="both"/>
        <w:rPr>
          <w:rFonts w:ascii="Times New Roman" w:eastAsia="Calibri" w:hAnsi="Times New Roman" w:cs="Times New Roman"/>
          <w:sz w:val="24"/>
          <w:szCs w:val="24"/>
        </w:rPr>
      </w:pPr>
    </w:p>
    <w:p w:rsidR="00510488" w:rsidRPr="00F530B0" w:rsidRDefault="00510488" w:rsidP="0093230A">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t xml:space="preserve">It is trite that a court is required to resolve all the issues placed before it for determination </w:t>
      </w:r>
      <w:r w:rsidR="00DA0112" w:rsidRPr="00F530B0">
        <w:rPr>
          <w:rFonts w:ascii="Times New Roman" w:eastAsia="Calibri" w:hAnsi="Times New Roman" w:cs="Times New Roman"/>
          <w:sz w:val="24"/>
          <w:szCs w:val="24"/>
        </w:rPr>
        <w:t>by the</w:t>
      </w:r>
      <w:r w:rsidRPr="00F530B0">
        <w:rPr>
          <w:rFonts w:ascii="Times New Roman" w:eastAsia="Calibri" w:hAnsi="Times New Roman" w:cs="Times New Roman"/>
          <w:sz w:val="24"/>
          <w:szCs w:val="24"/>
        </w:rPr>
        <w:t xml:space="preserve"> parties</w:t>
      </w:r>
      <w:r w:rsidR="00AB6ABE" w:rsidRPr="00F530B0">
        <w:rPr>
          <w:rFonts w:ascii="Times New Roman" w:eastAsia="Calibri" w:hAnsi="Times New Roman" w:cs="Times New Roman"/>
          <w:sz w:val="24"/>
          <w:szCs w:val="24"/>
        </w:rPr>
        <w:t>. U</w:t>
      </w:r>
      <w:r w:rsidR="001E683D" w:rsidRPr="00F530B0">
        <w:rPr>
          <w:rFonts w:ascii="Times New Roman" w:eastAsia="Calibri" w:hAnsi="Times New Roman" w:cs="Times New Roman"/>
          <w:sz w:val="24"/>
          <w:szCs w:val="24"/>
        </w:rPr>
        <w:t>nless the issue, resolved by the court to the exclusion of the other issues raised is dispositive of the whole case</w:t>
      </w:r>
      <w:r w:rsidRPr="00F530B0">
        <w:rPr>
          <w:rFonts w:ascii="Times New Roman" w:eastAsia="Calibri" w:hAnsi="Times New Roman" w:cs="Times New Roman"/>
          <w:sz w:val="24"/>
          <w:szCs w:val="24"/>
        </w:rPr>
        <w:t>.</w:t>
      </w:r>
    </w:p>
    <w:p w:rsidR="00510488" w:rsidRPr="00F530B0" w:rsidRDefault="00510488" w:rsidP="006C6A51">
      <w:pPr>
        <w:spacing w:after="0" w:line="240" w:lineRule="auto"/>
        <w:jc w:val="both"/>
        <w:rPr>
          <w:rFonts w:ascii="Times New Roman" w:eastAsia="Calibri" w:hAnsi="Times New Roman" w:cs="Times New Roman"/>
          <w:sz w:val="24"/>
          <w:szCs w:val="24"/>
        </w:rPr>
      </w:pPr>
    </w:p>
    <w:p w:rsidR="00C7426C" w:rsidRPr="00F530B0" w:rsidRDefault="00510488" w:rsidP="0093230A">
      <w:pPr>
        <w:spacing w:line="480" w:lineRule="auto"/>
        <w:jc w:val="both"/>
        <w:rPr>
          <w:rFonts w:ascii="Times New Roman" w:eastAsia="Calibri" w:hAnsi="Times New Roman" w:cs="Times New Roman"/>
          <w:i/>
          <w:sz w:val="24"/>
          <w:szCs w:val="24"/>
        </w:rPr>
      </w:pP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t xml:space="preserve">On the alleged material disputes of fact, the court </w:t>
      </w:r>
      <w:r w:rsidR="00DA0112" w:rsidRPr="00F530B0">
        <w:rPr>
          <w:rFonts w:ascii="Times New Roman" w:eastAsia="Calibri" w:hAnsi="Times New Roman" w:cs="Times New Roman"/>
          <w:i/>
          <w:sz w:val="24"/>
          <w:szCs w:val="24"/>
        </w:rPr>
        <w:t>a quo</w:t>
      </w:r>
      <w:r w:rsidR="00DA0112" w:rsidRPr="00F530B0">
        <w:rPr>
          <w:rFonts w:ascii="Times New Roman" w:eastAsia="Calibri" w:hAnsi="Times New Roman" w:cs="Times New Roman"/>
          <w:sz w:val="24"/>
          <w:szCs w:val="24"/>
        </w:rPr>
        <w:t xml:space="preserve"> found that </w:t>
      </w:r>
      <w:r w:rsidR="00CA3F71">
        <w:rPr>
          <w:rFonts w:ascii="Times New Roman" w:eastAsia="Calibri" w:hAnsi="Times New Roman" w:cs="Times New Roman"/>
          <w:sz w:val="24"/>
          <w:szCs w:val="24"/>
        </w:rPr>
        <w:t>no material disputes existed.  On t</w:t>
      </w:r>
      <w:r w:rsidR="00DA0112" w:rsidRPr="00F530B0">
        <w:rPr>
          <w:rFonts w:ascii="Times New Roman" w:eastAsia="Calibri" w:hAnsi="Times New Roman" w:cs="Times New Roman"/>
          <w:sz w:val="24"/>
          <w:szCs w:val="24"/>
        </w:rPr>
        <w:t xml:space="preserve">he aspect </w:t>
      </w:r>
      <w:r w:rsidR="00E220A7" w:rsidRPr="00F530B0">
        <w:rPr>
          <w:rFonts w:ascii="Times New Roman" w:eastAsia="Calibri" w:hAnsi="Times New Roman" w:cs="Times New Roman"/>
          <w:sz w:val="24"/>
          <w:szCs w:val="24"/>
        </w:rPr>
        <w:t>of when</w:t>
      </w:r>
      <w:r w:rsidR="00DA0112" w:rsidRPr="00F530B0">
        <w:rPr>
          <w:rFonts w:ascii="Times New Roman" w:eastAsia="Calibri" w:hAnsi="Times New Roman" w:cs="Times New Roman"/>
          <w:sz w:val="24"/>
          <w:szCs w:val="24"/>
        </w:rPr>
        <w:t xml:space="preserve"> the judgment was handed down</w:t>
      </w:r>
      <w:r w:rsidR="00FD1E6C" w:rsidRPr="00F530B0">
        <w:rPr>
          <w:rFonts w:ascii="Times New Roman" w:eastAsia="Calibri" w:hAnsi="Times New Roman" w:cs="Times New Roman"/>
          <w:sz w:val="24"/>
          <w:szCs w:val="24"/>
        </w:rPr>
        <w:t>, it took a robust</w:t>
      </w:r>
      <w:r w:rsidR="00466453" w:rsidRPr="00F530B0">
        <w:rPr>
          <w:rFonts w:ascii="Times New Roman" w:eastAsia="Calibri" w:hAnsi="Times New Roman" w:cs="Times New Roman"/>
          <w:sz w:val="24"/>
          <w:szCs w:val="24"/>
        </w:rPr>
        <w:t xml:space="preserve"> and common sense</w:t>
      </w:r>
      <w:r w:rsidR="00F846C9" w:rsidRPr="00F530B0">
        <w:rPr>
          <w:rFonts w:ascii="Times New Roman" w:eastAsia="Calibri" w:hAnsi="Times New Roman" w:cs="Times New Roman"/>
          <w:sz w:val="24"/>
          <w:szCs w:val="24"/>
        </w:rPr>
        <w:t xml:space="preserve"> approach and resolved it.  </w:t>
      </w:r>
      <w:r w:rsidR="00D8722B" w:rsidRPr="00F530B0">
        <w:rPr>
          <w:rFonts w:ascii="Times New Roman" w:eastAsia="Calibri" w:hAnsi="Times New Roman" w:cs="Times New Roman"/>
          <w:sz w:val="24"/>
          <w:szCs w:val="24"/>
        </w:rPr>
        <w:t>On</w:t>
      </w:r>
      <w:r w:rsidR="00DB7ECD" w:rsidRPr="00F530B0">
        <w:rPr>
          <w:rFonts w:ascii="Times New Roman" w:eastAsia="Calibri" w:hAnsi="Times New Roman" w:cs="Times New Roman"/>
          <w:sz w:val="24"/>
          <w:szCs w:val="24"/>
        </w:rPr>
        <w:t xml:space="preserve"> the</w:t>
      </w:r>
      <w:r w:rsidR="00D8722B" w:rsidRPr="00F530B0">
        <w:rPr>
          <w:rFonts w:ascii="Times New Roman" w:eastAsia="Calibri" w:hAnsi="Times New Roman" w:cs="Times New Roman"/>
          <w:sz w:val="24"/>
          <w:szCs w:val="24"/>
        </w:rPr>
        <w:t xml:space="preserve"> other</w:t>
      </w:r>
      <w:r w:rsidR="00FD1E6C" w:rsidRPr="00F530B0">
        <w:rPr>
          <w:rFonts w:ascii="Times New Roman" w:eastAsia="Calibri" w:hAnsi="Times New Roman" w:cs="Times New Roman"/>
          <w:sz w:val="24"/>
          <w:szCs w:val="24"/>
        </w:rPr>
        <w:t xml:space="preserve"> dispute relating to the amount of the claim, the court </w:t>
      </w:r>
      <w:r w:rsidR="00FD1E6C" w:rsidRPr="00F530B0">
        <w:rPr>
          <w:rFonts w:ascii="Times New Roman" w:eastAsia="Calibri" w:hAnsi="Times New Roman" w:cs="Times New Roman"/>
          <w:i/>
          <w:sz w:val="24"/>
          <w:szCs w:val="24"/>
        </w:rPr>
        <w:t>a quo</w:t>
      </w:r>
      <w:r w:rsidR="00FD1E6C" w:rsidRPr="00F530B0">
        <w:rPr>
          <w:rFonts w:ascii="Times New Roman" w:eastAsia="Calibri" w:hAnsi="Times New Roman" w:cs="Times New Roman"/>
          <w:sz w:val="24"/>
          <w:szCs w:val="24"/>
        </w:rPr>
        <w:t xml:space="preserve"> took the view that an amendment granted by consent in which the respondent </w:t>
      </w:r>
      <w:r w:rsidR="0068648C" w:rsidRPr="00F530B0">
        <w:rPr>
          <w:rFonts w:ascii="Times New Roman" w:eastAsia="Calibri" w:hAnsi="Times New Roman" w:cs="Times New Roman"/>
          <w:sz w:val="24"/>
          <w:szCs w:val="24"/>
        </w:rPr>
        <w:t xml:space="preserve">altered its claim from US$658 844-76 to US$545 058.14 resolved that dispute.  In its view, by consenting to the amendment, the appellant was taken to have </w:t>
      </w:r>
      <w:r w:rsidR="00E11B03" w:rsidRPr="00F530B0">
        <w:rPr>
          <w:rFonts w:ascii="Times New Roman" w:eastAsia="Calibri" w:hAnsi="Times New Roman" w:cs="Times New Roman"/>
          <w:sz w:val="24"/>
          <w:szCs w:val="24"/>
        </w:rPr>
        <w:t>abandoned contestation</w:t>
      </w:r>
      <w:r w:rsidR="0068648C" w:rsidRPr="00F530B0">
        <w:rPr>
          <w:rFonts w:ascii="Times New Roman" w:eastAsia="Calibri" w:hAnsi="Times New Roman" w:cs="Times New Roman"/>
          <w:sz w:val="24"/>
          <w:szCs w:val="24"/>
        </w:rPr>
        <w:t xml:space="preserve"> of the </w:t>
      </w:r>
      <w:r w:rsidR="0068648C" w:rsidRPr="00F530B0">
        <w:rPr>
          <w:rFonts w:ascii="Times New Roman" w:eastAsia="Calibri" w:hAnsi="Times New Roman" w:cs="Times New Roman"/>
          <w:i/>
          <w:sz w:val="24"/>
          <w:szCs w:val="24"/>
        </w:rPr>
        <w:t>quantum.</w:t>
      </w:r>
    </w:p>
    <w:p w:rsidR="0068648C" w:rsidRPr="00F530B0" w:rsidRDefault="0068648C" w:rsidP="0055272F">
      <w:pPr>
        <w:spacing w:after="0" w:line="240" w:lineRule="auto"/>
        <w:jc w:val="both"/>
        <w:rPr>
          <w:rFonts w:ascii="Times New Roman" w:eastAsia="Calibri" w:hAnsi="Times New Roman" w:cs="Times New Roman"/>
          <w:sz w:val="24"/>
          <w:szCs w:val="24"/>
        </w:rPr>
      </w:pPr>
    </w:p>
    <w:p w:rsidR="0068648C" w:rsidRPr="00F530B0" w:rsidRDefault="0068648C" w:rsidP="0093230A">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t xml:space="preserve">The court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xml:space="preserve"> went on to find that the respondent </w:t>
      </w:r>
      <w:r w:rsidR="004B7D49" w:rsidRPr="00F530B0">
        <w:rPr>
          <w:rFonts w:ascii="Times New Roman" w:eastAsia="Calibri" w:hAnsi="Times New Roman" w:cs="Times New Roman"/>
          <w:sz w:val="24"/>
          <w:szCs w:val="24"/>
        </w:rPr>
        <w:t>was entitled</w:t>
      </w:r>
      <w:r w:rsidRPr="00F530B0">
        <w:rPr>
          <w:rFonts w:ascii="Times New Roman" w:eastAsia="Calibri" w:hAnsi="Times New Roman" w:cs="Times New Roman"/>
          <w:sz w:val="24"/>
          <w:szCs w:val="24"/>
        </w:rPr>
        <w:t xml:space="preserve"> to a refund in the amended amount. It granted the relief sought. </w:t>
      </w:r>
    </w:p>
    <w:p w:rsidR="004B7D49" w:rsidRPr="00F530B0" w:rsidRDefault="004B7D49" w:rsidP="006C6A51">
      <w:pPr>
        <w:spacing w:after="0" w:line="240" w:lineRule="auto"/>
        <w:jc w:val="both"/>
        <w:rPr>
          <w:rFonts w:ascii="Times New Roman" w:eastAsia="Calibri" w:hAnsi="Times New Roman" w:cs="Times New Roman"/>
          <w:sz w:val="24"/>
          <w:szCs w:val="24"/>
        </w:rPr>
      </w:pPr>
    </w:p>
    <w:p w:rsidR="004B7D49" w:rsidRPr="00F530B0" w:rsidRDefault="004B7D49" w:rsidP="0093230A">
      <w:pPr>
        <w:spacing w:line="480" w:lineRule="auto"/>
        <w:jc w:val="both"/>
        <w:rPr>
          <w:rFonts w:ascii="Times New Roman" w:eastAsia="Calibri" w:hAnsi="Times New Roman" w:cs="Times New Roman"/>
          <w:b/>
          <w:sz w:val="24"/>
          <w:szCs w:val="24"/>
        </w:rPr>
      </w:pPr>
      <w:r w:rsidRPr="00F530B0">
        <w:rPr>
          <w:rFonts w:ascii="Times New Roman" w:eastAsia="Calibri" w:hAnsi="Times New Roman" w:cs="Times New Roman"/>
          <w:b/>
          <w:sz w:val="24"/>
          <w:szCs w:val="24"/>
        </w:rPr>
        <w:t>PROCEEDINGS ON APPEAL</w:t>
      </w:r>
    </w:p>
    <w:p w:rsidR="004B7D49" w:rsidRPr="00F530B0" w:rsidRDefault="004B7D49" w:rsidP="00382EE7">
      <w:pPr>
        <w:spacing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The appellant was aggrieved by the judgment of the court </w:t>
      </w:r>
      <w:r w:rsidRPr="00F530B0">
        <w:rPr>
          <w:rFonts w:ascii="Times New Roman" w:eastAsia="Calibri" w:hAnsi="Times New Roman" w:cs="Times New Roman"/>
          <w:i/>
          <w:sz w:val="24"/>
          <w:szCs w:val="24"/>
        </w:rPr>
        <w:t xml:space="preserve">a quo.  </w:t>
      </w:r>
      <w:r w:rsidRPr="00F530B0">
        <w:rPr>
          <w:rFonts w:ascii="Times New Roman" w:eastAsia="Calibri" w:hAnsi="Times New Roman" w:cs="Times New Roman"/>
          <w:sz w:val="24"/>
          <w:szCs w:val="24"/>
        </w:rPr>
        <w:t>An appeal was lodged to this Court on the following ground</w:t>
      </w:r>
      <w:r w:rsidR="00326AA3" w:rsidRPr="00F530B0">
        <w:rPr>
          <w:rFonts w:ascii="Times New Roman" w:eastAsia="Calibri" w:hAnsi="Times New Roman" w:cs="Times New Roman"/>
          <w:sz w:val="24"/>
          <w:szCs w:val="24"/>
        </w:rPr>
        <w:t>s</w:t>
      </w:r>
      <w:r w:rsidRPr="00F530B0">
        <w:rPr>
          <w:rFonts w:ascii="Times New Roman" w:eastAsia="Calibri" w:hAnsi="Times New Roman" w:cs="Times New Roman"/>
          <w:sz w:val="24"/>
          <w:szCs w:val="24"/>
        </w:rPr>
        <w:t>:</w:t>
      </w:r>
    </w:p>
    <w:p w:rsidR="004B7D49" w:rsidRPr="00F530B0" w:rsidRDefault="004B7D49" w:rsidP="004B7D49">
      <w:pPr>
        <w:pStyle w:val="ListParagraph"/>
        <w:numPr>
          <w:ilvl w:val="0"/>
          <w:numId w:val="2"/>
        </w:numPr>
        <w:spacing w:line="480" w:lineRule="auto"/>
        <w:ind w:left="1134" w:hanging="567"/>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The court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xml:space="preserve"> grossly erred and misdirected itself in law in finding that the appellant had been properly cited as a party</w:t>
      </w:r>
      <w:r w:rsidR="000212D4">
        <w:rPr>
          <w:rFonts w:ascii="Times New Roman" w:eastAsia="Calibri" w:hAnsi="Times New Roman" w:cs="Times New Roman"/>
          <w:sz w:val="24"/>
          <w:szCs w:val="24"/>
        </w:rPr>
        <w:t xml:space="preserve"> to the application before the c</w:t>
      </w:r>
      <w:r w:rsidRPr="00F530B0">
        <w:rPr>
          <w:rFonts w:ascii="Times New Roman" w:eastAsia="Calibri" w:hAnsi="Times New Roman" w:cs="Times New Roman"/>
          <w:sz w:val="24"/>
          <w:szCs w:val="24"/>
        </w:rPr>
        <w:t>ourt</w:t>
      </w:r>
    </w:p>
    <w:p w:rsidR="004B7D49" w:rsidRPr="00F530B0" w:rsidRDefault="004B7D49" w:rsidP="004B7D49">
      <w:pPr>
        <w:pStyle w:val="ListParagraph"/>
        <w:spacing w:line="480" w:lineRule="auto"/>
        <w:ind w:left="1134"/>
        <w:jc w:val="both"/>
        <w:rPr>
          <w:rFonts w:ascii="Times New Roman" w:eastAsia="Calibri" w:hAnsi="Times New Roman" w:cs="Times New Roman"/>
          <w:i/>
          <w:sz w:val="24"/>
          <w:szCs w:val="24"/>
        </w:rPr>
      </w:pPr>
      <w:r w:rsidRPr="00F530B0">
        <w:rPr>
          <w:rFonts w:ascii="Times New Roman" w:eastAsia="Calibri" w:hAnsi="Times New Roman" w:cs="Times New Roman"/>
          <w:sz w:val="24"/>
          <w:szCs w:val="24"/>
        </w:rPr>
        <w:t xml:space="preserve"> </w:t>
      </w:r>
      <w:r w:rsidRPr="00F530B0">
        <w:rPr>
          <w:rFonts w:ascii="Times New Roman" w:eastAsia="Calibri" w:hAnsi="Times New Roman" w:cs="Times New Roman"/>
          <w:i/>
          <w:sz w:val="24"/>
          <w:szCs w:val="24"/>
        </w:rPr>
        <w:t>a quo.</w:t>
      </w:r>
    </w:p>
    <w:p w:rsidR="00876D49" w:rsidRPr="00F530B0" w:rsidRDefault="00876D49" w:rsidP="004B7D49">
      <w:pPr>
        <w:pStyle w:val="ListParagraph"/>
        <w:spacing w:line="480" w:lineRule="auto"/>
        <w:ind w:left="1134"/>
        <w:jc w:val="both"/>
        <w:rPr>
          <w:rFonts w:ascii="Times New Roman" w:eastAsia="Calibri" w:hAnsi="Times New Roman" w:cs="Times New Roman"/>
          <w:i/>
          <w:sz w:val="24"/>
          <w:szCs w:val="24"/>
        </w:rPr>
      </w:pPr>
    </w:p>
    <w:p w:rsidR="004B7D49" w:rsidRDefault="004B7D49" w:rsidP="004B7D49">
      <w:pPr>
        <w:pStyle w:val="ListParagraph"/>
        <w:numPr>
          <w:ilvl w:val="0"/>
          <w:numId w:val="2"/>
        </w:num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lastRenderedPageBreak/>
        <w:t xml:space="preserve">The court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xml:space="preserve"> erred in law in finding, as it must be taken to have done, that the respondent had a valid cause of action.</w:t>
      </w:r>
    </w:p>
    <w:p w:rsidR="008B73F5" w:rsidRPr="00F530B0" w:rsidRDefault="008B73F5" w:rsidP="008B73F5">
      <w:pPr>
        <w:pStyle w:val="ListParagraph"/>
        <w:spacing w:line="240" w:lineRule="auto"/>
        <w:ind w:left="1070"/>
        <w:jc w:val="both"/>
        <w:rPr>
          <w:rFonts w:ascii="Times New Roman" w:eastAsia="Calibri" w:hAnsi="Times New Roman" w:cs="Times New Roman"/>
          <w:sz w:val="24"/>
          <w:szCs w:val="24"/>
        </w:rPr>
      </w:pPr>
    </w:p>
    <w:p w:rsidR="004B7D49" w:rsidRPr="00F530B0" w:rsidRDefault="004B7D49" w:rsidP="004B7D49">
      <w:pPr>
        <w:pStyle w:val="ListParagraph"/>
        <w:numPr>
          <w:ilvl w:val="0"/>
          <w:numId w:val="2"/>
        </w:num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In any case, the court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xml:space="preserve"> erred and misdirected itself in law in failing to find that the respondent</w:t>
      </w:r>
      <w:r w:rsidR="00514D5E" w:rsidRPr="00F530B0">
        <w:rPr>
          <w:rFonts w:ascii="Times New Roman" w:eastAsia="Calibri" w:hAnsi="Times New Roman" w:cs="Times New Roman"/>
          <w:sz w:val="24"/>
          <w:szCs w:val="24"/>
        </w:rPr>
        <w:t>’s claim had been extinguished by prescription.</w:t>
      </w:r>
    </w:p>
    <w:p w:rsidR="00805D82" w:rsidRPr="00F530B0" w:rsidRDefault="00805D82" w:rsidP="00805D82">
      <w:pPr>
        <w:pStyle w:val="ListParagraph"/>
        <w:rPr>
          <w:rFonts w:ascii="Times New Roman" w:eastAsia="Calibri" w:hAnsi="Times New Roman" w:cs="Times New Roman"/>
          <w:sz w:val="24"/>
          <w:szCs w:val="24"/>
        </w:rPr>
      </w:pPr>
    </w:p>
    <w:p w:rsidR="00514D5E" w:rsidRPr="00F530B0" w:rsidRDefault="00514D5E" w:rsidP="004B7D49">
      <w:pPr>
        <w:pStyle w:val="ListParagraph"/>
        <w:numPr>
          <w:ilvl w:val="0"/>
          <w:numId w:val="2"/>
        </w:num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The court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xml:space="preserve"> erred and misdirected itself in law in not dealing with the merits of the matter</w:t>
      </w:r>
      <w:r w:rsidR="00DD71D2" w:rsidRPr="00F530B0">
        <w:rPr>
          <w:rFonts w:ascii="Times New Roman" w:eastAsia="Calibri" w:hAnsi="Times New Roman" w:cs="Times New Roman"/>
          <w:sz w:val="24"/>
          <w:szCs w:val="24"/>
        </w:rPr>
        <w:t>.</w:t>
      </w:r>
    </w:p>
    <w:p w:rsidR="00DD71D2" w:rsidRPr="00F530B0" w:rsidRDefault="00DD71D2" w:rsidP="00DD71D2">
      <w:pPr>
        <w:pStyle w:val="ListParagraph"/>
        <w:rPr>
          <w:rFonts w:ascii="Times New Roman" w:eastAsia="Calibri" w:hAnsi="Times New Roman" w:cs="Times New Roman"/>
          <w:sz w:val="24"/>
          <w:szCs w:val="24"/>
        </w:rPr>
      </w:pPr>
    </w:p>
    <w:p w:rsidR="00DD71D2" w:rsidRPr="00F530B0" w:rsidRDefault="00DD71D2" w:rsidP="004B7D49">
      <w:pPr>
        <w:pStyle w:val="ListParagraph"/>
        <w:numPr>
          <w:ilvl w:val="0"/>
          <w:numId w:val="2"/>
        </w:num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The court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xml:space="preserve"> erred and misdirected itself in law in findi</w:t>
      </w:r>
      <w:r w:rsidR="006F6C72" w:rsidRPr="00F530B0">
        <w:rPr>
          <w:rFonts w:ascii="Times New Roman" w:eastAsia="Calibri" w:hAnsi="Times New Roman" w:cs="Times New Roman"/>
          <w:sz w:val="24"/>
          <w:szCs w:val="24"/>
        </w:rPr>
        <w:t>ng, as it must be taken to have</w:t>
      </w:r>
      <w:r w:rsidRPr="00F530B0">
        <w:rPr>
          <w:rFonts w:ascii="Times New Roman" w:eastAsia="Calibri" w:hAnsi="Times New Roman" w:cs="Times New Roman"/>
          <w:sz w:val="24"/>
          <w:szCs w:val="24"/>
        </w:rPr>
        <w:t xml:space="preserve"> done, that a customs duty refund was due to the respondent from the appellant in the sum of ZWL 545,058.14.</w:t>
      </w:r>
    </w:p>
    <w:p w:rsidR="00DD71D2" w:rsidRPr="00F530B0" w:rsidRDefault="00DD71D2" w:rsidP="00DD71D2">
      <w:pPr>
        <w:pStyle w:val="ListParagraph"/>
        <w:rPr>
          <w:rFonts w:ascii="Times New Roman" w:eastAsia="Calibri" w:hAnsi="Times New Roman" w:cs="Times New Roman"/>
          <w:sz w:val="24"/>
          <w:szCs w:val="24"/>
        </w:rPr>
      </w:pPr>
    </w:p>
    <w:p w:rsidR="00DD71D2" w:rsidRPr="00F530B0" w:rsidRDefault="00DD71D2" w:rsidP="00DD71D2">
      <w:pPr>
        <w:pStyle w:val="ListParagraph"/>
        <w:rPr>
          <w:rFonts w:ascii="Times New Roman" w:eastAsia="Calibri" w:hAnsi="Times New Roman" w:cs="Times New Roman"/>
          <w:sz w:val="24"/>
          <w:szCs w:val="24"/>
        </w:rPr>
      </w:pPr>
    </w:p>
    <w:p w:rsidR="00DD71D2" w:rsidRPr="00F530B0" w:rsidRDefault="00DD71D2" w:rsidP="00DD71D2">
      <w:pPr>
        <w:pStyle w:val="ListParagraph"/>
        <w:spacing w:line="480" w:lineRule="auto"/>
        <w:ind w:left="1070"/>
        <w:jc w:val="both"/>
        <w:rPr>
          <w:rFonts w:ascii="Times New Roman" w:eastAsia="Calibri" w:hAnsi="Times New Roman" w:cs="Times New Roman"/>
          <w:b/>
          <w:sz w:val="24"/>
          <w:szCs w:val="24"/>
        </w:rPr>
      </w:pPr>
      <w:r w:rsidRPr="00F530B0">
        <w:rPr>
          <w:rFonts w:ascii="Times New Roman" w:eastAsia="Calibri" w:hAnsi="Times New Roman" w:cs="Times New Roman"/>
          <w:b/>
          <w:sz w:val="24"/>
          <w:szCs w:val="24"/>
        </w:rPr>
        <w:t>ISSUE FOR DETERMINATION</w:t>
      </w:r>
    </w:p>
    <w:p w:rsidR="00DD71D2" w:rsidRPr="00F530B0" w:rsidRDefault="00DD71D2" w:rsidP="0024659C">
      <w:pPr>
        <w:pStyle w:val="ListParagraph"/>
        <w:spacing w:line="480" w:lineRule="auto"/>
        <w:ind w:left="1070" w:firstLine="64"/>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The appeal itself raises quite a sizeable number of issues.  They are:-</w:t>
      </w:r>
    </w:p>
    <w:p w:rsidR="00DD71D2" w:rsidRPr="00F530B0" w:rsidRDefault="00DD71D2" w:rsidP="00DD71D2">
      <w:pPr>
        <w:pStyle w:val="ListParagraph"/>
        <w:numPr>
          <w:ilvl w:val="0"/>
          <w:numId w:val="3"/>
        </w:num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Whether the appellant was properly </w:t>
      </w:r>
      <w:r w:rsidR="00D32DA0" w:rsidRPr="00F530B0">
        <w:rPr>
          <w:rFonts w:ascii="Times New Roman" w:eastAsia="Calibri" w:hAnsi="Times New Roman" w:cs="Times New Roman"/>
          <w:sz w:val="24"/>
          <w:szCs w:val="24"/>
        </w:rPr>
        <w:t>cited in the proceedings</w:t>
      </w:r>
      <w:r w:rsidR="00035A58" w:rsidRPr="00F530B0">
        <w:rPr>
          <w:rFonts w:ascii="Times New Roman" w:eastAsia="Calibri" w:hAnsi="Times New Roman" w:cs="Times New Roman"/>
          <w:sz w:val="24"/>
          <w:szCs w:val="24"/>
        </w:rPr>
        <w:t>.</w:t>
      </w:r>
    </w:p>
    <w:p w:rsidR="00035A58" w:rsidRPr="00F530B0" w:rsidRDefault="00035A58" w:rsidP="00431140">
      <w:pPr>
        <w:pStyle w:val="ListParagraph"/>
        <w:spacing w:line="240" w:lineRule="auto"/>
        <w:ind w:left="1430"/>
        <w:jc w:val="both"/>
        <w:rPr>
          <w:rFonts w:ascii="Times New Roman" w:eastAsia="Calibri" w:hAnsi="Times New Roman" w:cs="Times New Roman"/>
          <w:sz w:val="24"/>
          <w:szCs w:val="24"/>
        </w:rPr>
      </w:pPr>
    </w:p>
    <w:p w:rsidR="00035A58" w:rsidRPr="00F530B0" w:rsidRDefault="00035A58" w:rsidP="00DD71D2">
      <w:pPr>
        <w:pStyle w:val="ListParagraph"/>
        <w:numPr>
          <w:ilvl w:val="0"/>
          <w:numId w:val="3"/>
        </w:num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Whether the respondent was properly before the court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xml:space="preserve"> in light of the provisions of s</w:t>
      </w:r>
      <w:r w:rsidR="00C7691B">
        <w:rPr>
          <w:rFonts w:ascii="Times New Roman" w:eastAsia="Calibri" w:hAnsi="Times New Roman" w:cs="Times New Roman"/>
          <w:sz w:val="24"/>
          <w:szCs w:val="24"/>
        </w:rPr>
        <w:t xml:space="preserve"> </w:t>
      </w:r>
      <w:r w:rsidRPr="00F530B0">
        <w:rPr>
          <w:rFonts w:ascii="Times New Roman" w:eastAsia="Calibri" w:hAnsi="Times New Roman" w:cs="Times New Roman"/>
          <w:sz w:val="24"/>
          <w:szCs w:val="24"/>
        </w:rPr>
        <w:t>125 of the Act</w:t>
      </w:r>
      <w:r w:rsidR="006F07A8" w:rsidRPr="00F530B0">
        <w:rPr>
          <w:rFonts w:ascii="Times New Roman" w:eastAsia="Calibri" w:hAnsi="Times New Roman" w:cs="Times New Roman"/>
          <w:sz w:val="24"/>
          <w:szCs w:val="24"/>
        </w:rPr>
        <w:t>.</w:t>
      </w:r>
    </w:p>
    <w:p w:rsidR="00035A58" w:rsidRPr="00F530B0" w:rsidRDefault="00035A58" w:rsidP="00035A58">
      <w:pPr>
        <w:pStyle w:val="ListParagraph"/>
        <w:rPr>
          <w:rFonts w:ascii="Times New Roman" w:eastAsia="Calibri" w:hAnsi="Times New Roman" w:cs="Times New Roman"/>
          <w:sz w:val="24"/>
          <w:szCs w:val="24"/>
        </w:rPr>
      </w:pPr>
    </w:p>
    <w:p w:rsidR="00035A58" w:rsidRPr="00F530B0" w:rsidRDefault="00035A58" w:rsidP="00DD71D2">
      <w:pPr>
        <w:pStyle w:val="ListParagraph"/>
        <w:numPr>
          <w:ilvl w:val="0"/>
          <w:numId w:val="3"/>
        </w:num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Whether the respondent’s </w:t>
      </w:r>
      <w:r w:rsidR="00223B7D" w:rsidRPr="00F530B0">
        <w:rPr>
          <w:rFonts w:ascii="Times New Roman" w:eastAsia="Calibri" w:hAnsi="Times New Roman" w:cs="Times New Roman"/>
          <w:sz w:val="24"/>
          <w:szCs w:val="24"/>
        </w:rPr>
        <w:t xml:space="preserve">claim </w:t>
      </w:r>
      <w:r w:rsidR="00C63071" w:rsidRPr="00F530B0">
        <w:rPr>
          <w:rFonts w:ascii="Times New Roman" w:eastAsia="Calibri" w:hAnsi="Times New Roman" w:cs="Times New Roman"/>
          <w:sz w:val="24"/>
          <w:szCs w:val="24"/>
        </w:rPr>
        <w:t>had</w:t>
      </w:r>
      <w:r w:rsidR="00232B87" w:rsidRPr="00F530B0">
        <w:rPr>
          <w:rFonts w:ascii="Times New Roman" w:eastAsia="Calibri" w:hAnsi="Times New Roman" w:cs="Times New Roman"/>
          <w:sz w:val="24"/>
          <w:szCs w:val="24"/>
        </w:rPr>
        <w:t xml:space="preserve"> prescribed, and</w:t>
      </w:r>
    </w:p>
    <w:p w:rsidR="00232B87" w:rsidRPr="00F530B0" w:rsidRDefault="00232B87" w:rsidP="00232B87">
      <w:pPr>
        <w:pStyle w:val="ListParagraph"/>
        <w:rPr>
          <w:rFonts w:ascii="Times New Roman" w:eastAsia="Calibri" w:hAnsi="Times New Roman" w:cs="Times New Roman"/>
          <w:sz w:val="24"/>
          <w:szCs w:val="24"/>
        </w:rPr>
      </w:pPr>
    </w:p>
    <w:p w:rsidR="00232B87" w:rsidRPr="00F530B0" w:rsidRDefault="00232B87" w:rsidP="00DD71D2">
      <w:pPr>
        <w:pStyle w:val="ListParagraph"/>
        <w:numPr>
          <w:ilvl w:val="0"/>
          <w:numId w:val="3"/>
        </w:num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Whether the court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xml:space="preserve"> dealt with the merits of the matter.</w:t>
      </w:r>
    </w:p>
    <w:p w:rsidR="00232B87" w:rsidRPr="00F530B0" w:rsidRDefault="00232B87" w:rsidP="006C6A51">
      <w:pPr>
        <w:pStyle w:val="ListParagraph"/>
        <w:spacing w:line="240" w:lineRule="auto"/>
        <w:rPr>
          <w:rFonts w:ascii="Times New Roman" w:eastAsia="Calibri" w:hAnsi="Times New Roman" w:cs="Times New Roman"/>
          <w:sz w:val="24"/>
          <w:szCs w:val="24"/>
        </w:rPr>
      </w:pPr>
    </w:p>
    <w:p w:rsidR="00232B87" w:rsidRPr="00F530B0" w:rsidRDefault="00232B87" w:rsidP="007A01D6">
      <w:pPr>
        <w:spacing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While there are 4 </w:t>
      </w:r>
      <w:r w:rsidR="007A01D6" w:rsidRPr="00F530B0">
        <w:rPr>
          <w:rFonts w:ascii="Times New Roman" w:eastAsia="Calibri" w:hAnsi="Times New Roman" w:cs="Times New Roman"/>
          <w:sz w:val="24"/>
          <w:szCs w:val="24"/>
        </w:rPr>
        <w:t>issues arising from the appeal</w:t>
      </w:r>
      <w:r w:rsidR="00F837F8" w:rsidRPr="00F530B0">
        <w:rPr>
          <w:rFonts w:ascii="Times New Roman" w:eastAsia="Calibri" w:hAnsi="Times New Roman" w:cs="Times New Roman"/>
          <w:sz w:val="24"/>
          <w:szCs w:val="24"/>
        </w:rPr>
        <w:t>,</w:t>
      </w:r>
      <w:r w:rsidR="007A01D6" w:rsidRPr="00F530B0">
        <w:rPr>
          <w:rFonts w:ascii="Times New Roman" w:eastAsia="Calibri" w:hAnsi="Times New Roman" w:cs="Times New Roman"/>
          <w:sz w:val="24"/>
          <w:szCs w:val="24"/>
        </w:rPr>
        <w:t xml:space="preserve"> it occur</w:t>
      </w:r>
      <w:r w:rsidR="00086BEC" w:rsidRPr="00F530B0">
        <w:rPr>
          <w:rFonts w:ascii="Times New Roman" w:eastAsia="Calibri" w:hAnsi="Times New Roman" w:cs="Times New Roman"/>
          <w:sz w:val="24"/>
          <w:szCs w:val="24"/>
        </w:rPr>
        <w:t>s</w:t>
      </w:r>
      <w:r w:rsidRPr="00F530B0">
        <w:rPr>
          <w:rFonts w:ascii="Times New Roman" w:eastAsia="Calibri" w:hAnsi="Times New Roman" w:cs="Times New Roman"/>
          <w:sz w:val="24"/>
          <w:szCs w:val="24"/>
        </w:rPr>
        <w:t xml:space="preserve"> to me that only one crisp issue is dispositive of the entire appeal</w:t>
      </w:r>
      <w:r w:rsidR="00CC70F4" w:rsidRPr="00F530B0">
        <w:rPr>
          <w:rFonts w:ascii="Times New Roman" w:eastAsia="Calibri" w:hAnsi="Times New Roman" w:cs="Times New Roman"/>
          <w:sz w:val="24"/>
          <w:szCs w:val="24"/>
        </w:rPr>
        <w:t xml:space="preserve">.  It </w:t>
      </w:r>
      <w:r w:rsidR="00A34F94" w:rsidRPr="00F530B0">
        <w:rPr>
          <w:rFonts w:ascii="Times New Roman" w:eastAsia="Calibri" w:hAnsi="Times New Roman" w:cs="Times New Roman"/>
          <w:sz w:val="24"/>
          <w:szCs w:val="24"/>
        </w:rPr>
        <w:t>is</w:t>
      </w:r>
      <w:r w:rsidR="00F837F8" w:rsidRPr="00F530B0">
        <w:rPr>
          <w:rFonts w:ascii="Times New Roman" w:eastAsia="Calibri" w:hAnsi="Times New Roman" w:cs="Times New Roman"/>
          <w:sz w:val="24"/>
          <w:szCs w:val="24"/>
        </w:rPr>
        <w:t>:</w:t>
      </w:r>
      <w:r w:rsidR="00A34F94" w:rsidRPr="00F530B0">
        <w:rPr>
          <w:rFonts w:ascii="Times New Roman" w:eastAsia="Calibri" w:hAnsi="Times New Roman" w:cs="Times New Roman"/>
          <w:sz w:val="24"/>
          <w:szCs w:val="24"/>
        </w:rPr>
        <w:t xml:space="preserve"> whether the appe</w:t>
      </w:r>
      <w:r w:rsidR="00CD6C23" w:rsidRPr="00F530B0">
        <w:rPr>
          <w:rFonts w:ascii="Times New Roman" w:eastAsia="Calibri" w:hAnsi="Times New Roman" w:cs="Times New Roman"/>
          <w:sz w:val="24"/>
          <w:szCs w:val="24"/>
        </w:rPr>
        <w:t xml:space="preserve">llant was properly cited in the proceedings.  I mention here in passing that even the twin issues of whether a proper </w:t>
      </w:r>
      <w:r w:rsidR="00CD6C23" w:rsidRPr="00F530B0">
        <w:rPr>
          <w:rFonts w:ascii="Times New Roman" w:eastAsia="Calibri" w:hAnsi="Times New Roman" w:cs="Times New Roman"/>
          <w:sz w:val="24"/>
          <w:szCs w:val="24"/>
        </w:rPr>
        <w:lastRenderedPageBreak/>
        <w:t>application for a refund, as provided for in s 125, was m</w:t>
      </w:r>
      <w:r w:rsidR="00F21445" w:rsidRPr="00F530B0">
        <w:rPr>
          <w:rFonts w:ascii="Times New Roman" w:eastAsia="Calibri" w:hAnsi="Times New Roman" w:cs="Times New Roman"/>
          <w:sz w:val="24"/>
          <w:szCs w:val="24"/>
        </w:rPr>
        <w:t>ade and whether such a claim</w:t>
      </w:r>
      <w:r w:rsidR="00CD6C23" w:rsidRPr="00F530B0">
        <w:rPr>
          <w:rFonts w:ascii="Times New Roman" w:eastAsia="Calibri" w:hAnsi="Times New Roman" w:cs="Times New Roman"/>
          <w:sz w:val="24"/>
          <w:szCs w:val="24"/>
        </w:rPr>
        <w:t xml:space="preserve"> was prescribed in terms of the Prescription Act, would also dispose of the entire matter.</w:t>
      </w:r>
    </w:p>
    <w:p w:rsidR="00CD6C23" w:rsidRPr="00F530B0" w:rsidRDefault="00CD6C23" w:rsidP="00D2165B">
      <w:pPr>
        <w:spacing w:after="0" w:line="240" w:lineRule="auto"/>
        <w:jc w:val="both"/>
        <w:rPr>
          <w:rFonts w:ascii="Times New Roman" w:eastAsia="Calibri" w:hAnsi="Times New Roman" w:cs="Times New Roman"/>
          <w:sz w:val="24"/>
          <w:szCs w:val="24"/>
        </w:rPr>
      </w:pPr>
    </w:p>
    <w:p w:rsidR="00CD6C23" w:rsidRPr="00F530B0" w:rsidRDefault="00CD6C23" w:rsidP="00232B87">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00FF3D32"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How</w:t>
      </w:r>
      <w:r w:rsidR="00FB2C2D" w:rsidRPr="00F530B0">
        <w:rPr>
          <w:rFonts w:ascii="Times New Roman" w:eastAsia="Calibri" w:hAnsi="Times New Roman" w:cs="Times New Roman"/>
          <w:sz w:val="24"/>
          <w:szCs w:val="24"/>
        </w:rPr>
        <w:t>ever, the court can only relate to those other two issues</w:t>
      </w:r>
      <w:r w:rsidRPr="00F530B0">
        <w:rPr>
          <w:rFonts w:ascii="Times New Roman" w:eastAsia="Calibri" w:hAnsi="Times New Roman" w:cs="Times New Roman"/>
          <w:sz w:val="24"/>
          <w:szCs w:val="24"/>
        </w:rPr>
        <w:t xml:space="preserve"> if the proper </w:t>
      </w:r>
      <w:r w:rsidR="004661AB" w:rsidRPr="00F530B0">
        <w:rPr>
          <w:rFonts w:ascii="Times New Roman" w:eastAsia="Calibri" w:hAnsi="Times New Roman" w:cs="Times New Roman"/>
          <w:sz w:val="24"/>
          <w:szCs w:val="24"/>
        </w:rPr>
        <w:t>parties to</w:t>
      </w:r>
      <w:r w:rsidRPr="00F530B0">
        <w:rPr>
          <w:rFonts w:ascii="Times New Roman" w:eastAsia="Calibri" w:hAnsi="Times New Roman" w:cs="Times New Roman"/>
          <w:sz w:val="24"/>
          <w:szCs w:val="24"/>
        </w:rPr>
        <w:t xml:space="preserve"> the dispute are before the court.  In my view, if the court finds that the appellant was improperly cited, that should be the end of the matter.  The </w:t>
      </w:r>
      <w:r w:rsidR="002F7428" w:rsidRPr="00F530B0">
        <w:rPr>
          <w:rFonts w:ascii="Times New Roman" w:eastAsia="Calibri" w:hAnsi="Times New Roman" w:cs="Times New Roman"/>
          <w:sz w:val="24"/>
          <w:szCs w:val="24"/>
        </w:rPr>
        <w:t>application w</w:t>
      </w:r>
      <w:r w:rsidRPr="00F530B0">
        <w:rPr>
          <w:rFonts w:ascii="Times New Roman" w:eastAsia="Calibri" w:hAnsi="Times New Roman" w:cs="Times New Roman"/>
          <w:sz w:val="24"/>
          <w:szCs w:val="24"/>
        </w:rPr>
        <w:t>oul</w:t>
      </w:r>
      <w:r w:rsidR="002F7428" w:rsidRPr="00F530B0">
        <w:rPr>
          <w:rFonts w:ascii="Times New Roman" w:eastAsia="Calibri" w:hAnsi="Times New Roman" w:cs="Times New Roman"/>
          <w:sz w:val="24"/>
          <w:szCs w:val="24"/>
        </w:rPr>
        <w:t xml:space="preserve">d have to be </w:t>
      </w:r>
      <w:r w:rsidRPr="00F530B0">
        <w:rPr>
          <w:rFonts w:ascii="Times New Roman" w:eastAsia="Calibri" w:hAnsi="Times New Roman" w:cs="Times New Roman"/>
          <w:sz w:val="24"/>
          <w:szCs w:val="24"/>
        </w:rPr>
        <w:t>struck off the roll for that reason.</w:t>
      </w:r>
    </w:p>
    <w:p w:rsidR="00CD6C23" w:rsidRPr="00F530B0" w:rsidRDefault="00CD6C23" w:rsidP="001746B3">
      <w:pPr>
        <w:spacing w:after="0" w:line="240" w:lineRule="auto"/>
        <w:jc w:val="both"/>
        <w:rPr>
          <w:rFonts w:ascii="Times New Roman" w:eastAsia="Calibri" w:hAnsi="Times New Roman" w:cs="Times New Roman"/>
          <w:sz w:val="24"/>
          <w:szCs w:val="24"/>
        </w:rPr>
      </w:pPr>
    </w:p>
    <w:p w:rsidR="00CD6C23" w:rsidRPr="00F530B0" w:rsidRDefault="00CD6C23" w:rsidP="00232B87">
      <w:pPr>
        <w:spacing w:line="480" w:lineRule="auto"/>
        <w:jc w:val="both"/>
        <w:rPr>
          <w:rFonts w:ascii="Times New Roman" w:eastAsia="Calibri" w:hAnsi="Times New Roman" w:cs="Times New Roman"/>
          <w:b/>
          <w:sz w:val="24"/>
          <w:szCs w:val="24"/>
        </w:rPr>
      </w:pPr>
      <w:r w:rsidRPr="00F530B0">
        <w:rPr>
          <w:rFonts w:ascii="Times New Roman" w:eastAsia="Calibri" w:hAnsi="Times New Roman" w:cs="Times New Roman"/>
          <w:b/>
          <w:sz w:val="24"/>
          <w:szCs w:val="24"/>
        </w:rPr>
        <w:t>SUBMISSIONS ON APPEAL</w:t>
      </w:r>
    </w:p>
    <w:p w:rsidR="00CD6C23" w:rsidRPr="00F530B0" w:rsidRDefault="00CD6C23" w:rsidP="00BE25A9">
      <w:pPr>
        <w:spacing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On the crisp issue of the citation of the appellant, Mr </w:t>
      </w:r>
      <w:r w:rsidRPr="00F530B0">
        <w:rPr>
          <w:rFonts w:ascii="Times New Roman" w:eastAsia="Calibri" w:hAnsi="Times New Roman" w:cs="Times New Roman"/>
          <w:i/>
          <w:sz w:val="24"/>
          <w:szCs w:val="24"/>
        </w:rPr>
        <w:t>Sithole</w:t>
      </w:r>
      <w:r w:rsidRPr="00F530B0">
        <w:rPr>
          <w:rFonts w:ascii="Times New Roman" w:eastAsia="Calibri" w:hAnsi="Times New Roman" w:cs="Times New Roman"/>
          <w:sz w:val="24"/>
          <w:szCs w:val="24"/>
        </w:rPr>
        <w:t xml:space="preserve"> submitted in his heads of argument that the court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xml:space="preserve"> erred in dismissing the preliminary objection on the improper citation of the appellant.  Reliance was placed on a chain of High Court judgments which were rejected by the court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They all make the point that, by virtue of s 3 of the Revenue Authorit</w:t>
      </w:r>
      <w:r w:rsidR="007E5A2F" w:rsidRPr="00F530B0">
        <w:rPr>
          <w:rFonts w:ascii="Times New Roman" w:eastAsia="Calibri" w:hAnsi="Times New Roman" w:cs="Times New Roman"/>
          <w:sz w:val="24"/>
          <w:szCs w:val="24"/>
        </w:rPr>
        <w:t>y Act [</w:t>
      </w:r>
      <w:r w:rsidR="007E5A2F" w:rsidRPr="00F530B0">
        <w:rPr>
          <w:rFonts w:ascii="Times New Roman" w:eastAsia="Calibri" w:hAnsi="Times New Roman" w:cs="Times New Roman"/>
          <w:i/>
          <w:sz w:val="24"/>
          <w:szCs w:val="24"/>
        </w:rPr>
        <w:t>C</w:t>
      </w:r>
      <w:r w:rsidRPr="00F530B0">
        <w:rPr>
          <w:rFonts w:ascii="Times New Roman" w:eastAsia="Calibri" w:hAnsi="Times New Roman" w:cs="Times New Roman"/>
          <w:i/>
          <w:sz w:val="24"/>
          <w:szCs w:val="24"/>
        </w:rPr>
        <w:t>hapter</w:t>
      </w:r>
      <w:r w:rsidR="007E5A2F" w:rsidRPr="00F530B0">
        <w:rPr>
          <w:rFonts w:ascii="Times New Roman" w:eastAsia="Calibri" w:hAnsi="Times New Roman" w:cs="Times New Roman"/>
          <w:i/>
          <w:sz w:val="24"/>
          <w:szCs w:val="24"/>
        </w:rPr>
        <w:t xml:space="preserve"> 23.11</w:t>
      </w:r>
      <w:r w:rsidR="003B1C98" w:rsidRPr="00F530B0">
        <w:rPr>
          <w:rFonts w:ascii="Times New Roman" w:eastAsia="Calibri" w:hAnsi="Times New Roman" w:cs="Times New Roman"/>
          <w:sz w:val="24"/>
          <w:szCs w:val="24"/>
        </w:rPr>
        <w:t>] which</w:t>
      </w:r>
      <w:r w:rsidRPr="00F530B0">
        <w:rPr>
          <w:rFonts w:ascii="Times New Roman" w:eastAsia="Calibri" w:hAnsi="Times New Roman" w:cs="Times New Roman"/>
          <w:sz w:val="24"/>
          <w:szCs w:val="24"/>
        </w:rPr>
        <w:t xml:space="preserve"> establishes ZIMRA, it is the authority which should be cited in any proceedings.</w:t>
      </w:r>
    </w:p>
    <w:p w:rsidR="00CD6C23" w:rsidRPr="00F530B0" w:rsidRDefault="00CD6C23" w:rsidP="00D2165B">
      <w:pPr>
        <w:spacing w:after="0" w:line="240" w:lineRule="auto"/>
        <w:jc w:val="both"/>
        <w:rPr>
          <w:rFonts w:ascii="Times New Roman" w:eastAsia="Calibri" w:hAnsi="Times New Roman" w:cs="Times New Roman"/>
          <w:sz w:val="24"/>
          <w:szCs w:val="24"/>
        </w:rPr>
      </w:pPr>
    </w:p>
    <w:p w:rsidR="00CD6C23" w:rsidRPr="00F530B0" w:rsidRDefault="00CD6C23" w:rsidP="00232B87">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006F6AE5" w:rsidRPr="00F530B0">
        <w:rPr>
          <w:rFonts w:ascii="Times New Roman" w:eastAsia="Calibri" w:hAnsi="Times New Roman" w:cs="Times New Roman"/>
          <w:sz w:val="24"/>
          <w:szCs w:val="24"/>
        </w:rPr>
        <w:tab/>
      </w:r>
      <w:r w:rsidR="00636980" w:rsidRPr="00F530B0">
        <w:rPr>
          <w:rFonts w:ascii="Times New Roman" w:eastAsia="Calibri" w:hAnsi="Times New Roman" w:cs="Times New Roman"/>
          <w:sz w:val="24"/>
          <w:szCs w:val="24"/>
        </w:rPr>
        <w:t>Counse</w:t>
      </w:r>
      <w:r w:rsidRPr="00F530B0">
        <w:rPr>
          <w:rFonts w:ascii="Times New Roman" w:eastAsia="Calibri" w:hAnsi="Times New Roman" w:cs="Times New Roman"/>
          <w:sz w:val="24"/>
          <w:szCs w:val="24"/>
        </w:rPr>
        <w:t xml:space="preserve">l for the appellant submitted further that the </w:t>
      </w:r>
      <w:r w:rsidR="00E46A01" w:rsidRPr="00F530B0">
        <w:rPr>
          <w:rFonts w:ascii="Times New Roman" w:eastAsia="Calibri" w:hAnsi="Times New Roman" w:cs="Times New Roman"/>
          <w:sz w:val="24"/>
          <w:szCs w:val="24"/>
        </w:rPr>
        <w:t xml:space="preserve">High Court judgments </w:t>
      </w:r>
      <w:r w:rsidR="004E3F1D" w:rsidRPr="00F530B0">
        <w:rPr>
          <w:rFonts w:ascii="Times New Roman" w:eastAsia="Calibri" w:hAnsi="Times New Roman" w:cs="Times New Roman"/>
          <w:sz w:val="24"/>
          <w:szCs w:val="24"/>
        </w:rPr>
        <w:t xml:space="preserve">departed from by the </w:t>
      </w:r>
      <w:r w:rsidR="00E46A01" w:rsidRPr="00F530B0">
        <w:rPr>
          <w:rFonts w:ascii="Times New Roman" w:eastAsia="Calibri" w:hAnsi="Times New Roman" w:cs="Times New Roman"/>
          <w:sz w:val="24"/>
          <w:szCs w:val="24"/>
        </w:rPr>
        <w:t xml:space="preserve">judge </w:t>
      </w:r>
      <w:r w:rsidR="00E46A01" w:rsidRPr="00F530B0">
        <w:rPr>
          <w:rFonts w:ascii="Times New Roman" w:eastAsia="Calibri" w:hAnsi="Times New Roman" w:cs="Times New Roman"/>
          <w:i/>
          <w:sz w:val="24"/>
          <w:szCs w:val="24"/>
        </w:rPr>
        <w:t>a quo</w:t>
      </w:r>
      <w:r w:rsidR="00E46A01" w:rsidRPr="00F530B0">
        <w:rPr>
          <w:rFonts w:ascii="Times New Roman" w:eastAsia="Calibri" w:hAnsi="Times New Roman" w:cs="Times New Roman"/>
          <w:sz w:val="24"/>
          <w:szCs w:val="24"/>
        </w:rPr>
        <w:t xml:space="preserve"> received imprimatur by the Supreme Court in </w:t>
      </w:r>
      <w:r w:rsidR="00E46A01" w:rsidRPr="00F530B0">
        <w:rPr>
          <w:rFonts w:ascii="Times New Roman" w:eastAsia="Calibri" w:hAnsi="Times New Roman" w:cs="Times New Roman"/>
          <w:i/>
          <w:sz w:val="24"/>
          <w:szCs w:val="24"/>
        </w:rPr>
        <w:t>Care International in Zimbabwe v Zimbabwe</w:t>
      </w:r>
      <w:r w:rsidR="00E46A01" w:rsidRPr="00F530B0">
        <w:rPr>
          <w:rFonts w:ascii="Times New Roman" w:eastAsia="Calibri" w:hAnsi="Times New Roman" w:cs="Times New Roman"/>
          <w:sz w:val="24"/>
          <w:szCs w:val="24"/>
        </w:rPr>
        <w:t xml:space="preserve"> </w:t>
      </w:r>
      <w:r w:rsidR="00E46A01" w:rsidRPr="00F530B0">
        <w:rPr>
          <w:rFonts w:ascii="Times New Roman" w:eastAsia="Calibri" w:hAnsi="Times New Roman" w:cs="Times New Roman"/>
          <w:i/>
          <w:sz w:val="24"/>
          <w:szCs w:val="24"/>
        </w:rPr>
        <w:t>Revenue Authority</w:t>
      </w:r>
      <w:r w:rsidR="00E46A01" w:rsidRPr="00F530B0">
        <w:rPr>
          <w:rFonts w:ascii="Times New Roman" w:eastAsia="Calibri" w:hAnsi="Times New Roman" w:cs="Times New Roman"/>
          <w:sz w:val="24"/>
          <w:szCs w:val="24"/>
        </w:rPr>
        <w:t xml:space="preserve"> </w:t>
      </w:r>
      <w:r w:rsidR="00E46A01" w:rsidRPr="00F530B0">
        <w:rPr>
          <w:rFonts w:ascii="Times New Roman" w:eastAsia="Calibri" w:hAnsi="Times New Roman" w:cs="Times New Roman"/>
          <w:i/>
          <w:sz w:val="24"/>
          <w:szCs w:val="24"/>
        </w:rPr>
        <w:t>&amp; Ors</w:t>
      </w:r>
      <w:r w:rsidR="00E46A01" w:rsidRPr="00F530B0">
        <w:rPr>
          <w:rFonts w:ascii="Times New Roman" w:eastAsia="Calibri" w:hAnsi="Times New Roman" w:cs="Times New Roman"/>
          <w:sz w:val="24"/>
          <w:szCs w:val="24"/>
        </w:rPr>
        <w:t xml:space="preserve"> SC 76/17. It is a judgment delivered on 22 January 2018 more than 2 years before the learned judge </w:t>
      </w:r>
      <w:r w:rsidR="00E46A01" w:rsidRPr="00F530B0">
        <w:rPr>
          <w:rFonts w:ascii="Times New Roman" w:eastAsia="Calibri" w:hAnsi="Times New Roman" w:cs="Times New Roman"/>
          <w:i/>
          <w:sz w:val="24"/>
          <w:szCs w:val="24"/>
        </w:rPr>
        <w:t>a quo</w:t>
      </w:r>
      <w:r w:rsidR="00E46A01" w:rsidRPr="00F530B0">
        <w:rPr>
          <w:rFonts w:ascii="Times New Roman" w:eastAsia="Calibri" w:hAnsi="Times New Roman" w:cs="Times New Roman"/>
          <w:sz w:val="24"/>
          <w:szCs w:val="24"/>
        </w:rPr>
        <w:t xml:space="preserve"> delivered the judgment forming the basis of the present appeal.</w:t>
      </w:r>
    </w:p>
    <w:p w:rsidR="00E46A01" w:rsidRPr="00F530B0" w:rsidRDefault="00E46A01" w:rsidP="00D2165B">
      <w:pPr>
        <w:spacing w:after="0" w:line="240" w:lineRule="auto"/>
        <w:jc w:val="both"/>
        <w:rPr>
          <w:rFonts w:ascii="Times New Roman" w:eastAsia="Calibri" w:hAnsi="Times New Roman" w:cs="Times New Roman"/>
          <w:sz w:val="24"/>
          <w:szCs w:val="24"/>
        </w:rPr>
      </w:pPr>
    </w:p>
    <w:p w:rsidR="00E46A01" w:rsidRPr="00F530B0" w:rsidRDefault="00E46A01" w:rsidP="00232B87">
      <w:pPr>
        <w:spacing w:line="480" w:lineRule="auto"/>
        <w:jc w:val="both"/>
        <w:rPr>
          <w:rFonts w:ascii="Times New Roman" w:eastAsia="Calibri" w:hAnsi="Times New Roman" w:cs="Times New Roman"/>
          <w:i/>
          <w:sz w:val="24"/>
          <w:szCs w:val="24"/>
        </w:rPr>
      </w:pPr>
      <w:r w:rsidRPr="00F530B0">
        <w:rPr>
          <w:rFonts w:ascii="Times New Roman" w:eastAsia="Calibri" w:hAnsi="Times New Roman" w:cs="Times New Roman"/>
          <w:sz w:val="24"/>
          <w:szCs w:val="24"/>
        </w:rPr>
        <w:tab/>
      </w:r>
      <w:r w:rsidR="009E24A8"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 xml:space="preserve">In that regard, it was submitted on behalf of the appellant that the court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xml:space="preserve"> was bound by the doctrine of </w:t>
      </w:r>
      <w:r w:rsidR="000328CD">
        <w:rPr>
          <w:rFonts w:ascii="Times New Roman" w:eastAsia="Calibri" w:hAnsi="Times New Roman" w:cs="Times New Roman"/>
          <w:i/>
          <w:sz w:val="24"/>
          <w:szCs w:val="24"/>
        </w:rPr>
        <w:t>star</w:t>
      </w:r>
      <w:r w:rsidRPr="00F530B0">
        <w:rPr>
          <w:rFonts w:ascii="Times New Roman" w:eastAsia="Calibri" w:hAnsi="Times New Roman" w:cs="Times New Roman"/>
          <w:i/>
          <w:sz w:val="24"/>
          <w:szCs w:val="24"/>
        </w:rPr>
        <w:t>e decisis</w:t>
      </w:r>
      <w:r w:rsidRPr="00F530B0">
        <w:rPr>
          <w:rFonts w:ascii="Times New Roman" w:eastAsia="Calibri" w:hAnsi="Times New Roman" w:cs="Times New Roman"/>
          <w:sz w:val="24"/>
          <w:szCs w:val="24"/>
        </w:rPr>
        <w:t xml:space="preserve"> to follow the judgments relied upon.  It was not at liberty to overrule the Supreme Court judgment in </w:t>
      </w:r>
      <w:r w:rsidRPr="00F530B0">
        <w:rPr>
          <w:rFonts w:ascii="Times New Roman" w:eastAsia="Calibri" w:hAnsi="Times New Roman" w:cs="Times New Roman"/>
          <w:i/>
          <w:sz w:val="24"/>
          <w:szCs w:val="24"/>
        </w:rPr>
        <w:t>Care International in Zimbabwe, Supra</w:t>
      </w:r>
      <w:r w:rsidR="006C1177" w:rsidRPr="00F530B0">
        <w:rPr>
          <w:rFonts w:ascii="Times New Roman" w:eastAsia="Calibri" w:hAnsi="Times New Roman" w:cs="Times New Roman"/>
          <w:i/>
          <w:sz w:val="24"/>
          <w:szCs w:val="24"/>
        </w:rPr>
        <w:t>.</w:t>
      </w:r>
    </w:p>
    <w:p w:rsidR="006C1177" w:rsidRPr="00F530B0" w:rsidRDefault="006C1177" w:rsidP="005B099F">
      <w:pPr>
        <w:spacing w:line="240" w:lineRule="auto"/>
        <w:jc w:val="both"/>
        <w:rPr>
          <w:rFonts w:ascii="Times New Roman" w:eastAsia="Calibri" w:hAnsi="Times New Roman" w:cs="Times New Roman"/>
          <w:i/>
          <w:sz w:val="24"/>
          <w:szCs w:val="24"/>
        </w:rPr>
      </w:pPr>
    </w:p>
    <w:p w:rsidR="006C1177" w:rsidRPr="00F530B0" w:rsidRDefault="006C1177" w:rsidP="00232B87">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i/>
          <w:sz w:val="24"/>
          <w:szCs w:val="24"/>
        </w:rPr>
        <w:tab/>
        <w:t xml:space="preserve">Mr Hashiti </w:t>
      </w:r>
      <w:r w:rsidRPr="00F530B0">
        <w:rPr>
          <w:rFonts w:ascii="Times New Roman" w:eastAsia="Calibri" w:hAnsi="Times New Roman" w:cs="Times New Roman"/>
          <w:sz w:val="24"/>
          <w:szCs w:val="24"/>
        </w:rPr>
        <w:t xml:space="preserve">for the respondent was of a different view.  He cited s 2 of the State Liabilities Act and s 196 of the Customs and </w:t>
      </w:r>
      <w:r w:rsidR="00AB4432" w:rsidRPr="00F530B0">
        <w:rPr>
          <w:rFonts w:ascii="Times New Roman" w:eastAsia="Calibri" w:hAnsi="Times New Roman" w:cs="Times New Roman"/>
          <w:sz w:val="24"/>
          <w:szCs w:val="24"/>
        </w:rPr>
        <w:t>Excise Act in</w:t>
      </w:r>
      <w:r w:rsidR="007342CB" w:rsidRPr="00F530B0">
        <w:rPr>
          <w:rFonts w:ascii="Times New Roman" w:eastAsia="Calibri" w:hAnsi="Times New Roman" w:cs="Times New Roman"/>
          <w:sz w:val="24"/>
          <w:szCs w:val="24"/>
        </w:rPr>
        <w:t xml:space="preserve"> advancing the argument that the appellant can be cited in proceedings where it is his or her conduct that is complained of.  In his view, the fact that the Authority is a body capable of suing a</w:t>
      </w:r>
      <w:r w:rsidR="008C5864" w:rsidRPr="00F530B0">
        <w:rPr>
          <w:rFonts w:ascii="Times New Roman" w:eastAsia="Calibri" w:hAnsi="Times New Roman" w:cs="Times New Roman"/>
          <w:sz w:val="24"/>
          <w:szCs w:val="24"/>
        </w:rPr>
        <w:t>nd being sued does not directly translate to</w:t>
      </w:r>
      <w:r w:rsidR="007342CB" w:rsidRPr="00F530B0">
        <w:rPr>
          <w:rFonts w:ascii="Times New Roman" w:eastAsia="Calibri" w:hAnsi="Times New Roman" w:cs="Times New Roman"/>
          <w:sz w:val="24"/>
          <w:szCs w:val="24"/>
        </w:rPr>
        <w:t xml:space="preserve"> the appellant’s exclusion from any suit.</w:t>
      </w:r>
    </w:p>
    <w:p w:rsidR="007342CB" w:rsidRPr="00F530B0" w:rsidRDefault="007342CB" w:rsidP="00D2165B">
      <w:pPr>
        <w:spacing w:after="0" w:line="240" w:lineRule="auto"/>
        <w:jc w:val="both"/>
        <w:rPr>
          <w:rFonts w:ascii="Times New Roman" w:eastAsia="Calibri" w:hAnsi="Times New Roman" w:cs="Times New Roman"/>
          <w:sz w:val="24"/>
          <w:szCs w:val="24"/>
        </w:rPr>
      </w:pPr>
    </w:p>
    <w:p w:rsidR="007342CB" w:rsidRPr="00F530B0" w:rsidRDefault="007342CB" w:rsidP="00232B87">
      <w:pPr>
        <w:spacing w:line="480" w:lineRule="auto"/>
        <w:jc w:val="both"/>
        <w:rPr>
          <w:rFonts w:ascii="Times New Roman" w:eastAsia="Calibri" w:hAnsi="Times New Roman" w:cs="Times New Roman"/>
          <w:b/>
          <w:sz w:val="24"/>
          <w:szCs w:val="24"/>
        </w:rPr>
      </w:pPr>
      <w:r w:rsidRPr="00F530B0">
        <w:rPr>
          <w:rFonts w:ascii="Times New Roman" w:eastAsia="Calibri" w:hAnsi="Times New Roman" w:cs="Times New Roman"/>
          <w:b/>
          <w:sz w:val="24"/>
          <w:szCs w:val="24"/>
        </w:rPr>
        <w:t>ANALYSIS</w:t>
      </w:r>
    </w:p>
    <w:p w:rsidR="007342CB" w:rsidRPr="00F530B0" w:rsidRDefault="007342CB" w:rsidP="00167EF1">
      <w:pPr>
        <w:spacing w:line="24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ZIMRA is established by s 3 of the Revenue Authority Act in the following terms:</w:t>
      </w:r>
    </w:p>
    <w:p w:rsidR="007342CB" w:rsidRPr="00F530B0" w:rsidRDefault="007342CB" w:rsidP="00167EF1">
      <w:pPr>
        <w:spacing w:line="240" w:lineRule="auto"/>
        <w:ind w:left="567"/>
        <w:jc w:val="both"/>
        <w:rPr>
          <w:rFonts w:ascii="Times New Roman" w:eastAsia="Calibri" w:hAnsi="Times New Roman" w:cs="Times New Roman"/>
          <w:sz w:val="24"/>
          <w:szCs w:val="24"/>
          <w:u w:val="single"/>
        </w:rPr>
      </w:pPr>
      <w:r w:rsidRPr="00F530B0">
        <w:rPr>
          <w:rFonts w:ascii="Times New Roman" w:eastAsia="Calibri" w:hAnsi="Times New Roman" w:cs="Times New Roman"/>
          <w:sz w:val="24"/>
          <w:szCs w:val="24"/>
        </w:rPr>
        <w:t xml:space="preserve">“There is hereby established an authority, to be known as the Zimbabwe Revenue Authority, which shall be a </w:t>
      </w:r>
      <w:r w:rsidRPr="00F530B0">
        <w:rPr>
          <w:rFonts w:ascii="Times New Roman" w:eastAsia="Calibri" w:hAnsi="Times New Roman" w:cs="Times New Roman"/>
          <w:sz w:val="24"/>
          <w:szCs w:val="24"/>
          <w:u w:val="single"/>
        </w:rPr>
        <w:t xml:space="preserve">body corporate capable of suing and being sued in its own name and subject to this Act, of performing all acts that bodies corporate may by law perform” </w:t>
      </w:r>
      <w:r w:rsidRPr="00F530B0">
        <w:rPr>
          <w:rFonts w:ascii="Times New Roman" w:eastAsia="Calibri" w:hAnsi="Times New Roman" w:cs="Times New Roman"/>
          <w:sz w:val="24"/>
          <w:szCs w:val="24"/>
        </w:rPr>
        <w:t>(The underlining is</w:t>
      </w:r>
      <w:r w:rsidRPr="00F530B0">
        <w:rPr>
          <w:rFonts w:ascii="Times New Roman" w:eastAsia="Calibri" w:hAnsi="Times New Roman" w:cs="Times New Roman"/>
          <w:sz w:val="24"/>
          <w:szCs w:val="24"/>
          <w:u w:val="single"/>
        </w:rPr>
        <w:t xml:space="preserve"> </w:t>
      </w:r>
      <w:r w:rsidRPr="00F530B0">
        <w:rPr>
          <w:rFonts w:ascii="Times New Roman" w:eastAsia="Calibri" w:hAnsi="Times New Roman" w:cs="Times New Roman"/>
          <w:sz w:val="24"/>
          <w:szCs w:val="24"/>
        </w:rPr>
        <w:t>for my emphasis)</w:t>
      </w:r>
    </w:p>
    <w:p w:rsidR="007342CB" w:rsidRPr="00F530B0" w:rsidRDefault="0094109A" w:rsidP="00D2165B">
      <w:pPr>
        <w:spacing w:line="240" w:lineRule="auto"/>
        <w:jc w:val="both"/>
        <w:rPr>
          <w:rFonts w:ascii="Times New Roman" w:eastAsia="Calibri" w:hAnsi="Times New Roman" w:cs="Times New Roman"/>
          <w:sz w:val="24"/>
          <w:szCs w:val="24"/>
          <w:u w:val="single"/>
        </w:rPr>
      </w:pPr>
      <w:r w:rsidRPr="00F530B0">
        <w:rPr>
          <w:rFonts w:ascii="Times New Roman" w:eastAsia="Calibri" w:hAnsi="Times New Roman" w:cs="Times New Roman"/>
          <w:sz w:val="24"/>
          <w:szCs w:val="24"/>
          <w:u w:val="single"/>
        </w:rPr>
        <w:t xml:space="preserve"> </w:t>
      </w:r>
    </w:p>
    <w:p w:rsidR="007342CB" w:rsidRPr="00F530B0" w:rsidRDefault="0094109A" w:rsidP="006F5C46">
      <w:pPr>
        <w:spacing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 </w:t>
      </w:r>
      <w:r w:rsidR="007342CB" w:rsidRPr="00F530B0">
        <w:rPr>
          <w:rFonts w:ascii="Times New Roman" w:eastAsia="Calibri" w:hAnsi="Times New Roman" w:cs="Times New Roman"/>
          <w:sz w:val="24"/>
          <w:szCs w:val="24"/>
        </w:rPr>
        <w:t>As already stated the authorities discarded</w:t>
      </w:r>
      <w:r w:rsidR="00184F86" w:rsidRPr="00F530B0">
        <w:rPr>
          <w:rFonts w:ascii="Times New Roman" w:eastAsia="Calibri" w:hAnsi="Times New Roman" w:cs="Times New Roman"/>
          <w:sz w:val="24"/>
          <w:szCs w:val="24"/>
        </w:rPr>
        <w:t xml:space="preserve"> by the learned judge </w:t>
      </w:r>
      <w:r w:rsidR="00184F86" w:rsidRPr="00F530B0">
        <w:rPr>
          <w:rFonts w:ascii="Times New Roman" w:eastAsia="Calibri" w:hAnsi="Times New Roman" w:cs="Times New Roman"/>
          <w:i/>
          <w:sz w:val="24"/>
          <w:szCs w:val="24"/>
        </w:rPr>
        <w:t>a quo</w:t>
      </w:r>
      <w:r w:rsidR="00184F86" w:rsidRPr="00F530B0">
        <w:rPr>
          <w:rFonts w:ascii="Times New Roman" w:eastAsia="Calibri" w:hAnsi="Times New Roman" w:cs="Times New Roman"/>
          <w:sz w:val="24"/>
          <w:szCs w:val="24"/>
        </w:rPr>
        <w:t xml:space="preserve"> interpreted that provision to mean that it is ZIMRA as an entity which must be sued</w:t>
      </w:r>
      <w:r w:rsidR="00B6784A" w:rsidRPr="00F530B0">
        <w:rPr>
          <w:rFonts w:ascii="Times New Roman" w:eastAsia="Calibri" w:hAnsi="Times New Roman" w:cs="Times New Roman"/>
          <w:sz w:val="24"/>
          <w:szCs w:val="24"/>
        </w:rPr>
        <w:t xml:space="preserve"> in proceedings involving the administration of any legislative instruments falling under its </w:t>
      </w:r>
      <w:r w:rsidR="0044739E" w:rsidRPr="00F530B0">
        <w:rPr>
          <w:rFonts w:ascii="Times New Roman" w:eastAsia="Calibri" w:hAnsi="Times New Roman" w:cs="Times New Roman"/>
          <w:sz w:val="24"/>
          <w:szCs w:val="24"/>
        </w:rPr>
        <w:t>purview.  Those authorities are clear that the appellant cannot be cited personally in any action where the</w:t>
      </w:r>
      <w:r w:rsidR="007F033D" w:rsidRPr="00F530B0">
        <w:rPr>
          <w:rFonts w:ascii="Times New Roman" w:eastAsia="Calibri" w:hAnsi="Times New Roman" w:cs="Times New Roman"/>
          <w:sz w:val="24"/>
          <w:szCs w:val="24"/>
        </w:rPr>
        <w:t xml:space="preserve"> actions </w:t>
      </w:r>
      <w:r w:rsidR="005B6622" w:rsidRPr="00F530B0">
        <w:rPr>
          <w:rFonts w:ascii="Times New Roman" w:eastAsia="Calibri" w:hAnsi="Times New Roman" w:cs="Times New Roman"/>
          <w:sz w:val="24"/>
          <w:szCs w:val="24"/>
        </w:rPr>
        <w:t xml:space="preserve">of </w:t>
      </w:r>
      <w:r w:rsidR="00835FA0">
        <w:rPr>
          <w:rFonts w:ascii="Times New Roman" w:eastAsia="Calibri" w:hAnsi="Times New Roman" w:cs="Times New Roman"/>
          <w:sz w:val="24"/>
          <w:szCs w:val="24"/>
        </w:rPr>
        <w:t xml:space="preserve">the </w:t>
      </w:r>
      <w:r w:rsidR="005B6622" w:rsidRPr="00F530B0">
        <w:rPr>
          <w:rFonts w:ascii="Times New Roman" w:eastAsia="Calibri" w:hAnsi="Times New Roman" w:cs="Times New Roman"/>
          <w:sz w:val="24"/>
          <w:szCs w:val="24"/>
        </w:rPr>
        <w:t>Authority’s</w:t>
      </w:r>
      <w:r w:rsidR="007F033D" w:rsidRPr="00F530B0">
        <w:rPr>
          <w:rFonts w:ascii="Times New Roman" w:eastAsia="Calibri" w:hAnsi="Times New Roman" w:cs="Times New Roman"/>
          <w:sz w:val="24"/>
          <w:szCs w:val="24"/>
        </w:rPr>
        <w:t xml:space="preserve"> employees </w:t>
      </w:r>
      <w:r w:rsidR="0044739E" w:rsidRPr="00F530B0">
        <w:rPr>
          <w:rFonts w:ascii="Times New Roman" w:eastAsia="Calibri" w:hAnsi="Times New Roman" w:cs="Times New Roman"/>
          <w:sz w:val="24"/>
          <w:szCs w:val="24"/>
        </w:rPr>
        <w:t>are complained of.</w:t>
      </w:r>
    </w:p>
    <w:p w:rsidR="006F5C46" w:rsidRPr="00F530B0" w:rsidRDefault="006F5C46" w:rsidP="000E62D8">
      <w:pPr>
        <w:spacing w:after="0" w:line="240" w:lineRule="auto"/>
        <w:jc w:val="both"/>
        <w:rPr>
          <w:rFonts w:ascii="Times New Roman" w:eastAsia="Calibri" w:hAnsi="Times New Roman" w:cs="Times New Roman"/>
          <w:sz w:val="24"/>
          <w:szCs w:val="24"/>
        </w:rPr>
      </w:pPr>
    </w:p>
    <w:p w:rsidR="006F5C46" w:rsidRPr="00F530B0" w:rsidRDefault="006F5C46" w:rsidP="0010756D">
      <w:pPr>
        <w:spacing w:after="0"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In </w:t>
      </w:r>
      <w:r w:rsidRPr="00F530B0">
        <w:rPr>
          <w:rFonts w:ascii="Times New Roman" w:eastAsia="Calibri" w:hAnsi="Times New Roman" w:cs="Times New Roman"/>
          <w:i/>
          <w:sz w:val="24"/>
          <w:szCs w:val="24"/>
        </w:rPr>
        <w:t>Care International in Zimbabwe, supra</w:t>
      </w:r>
      <w:r w:rsidRPr="00F530B0">
        <w:rPr>
          <w:rFonts w:ascii="Times New Roman" w:eastAsia="Calibri" w:hAnsi="Times New Roman" w:cs="Times New Roman"/>
          <w:sz w:val="24"/>
          <w:szCs w:val="24"/>
        </w:rPr>
        <w:t>, Gowora JA (as she then was) dealt with the provisions of s 3 of the Revenue Authority Act</w:t>
      </w:r>
      <w:r w:rsidR="008E00FB" w:rsidRPr="00F530B0">
        <w:rPr>
          <w:rFonts w:ascii="Times New Roman" w:eastAsia="Calibri" w:hAnsi="Times New Roman" w:cs="Times New Roman"/>
          <w:sz w:val="24"/>
          <w:szCs w:val="24"/>
        </w:rPr>
        <w:t xml:space="preserve">, in relation to the functions of the appellant.  At p 8 the learned </w:t>
      </w:r>
      <w:r w:rsidR="00D5169A" w:rsidRPr="00F530B0">
        <w:rPr>
          <w:rFonts w:ascii="Times New Roman" w:eastAsia="Calibri" w:hAnsi="Times New Roman" w:cs="Times New Roman"/>
          <w:sz w:val="24"/>
          <w:szCs w:val="24"/>
        </w:rPr>
        <w:t>J</w:t>
      </w:r>
      <w:r w:rsidR="00E612A8" w:rsidRPr="00F530B0">
        <w:rPr>
          <w:rFonts w:ascii="Times New Roman" w:eastAsia="Calibri" w:hAnsi="Times New Roman" w:cs="Times New Roman"/>
          <w:sz w:val="24"/>
          <w:szCs w:val="24"/>
        </w:rPr>
        <w:t>udge</w:t>
      </w:r>
      <w:r w:rsidR="00316930" w:rsidRPr="00F530B0">
        <w:rPr>
          <w:rFonts w:ascii="Times New Roman" w:eastAsia="Calibri" w:hAnsi="Times New Roman" w:cs="Times New Roman"/>
          <w:sz w:val="24"/>
          <w:szCs w:val="24"/>
        </w:rPr>
        <w:t xml:space="preserve"> remarked</w:t>
      </w:r>
      <w:r w:rsidR="009029BA" w:rsidRPr="00F530B0">
        <w:rPr>
          <w:rFonts w:ascii="Times New Roman" w:eastAsia="Calibri" w:hAnsi="Times New Roman" w:cs="Times New Roman"/>
          <w:sz w:val="24"/>
          <w:szCs w:val="24"/>
        </w:rPr>
        <w:t>:</w:t>
      </w:r>
    </w:p>
    <w:p w:rsidR="009029BA" w:rsidRDefault="009029BA" w:rsidP="0010756D">
      <w:pPr>
        <w:spacing w:after="0" w:line="240" w:lineRule="auto"/>
        <w:ind w:left="567"/>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“The Commissioner General is undoubtedly an employee of the Zimbabwe Revenue Authority and when he performs the functions bestowed upon him by the various statutory provisions that go</w:t>
      </w:r>
      <w:r w:rsidR="000E70A2" w:rsidRPr="00F530B0">
        <w:rPr>
          <w:rFonts w:ascii="Times New Roman" w:eastAsia="Calibri" w:hAnsi="Times New Roman" w:cs="Times New Roman"/>
          <w:sz w:val="24"/>
          <w:szCs w:val="24"/>
        </w:rPr>
        <w:t>vern the assessment and collections of revenue on behalf of the state he does so as such employee”</w:t>
      </w:r>
    </w:p>
    <w:p w:rsidR="0010756D" w:rsidRPr="00F530B0" w:rsidRDefault="0010756D" w:rsidP="0010756D">
      <w:pPr>
        <w:spacing w:after="0" w:line="240" w:lineRule="auto"/>
        <w:ind w:left="567"/>
        <w:jc w:val="both"/>
        <w:rPr>
          <w:rFonts w:ascii="Times New Roman" w:eastAsia="Calibri" w:hAnsi="Times New Roman" w:cs="Times New Roman"/>
          <w:sz w:val="24"/>
          <w:szCs w:val="24"/>
        </w:rPr>
      </w:pPr>
    </w:p>
    <w:p w:rsidR="00B11C62" w:rsidRPr="00F530B0" w:rsidRDefault="00B11C62" w:rsidP="00C445B3">
      <w:pPr>
        <w:tabs>
          <w:tab w:val="left" w:pos="1134"/>
        </w:tabs>
        <w:spacing w:line="240" w:lineRule="auto"/>
        <w:ind w:firstLine="567"/>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00167218" w:rsidRPr="00F530B0">
        <w:rPr>
          <w:rFonts w:ascii="Times New Roman" w:eastAsia="Calibri" w:hAnsi="Times New Roman" w:cs="Times New Roman"/>
          <w:sz w:val="24"/>
          <w:szCs w:val="24"/>
        </w:rPr>
        <w:t xml:space="preserve">  </w:t>
      </w:r>
      <w:r w:rsidRPr="00F530B0">
        <w:rPr>
          <w:rFonts w:ascii="Times New Roman" w:eastAsia="Calibri" w:hAnsi="Times New Roman" w:cs="Times New Roman"/>
          <w:sz w:val="24"/>
          <w:szCs w:val="24"/>
        </w:rPr>
        <w:t>The court went on at p 11 to state:</w:t>
      </w:r>
    </w:p>
    <w:p w:rsidR="00B11C62" w:rsidRPr="00F530B0" w:rsidRDefault="00B11C62" w:rsidP="00167218">
      <w:pPr>
        <w:spacing w:line="240" w:lineRule="auto"/>
        <w:ind w:left="567"/>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lastRenderedPageBreak/>
        <w:t xml:space="preserve">“In terms of the Customs and Excise Act </w:t>
      </w:r>
      <w:r w:rsidR="00167218" w:rsidRPr="00F530B0">
        <w:rPr>
          <w:rFonts w:ascii="Times New Roman" w:eastAsia="Calibri" w:hAnsi="Times New Roman" w:cs="Times New Roman"/>
          <w:sz w:val="24"/>
          <w:szCs w:val="24"/>
        </w:rPr>
        <w:t>the responsibility</w:t>
      </w:r>
      <w:r w:rsidR="00896839" w:rsidRPr="00F530B0">
        <w:rPr>
          <w:rFonts w:ascii="Times New Roman" w:eastAsia="Calibri" w:hAnsi="Times New Roman" w:cs="Times New Roman"/>
          <w:sz w:val="24"/>
          <w:szCs w:val="24"/>
        </w:rPr>
        <w:t xml:space="preserve"> for the assessment, collection and enforcement of duties is that of the Authority. It stands to reason therefore that it is the party upon whom the required notice should be served.  Any other construction would lead to an absurdity.  It is the party in terms of the Act with the power to sue and be sued.”</w:t>
      </w:r>
    </w:p>
    <w:p w:rsidR="00896839" w:rsidRPr="00F530B0" w:rsidRDefault="00896839" w:rsidP="00167218">
      <w:pPr>
        <w:spacing w:after="0" w:line="240" w:lineRule="auto"/>
        <w:ind w:left="1134"/>
        <w:jc w:val="both"/>
        <w:rPr>
          <w:rFonts w:ascii="Times New Roman" w:eastAsia="Calibri" w:hAnsi="Times New Roman" w:cs="Times New Roman"/>
          <w:sz w:val="24"/>
          <w:szCs w:val="24"/>
        </w:rPr>
      </w:pPr>
    </w:p>
    <w:p w:rsidR="00896839" w:rsidRPr="00F530B0" w:rsidRDefault="00896839" w:rsidP="004D0BCB">
      <w:pPr>
        <w:spacing w:after="0" w:line="240" w:lineRule="auto"/>
        <w:ind w:left="1134"/>
        <w:jc w:val="both"/>
        <w:rPr>
          <w:rFonts w:ascii="Times New Roman" w:eastAsia="Calibri" w:hAnsi="Times New Roman" w:cs="Times New Roman"/>
          <w:sz w:val="24"/>
          <w:szCs w:val="24"/>
        </w:rPr>
      </w:pPr>
    </w:p>
    <w:p w:rsidR="00896839" w:rsidRPr="00F530B0" w:rsidRDefault="00896839" w:rsidP="00896839">
      <w:pPr>
        <w:spacing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In arriving at the conclusion that it is the Authority that should sue and be sued the court cited with approval the remarks of GARWE JP (as he then was) in </w:t>
      </w:r>
      <w:r w:rsidRPr="00F530B0">
        <w:rPr>
          <w:rFonts w:ascii="Times New Roman" w:eastAsia="Calibri" w:hAnsi="Times New Roman" w:cs="Times New Roman"/>
          <w:i/>
          <w:sz w:val="24"/>
          <w:szCs w:val="24"/>
        </w:rPr>
        <w:t>Tregers Industries v</w:t>
      </w:r>
      <w:r w:rsidRPr="00F530B0">
        <w:rPr>
          <w:rFonts w:ascii="Times New Roman" w:eastAsia="Calibri" w:hAnsi="Times New Roman" w:cs="Times New Roman"/>
          <w:sz w:val="24"/>
          <w:szCs w:val="24"/>
        </w:rPr>
        <w:t xml:space="preserve"> </w:t>
      </w:r>
      <w:r w:rsidRPr="00F530B0">
        <w:rPr>
          <w:rFonts w:ascii="Times New Roman" w:eastAsia="Calibri" w:hAnsi="Times New Roman" w:cs="Times New Roman"/>
          <w:i/>
          <w:sz w:val="24"/>
          <w:szCs w:val="24"/>
        </w:rPr>
        <w:t>Zimbabwe Revenue Authority</w:t>
      </w:r>
      <w:r w:rsidRPr="00F530B0">
        <w:rPr>
          <w:rFonts w:ascii="Times New Roman" w:eastAsia="Calibri" w:hAnsi="Times New Roman" w:cs="Times New Roman"/>
          <w:sz w:val="24"/>
          <w:szCs w:val="24"/>
        </w:rPr>
        <w:t xml:space="preserve"> 2006(2) ZLR 62(H) at 66E-F:</w:t>
      </w:r>
    </w:p>
    <w:p w:rsidR="00896839" w:rsidRPr="00F530B0" w:rsidRDefault="00896839" w:rsidP="00896839">
      <w:pPr>
        <w:spacing w:line="240" w:lineRule="auto"/>
        <w:ind w:left="709" w:hanging="142"/>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“See also </w:t>
      </w:r>
      <w:r w:rsidRPr="00F530B0">
        <w:rPr>
          <w:rFonts w:ascii="Times New Roman" w:eastAsia="Calibri" w:hAnsi="Times New Roman" w:cs="Times New Roman"/>
          <w:i/>
          <w:sz w:val="24"/>
          <w:szCs w:val="24"/>
        </w:rPr>
        <w:t>Maradze v Crmn PSC &amp; Anor</w:t>
      </w:r>
      <w:r w:rsidRPr="00F530B0">
        <w:rPr>
          <w:rFonts w:ascii="Times New Roman" w:eastAsia="Calibri" w:hAnsi="Times New Roman" w:cs="Times New Roman"/>
          <w:sz w:val="24"/>
          <w:szCs w:val="24"/>
        </w:rPr>
        <w:t xml:space="preserve"> HH 223/98.  In the case, SMITH J remarked at pp7-8 that it was not appropriate to cite the Chairman of the Public Service Commission as a party unless the allegation is that he personally acted in a manner</w:t>
      </w:r>
      <w:r w:rsidR="00037F4A" w:rsidRPr="00F530B0">
        <w:rPr>
          <w:rFonts w:ascii="Times New Roman" w:eastAsia="Calibri" w:hAnsi="Times New Roman" w:cs="Times New Roman"/>
          <w:sz w:val="24"/>
          <w:szCs w:val="24"/>
        </w:rPr>
        <w:t xml:space="preserve"> which necessitated recourse to the courts.</w:t>
      </w:r>
    </w:p>
    <w:p w:rsidR="00124A3F" w:rsidRPr="00F530B0" w:rsidRDefault="00C17223" w:rsidP="00124A3F">
      <w:pPr>
        <w:spacing w:line="240" w:lineRule="auto"/>
        <w:ind w:left="709" w:hanging="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37F4A" w:rsidRPr="00F530B0">
        <w:rPr>
          <w:rFonts w:ascii="Times New Roman" w:eastAsia="Calibri" w:hAnsi="Times New Roman" w:cs="Times New Roman"/>
          <w:sz w:val="24"/>
          <w:szCs w:val="24"/>
        </w:rPr>
        <w:t>I agree with the sentiments expressed in the cases cited above.</w:t>
      </w:r>
      <w:r w:rsidR="00FF346A" w:rsidRPr="00F530B0">
        <w:rPr>
          <w:rFonts w:ascii="Times New Roman" w:eastAsia="Calibri" w:hAnsi="Times New Roman" w:cs="Times New Roman"/>
          <w:sz w:val="24"/>
          <w:szCs w:val="24"/>
        </w:rPr>
        <w:t xml:space="preserve"> </w:t>
      </w:r>
      <w:r w:rsidR="00037F4A" w:rsidRPr="00F530B0">
        <w:rPr>
          <w:rFonts w:ascii="Times New Roman" w:eastAsia="Calibri" w:hAnsi="Times New Roman" w:cs="Times New Roman"/>
          <w:sz w:val="24"/>
          <w:szCs w:val="24"/>
        </w:rPr>
        <w:t xml:space="preserve">Ordinarily there is no basis for citing the Commissioner General as a party in a matter handled </w:t>
      </w:r>
      <w:r w:rsidR="00F21B6A" w:rsidRPr="00F530B0">
        <w:rPr>
          <w:rFonts w:ascii="Times New Roman" w:eastAsia="Calibri" w:hAnsi="Times New Roman" w:cs="Times New Roman"/>
          <w:sz w:val="24"/>
          <w:szCs w:val="24"/>
        </w:rPr>
        <w:t>by employees of the authority</w:t>
      </w:r>
      <w:r w:rsidR="00A40149" w:rsidRPr="00F530B0">
        <w:rPr>
          <w:rFonts w:ascii="Times New Roman" w:eastAsia="Calibri" w:hAnsi="Times New Roman" w:cs="Times New Roman"/>
          <w:sz w:val="24"/>
          <w:szCs w:val="24"/>
        </w:rPr>
        <w:t>.  I am fortified in this view by the provisions of the Value Added Tax Act [</w:t>
      </w:r>
      <w:r w:rsidR="00DC798F" w:rsidRPr="00F530B0">
        <w:rPr>
          <w:rFonts w:ascii="Times New Roman" w:eastAsia="Calibri" w:hAnsi="Times New Roman" w:cs="Times New Roman"/>
          <w:i/>
          <w:sz w:val="24"/>
          <w:szCs w:val="24"/>
        </w:rPr>
        <w:t>C</w:t>
      </w:r>
      <w:r w:rsidR="00A40149" w:rsidRPr="00F530B0">
        <w:rPr>
          <w:rFonts w:ascii="Times New Roman" w:eastAsia="Calibri" w:hAnsi="Times New Roman" w:cs="Times New Roman"/>
          <w:i/>
          <w:sz w:val="24"/>
          <w:szCs w:val="24"/>
        </w:rPr>
        <w:t>hapter 23:12</w:t>
      </w:r>
      <w:r w:rsidR="00A40149" w:rsidRPr="00F530B0">
        <w:rPr>
          <w:rFonts w:ascii="Times New Roman" w:eastAsia="Calibri" w:hAnsi="Times New Roman" w:cs="Times New Roman"/>
          <w:sz w:val="24"/>
          <w:szCs w:val="24"/>
        </w:rPr>
        <w:t>]</w:t>
      </w:r>
      <w:r w:rsidR="00124A3F" w:rsidRPr="00F530B0">
        <w:rPr>
          <w:rFonts w:ascii="Times New Roman" w:eastAsia="Calibri" w:hAnsi="Times New Roman" w:cs="Times New Roman"/>
          <w:sz w:val="24"/>
          <w:szCs w:val="24"/>
        </w:rPr>
        <w:t xml:space="preserve"> </w:t>
      </w:r>
      <w:r w:rsidR="00A40149" w:rsidRPr="00F530B0">
        <w:rPr>
          <w:rFonts w:ascii="Times New Roman" w:eastAsia="Calibri" w:hAnsi="Times New Roman" w:cs="Times New Roman"/>
          <w:sz w:val="24"/>
          <w:szCs w:val="24"/>
        </w:rPr>
        <w:t>as well as the Revenue Authority Act [</w:t>
      </w:r>
      <w:r w:rsidR="00A40149" w:rsidRPr="00F530B0">
        <w:rPr>
          <w:rFonts w:ascii="Times New Roman" w:eastAsia="Calibri" w:hAnsi="Times New Roman" w:cs="Times New Roman"/>
          <w:i/>
          <w:sz w:val="24"/>
          <w:szCs w:val="24"/>
        </w:rPr>
        <w:t>C</w:t>
      </w:r>
      <w:r w:rsidR="001459B9">
        <w:rPr>
          <w:rFonts w:ascii="Times New Roman" w:eastAsia="Calibri" w:hAnsi="Times New Roman" w:cs="Times New Roman"/>
          <w:i/>
          <w:sz w:val="24"/>
          <w:szCs w:val="24"/>
        </w:rPr>
        <w:t>hapter </w:t>
      </w:r>
      <w:r w:rsidR="00A40149" w:rsidRPr="00F530B0">
        <w:rPr>
          <w:rFonts w:ascii="Times New Roman" w:eastAsia="Calibri" w:hAnsi="Times New Roman" w:cs="Times New Roman"/>
          <w:i/>
          <w:sz w:val="24"/>
          <w:szCs w:val="24"/>
        </w:rPr>
        <w:t>23:11</w:t>
      </w:r>
      <w:r w:rsidR="00A40149" w:rsidRPr="00F530B0">
        <w:rPr>
          <w:rFonts w:ascii="Times New Roman" w:eastAsia="Calibri" w:hAnsi="Times New Roman" w:cs="Times New Roman"/>
          <w:sz w:val="24"/>
          <w:szCs w:val="24"/>
        </w:rPr>
        <w:t>]</w:t>
      </w:r>
      <w:r w:rsidR="00DE40EE" w:rsidRPr="00F530B0">
        <w:rPr>
          <w:rFonts w:ascii="Times New Roman" w:eastAsia="Calibri" w:hAnsi="Times New Roman" w:cs="Times New Roman"/>
          <w:sz w:val="24"/>
          <w:szCs w:val="24"/>
        </w:rPr>
        <w:t>.</w:t>
      </w:r>
      <w:r w:rsidR="00A40149" w:rsidRPr="00F530B0">
        <w:rPr>
          <w:rFonts w:ascii="Times New Roman" w:eastAsia="Calibri" w:hAnsi="Times New Roman" w:cs="Times New Roman"/>
          <w:sz w:val="24"/>
          <w:szCs w:val="24"/>
        </w:rPr>
        <w:t xml:space="preserve"> The latter Act provides in s 54 that the operations of the Zimbabwe Revenue Authority (ZRA) shall, subject to the Act</w:t>
      </w:r>
      <w:r w:rsidR="00DE40EE" w:rsidRPr="00F530B0">
        <w:rPr>
          <w:rFonts w:ascii="Times New Roman" w:eastAsia="Calibri" w:hAnsi="Times New Roman" w:cs="Times New Roman"/>
          <w:sz w:val="24"/>
          <w:szCs w:val="24"/>
        </w:rPr>
        <w:t>,</w:t>
      </w:r>
      <w:r w:rsidR="00A40149" w:rsidRPr="00F530B0">
        <w:rPr>
          <w:rFonts w:ascii="Times New Roman" w:eastAsia="Calibri" w:hAnsi="Times New Roman" w:cs="Times New Roman"/>
          <w:sz w:val="24"/>
          <w:szCs w:val="24"/>
        </w:rPr>
        <w:t xml:space="preserve"> be controlled and managed by a board which shall</w:t>
      </w:r>
      <w:r w:rsidR="00FF346A" w:rsidRPr="00F530B0">
        <w:rPr>
          <w:rFonts w:ascii="Times New Roman" w:eastAsia="Calibri" w:hAnsi="Times New Roman" w:cs="Times New Roman"/>
          <w:sz w:val="24"/>
          <w:szCs w:val="24"/>
        </w:rPr>
        <w:t xml:space="preserve"> consist of the Secretary for Finance, the Commissioner General of ZRA and other members appointed by the Minister after consultation with the President.”</w:t>
      </w:r>
    </w:p>
    <w:p w:rsidR="00124A3F" w:rsidRPr="00F530B0" w:rsidRDefault="00124A3F" w:rsidP="00D2165B">
      <w:pPr>
        <w:spacing w:line="240" w:lineRule="auto"/>
        <w:jc w:val="both"/>
        <w:rPr>
          <w:rFonts w:ascii="Times New Roman" w:eastAsia="Calibri" w:hAnsi="Times New Roman" w:cs="Times New Roman"/>
          <w:sz w:val="24"/>
          <w:szCs w:val="24"/>
        </w:rPr>
      </w:pPr>
    </w:p>
    <w:p w:rsidR="009D5DFB" w:rsidRPr="00F530B0" w:rsidRDefault="00124A3F" w:rsidP="00124A3F">
      <w:pPr>
        <w:spacing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Clearly the Supreme Court interpreted s 3 of the Revenue Authority Act and related legislation to mean that in proceedings arising from </w:t>
      </w:r>
      <w:r w:rsidR="0045528D" w:rsidRPr="00F530B0">
        <w:rPr>
          <w:rFonts w:ascii="Times New Roman" w:eastAsia="Calibri" w:hAnsi="Times New Roman" w:cs="Times New Roman"/>
          <w:sz w:val="24"/>
          <w:szCs w:val="24"/>
        </w:rPr>
        <w:t>revenue collection, the appellant is a mere employee of the Authority.  It is the Authority itself that should be cited</w:t>
      </w:r>
      <w:r w:rsidR="00952785" w:rsidRPr="00F530B0">
        <w:rPr>
          <w:rFonts w:ascii="Times New Roman" w:eastAsia="Calibri" w:hAnsi="Times New Roman" w:cs="Times New Roman"/>
          <w:sz w:val="24"/>
          <w:szCs w:val="24"/>
        </w:rPr>
        <w:t xml:space="preserve">.  Before the Supreme Court spoke on the subject other judges of the High Court had also taken that view.  </w:t>
      </w:r>
    </w:p>
    <w:p w:rsidR="009D5DFB" w:rsidRPr="00F530B0" w:rsidRDefault="009D5DFB" w:rsidP="00D2165B">
      <w:pPr>
        <w:spacing w:after="0" w:line="240" w:lineRule="auto"/>
        <w:ind w:firstLine="1134"/>
        <w:jc w:val="both"/>
        <w:rPr>
          <w:rFonts w:ascii="Times New Roman" w:eastAsia="Calibri" w:hAnsi="Times New Roman" w:cs="Times New Roman"/>
          <w:sz w:val="24"/>
          <w:szCs w:val="24"/>
        </w:rPr>
      </w:pPr>
    </w:p>
    <w:p w:rsidR="00124A3F" w:rsidRPr="00F530B0" w:rsidRDefault="00952785" w:rsidP="00124A3F">
      <w:pPr>
        <w:spacing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As </w:t>
      </w:r>
      <w:r w:rsidR="00BC45B2" w:rsidRPr="00F530B0">
        <w:rPr>
          <w:rFonts w:ascii="Times New Roman" w:eastAsia="Calibri" w:hAnsi="Times New Roman" w:cs="Times New Roman"/>
          <w:sz w:val="24"/>
          <w:szCs w:val="24"/>
        </w:rPr>
        <w:t>it is said the pull of the past i</w:t>
      </w:r>
      <w:r w:rsidRPr="00F530B0">
        <w:rPr>
          <w:rFonts w:ascii="Times New Roman" w:eastAsia="Calibri" w:hAnsi="Times New Roman" w:cs="Times New Roman"/>
          <w:sz w:val="24"/>
          <w:szCs w:val="24"/>
        </w:rPr>
        <w:t>s powerful and the comfort of doing what was done in the past the same way makes sound sense. Indeed public policy demands that</w:t>
      </w:r>
      <w:r w:rsidR="00763825" w:rsidRPr="00F530B0">
        <w:rPr>
          <w:rFonts w:ascii="Times New Roman" w:eastAsia="Calibri" w:hAnsi="Times New Roman" w:cs="Times New Roman"/>
          <w:sz w:val="24"/>
          <w:szCs w:val="24"/>
        </w:rPr>
        <w:t xml:space="preserve"> the courts should be </w:t>
      </w:r>
      <w:r w:rsidR="00D612CE" w:rsidRPr="00F530B0">
        <w:rPr>
          <w:rFonts w:ascii="Times New Roman" w:eastAsia="Calibri" w:hAnsi="Times New Roman" w:cs="Times New Roman"/>
          <w:sz w:val="24"/>
          <w:szCs w:val="24"/>
        </w:rPr>
        <w:t>consistent</w:t>
      </w:r>
      <w:r w:rsidRPr="00F530B0">
        <w:rPr>
          <w:rFonts w:ascii="Times New Roman" w:eastAsia="Calibri" w:hAnsi="Times New Roman" w:cs="Times New Roman"/>
          <w:sz w:val="24"/>
          <w:szCs w:val="24"/>
        </w:rPr>
        <w:t xml:space="preserve"> and </w:t>
      </w:r>
      <w:r w:rsidR="00552EA0" w:rsidRPr="00F530B0">
        <w:rPr>
          <w:rFonts w:ascii="Times New Roman" w:eastAsia="Calibri" w:hAnsi="Times New Roman" w:cs="Times New Roman"/>
          <w:sz w:val="24"/>
          <w:szCs w:val="24"/>
        </w:rPr>
        <w:t>predictable</w:t>
      </w:r>
      <w:r w:rsidR="00CD11C4" w:rsidRPr="00F530B0">
        <w:rPr>
          <w:rFonts w:ascii="Times New Roman" w:eastAsia="Calibri" w:hAnsi="Times New Roman" w:cs="Times New Roman"/>
          <w:sz w:val="24"/>
          <w:szCs w:val="24"/>
        </w:rPr>
        <w:t xml:space="preserve"> unless there</w:t>
      </w:r>
      <w:r w:rsidR="00815A09" w:rsidRPr="00F530B0">
        <w:rPr>
          <w:rFonts w:ascii="Times New Roman" w:eastAsia="Calibri" w:hAnsi="Times New Roman" w:cs="Times New Roman"/>
          <w:sz w:val="24"/>
          <w:szCs w:val="24"/>
        </w:rPr>
        <w:t xml:space="preserve"> are valid grounds for change</w:t>
      </w:r>
      <w:r w:rsidR="00552EA0" w:rsidRPr="00F530B0">
        <w:rPr>
          <w:rFonts w:ascii="Times New Roman" w:eastAsia="Calibri" w:hAnsi="Times New Roman" w:cs="Times New Roman"/>
          <w:sz w:val="24"/>
          <w:szCs w:val="24"/>
        </w:rPr>
        <w:t>.</w:t>
      </w:r>
      <w:r w:rsidRPr="00F530B0">
        <w:rPr>
          <w:rFonts w:ascii="Times New Roman" w:eastAsia="Calibri" w:hAnsi="Times New Roman" w:cs="Times New Roman"/>
          <w:sz w:val="24"/>
          <w:szCs w:val="24"/>
        </w:rPr>
        <w:t xml:space="preserve"> A</w:t>
      </w:r>
      <w:r w:rsidR="006B32CB" w:rsidRPr="00F530B0">
        <w:rPr>
          <w:rFonts w:ascii="Times New Roman" w:eastAsia="Calibri" w:hAnsi="Times New Roman" w:cs="Times New Roman"/>
          <w:sz w:val="24"/>
          <w:szCs w:val="24"/>
        </w:rPr>
        <w:t xml:space="preserve">djudication </w:t>
      </w:r>
      <w:r w:rsidR="00E46715" w:rsidRPr="00F530B0">
        <w:rPr>
          <w:rFonts w:ascii="Times New Roman" w:eastAsia="Calibri" w:hAnsi="Times New Roman" w:cs="Times New Roman"/>
          <w:sz w:val="24"/>
          <w:szCs w:val="24"/>
        </w:rPr>
        <w:t>should not be left to the whims and personal idiosyncr</w:t>
      </w:r>
      <w:r w:rsidR="00DC3DDC">
        <w:rPr>
          <w:rFonts w:ascii="Times New Roman" w:eastAsia="Calibri" w:hAnsi="Times New Roman" w:cs="Times New Roman"/>
          <w:sz w:val="24"/>
          <w:szCs w:val="24"/>
        </w:rPr>
        <w:t>asies of individual J</w:t>
      </w:r>
      <w:r w:rsidR="00E46715" w:rsidRPr="00F530B0">
        <w:rPr>
          <w:rFonts w:ascii="Times New Roman" w:eastAsia="Calibri" w:hAnsi="Times New Roman" w:cs="Times New Roman"/>
          <w:sz w:val="24"/>
          <w:szCs w:val="24"/>
        </w:rPr>
        <w:t xml:space="preserve">udges as that </w:t>
      </w:r>
      <w:r w:rsidR="00552EA0" w:rsidRPr="00F530B0">
        <w:rPr>
          <w:rFonts w:ascii="Times New Roman" w:eastAsia="Calibri" w:hAnsi="Times New Roman" w:cs="Times New Roman"/>
          <w:sz w:val="24"/>
          <w:szCs w:val="24"/>
        </w:rPr>
        <w:t>bree</w:t>
      </w:r>
      <w:r w:rsidR="00353506" w:rsidRPr="00F530B0">
        <w:rPr>
          <w:rFonts w:ascii="Times New Roman" w:eastAsia="Calibri" w:hAnsi="Times New Roman" w:cs="Times New Roman"/>
          <w:sz w:val="24"/>
          <w:szCs w:val="24"/>
        </w:rPr>
        <w:t>ds inconsistency and corruption.</w:t>
      </w:r>
    </w:p>
    <w:p w:rsidR="00353506" w:rsidRPr="00F530B0" w:rsidRDefault="00353506" w:rsidP="00D2165B">
      <w:pPr>
        <w:spacing w:after="0" w:line="240" w:lineRule="auto"/>
        <w:jc w:val="both"/>
        <w:rPr>
          <w:rFonts w:ascii="Times New Roman" w:eastAsia="Calibri" w:hAnsi="Times New Roman" w:cs="Times New Roman"/>
          <w:sz w:val="24"/>
          <w:szCs w:val="24"/>
        </w:rPr>
      </w:pPr>
    </w:p>
    <w:p w:rsidR="00353506" w:rsidRPr="00F530B0" w:rsidRDefault="00353506" w:rsidP="00353506">
      <w:pPr>
        <w:spacing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The doctrine of precedent is expressed in the maxim </w:t>
      </w:r>
      <w:r w:rsidRPr="00F530B0">
        <w:rPr>
          <w:rFonts w:ascii="Times New Roman" w:eastAsia="Calibri" w:hAnsi="Times New Roman" w:cs="Times New Roman"/>
          <w:i/>
          <w:sz w:val="24"/>
          <w:szCs w:val="24"/>
        </w:rPr>
        <w:t xml:space="preserve">stare decisis et non quieta movere </w:t>
      </w:r>
      <w:r w:rsidRPr="00F530B0">
        <w:rPr>
          <w:rFonts w:ascii="Times New Roman" w:eastAsia="Calibri" w:hAnsi="Times New Roman" w:cs="Times New Roman"/>
          <w:sz w:val="24"/>
          <w:szCs w:val="24"/>
        </w:rPr>
        <w:t xml:space="preserve">which, loosely translated, means to stand by the decision and not to disturb what is </w:t>
      </w:r>
      <w:r w:rsidR="004F5FE8">
        <w:rPr>
          <w:rFonts w:ascii="Times New Roman" w:eastAsia="Calibri" w:hAnsi="Times New Roman" w:cs="Times New Roman"/>
          <w:sz w:val="24"/>
          <w:szCs w:val="24"/>
        </w:rPr>
        <w:t>settled.  Where a J</w:t>
      </w:r>
      <w:r w:rsidRPr="00F530B0">
        <w:rPr>
          <w:rFonts w:ascii="Times New Roman" w:eastAsia="Calibri" w:hAnsi="Times New Roman" w:cs="Times New Roman"/>
          <w:sz w:val="24"/>
          <w:szCs w:val="24"/>
        </w:rPr>
        <w:t xml:space="preserve">udge enjoying the same level of jurisdiction with one who has made a </w:t>
      </w:r>
      <w:r w:rsidR="004B0182" w:rsidRPr="00F530B0">
        <w:rPr>
          <w:rFonts w:ascii="Times New Roman" w:eastAsia="Calibri" w:hAnsi="Times New Roman" w:cs="Times New Roman"/>
          <w:sz w:val="24"/>
          <w:szCs w:val="24"/>
        </w:rPr>
        <w:t>pronouncement on</w:t>
      </w:r>
      <w:r w:rsidRPr="00F530B0">
        <w:rPr>
          <w:rFonts w:ascii="Times New Roman" w:eastAsia="Calibri" w:hAnsi="Times New Roman" w:cs="Times New Roman"/>
          <w:sz w:val="24"/>
          <w:szCs w:val="24"/>
        </w:rPr>
        <w:t xml:space="preserve"> the law desires to </w:t>
      </w:r>
      <w:r w:rsidR="00B11B4B" w:rsidRPr="00F530B0">
        <w:rPr>
          <w:rFonts w:ascii="Times New Roman" w:eastAsia="Calibri" w:hAnsi="Times New Roman" w:cs="Times New Roman"/>
          <w:sz w:val="24"/>
          <w:szCs w:val="24"/>
        </w:rPr>
        <w:t>depart from</w:t>
      </w:r>
      <w:r w:rsidRPr="00F530B0">
        <w:rPr>
          <w:rFonts w:ascii="Times New Roman" w:eastAsia="Calibri" w:hAnsi="Times New Roman" w:cs="Times New Roman"/>
          <w:sz w:val="24"/>
          <w:szCs w:val="24"/>
        </w:rPr>
        <w:t xml:space="preserve"> the previous decision, he or she must show that the earlier decision is wrong </w:t>
      </w:r>
      <w:r w:rsidR="007E6A30" w:rsidRPr="00F530B0">
        <w:rPr>
          <w:rFonts w:ascii="Times New Roman" w:eastAsia="Calibri" w:hAnsi="Times New Roman" w:cs="Times New Roman"/>
          <w:sz w:val="24"/>
          <w:szCs w:val="24"/>
        </w:rPr>
        <w:t>or that the law has since e</w:t>
      </w:r>
      <w:r w:rsidR="004B0182" w:rsidRPr="00F530B0">
        <w:rPr>
          <w:rFonts w:ascii="Times New Roman" w:eastAsia="Calibri" w:hAnsi="Times New Roman" w:cs="Times New Roman"/>
          <w:sz w:val="24"/>
          <w:szCs w:val="24"/>
        </w:rPr>
        <w:t>volved.</w:t>
      </w:r>
    </w:p>
    <w:p w:rsidR="004B0182" w:rsidRPr="00F530B0" w:rsidRDefault="004B0182" w:rsidP="00EE4356">
      <w:pPr>
        <w:spacing w:after="0" w:line="240" w:lineRule="auto"/>
        <w:jc w:val="both"/>
        <w:rPr>
          <w:rFonts w:ascii="Times New Roman" w:eastAsia="Calibri" w:hAnsi="Times New Roman" w:cs="Times New Roman"/>
          <w:sz w:val="24"/>
          <w:szCs w:val="24"/>
        </w:rPr>
      </w:pPr>
    </w:p>
    <w:p w:rsidR="004B0182" w:rsidRPr="00F530B0" w:rsidRDefault="004B0182" w:rsidP="001C6983">
      <w:pPr>
        <w:spacing w:line="480" w:lineRule="auto"/>
        <w:ind w:firstLine="1276"/>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In such a situation, it must be shown that it is unconscionable to abide by the previous decision.  In my view it is not enough for the judge to merely declare that he or she does </w:t>
      </w:r>
      <w:r w:rsidR="001C6983" w:rsidRPr="00F530B0">
        <w:rPr>
          <w:rFonts w:ascii="Times New Roman" w:eastAsia="Calibri" w:hAnsi="Times New Roman" w:cs="Times New Roman"/>
          <w:sz w:val="24"/>
          <w:szCs w:val="24"/>
        </w:rPr>
        <w:t>“not</w:t>
      </w:r>
      <w:r w:rsidRPr="00F530B0">
        <w:rPr>
          <w:rFonts w:ascii="Times New Roman" w:eastAsia="Calibri" w:hAnsi="Times New Roman" w:cs="Times New Roman"/>
          <w:sz w:val="24"/>
          <w:szCs w:val="24"/>
        </w:rPr>
        <w:t xml:space="preserve"> agree with the conclusion” previously made.  Neither is it sufficient to say that the decisions </w:t>
      </w:r>
      <w:r w:rsidR="00D21C5E" w:rsidRPr="00F530B0">
        <w:rPr>
          <w:rFonts w:ascii="Times New Roman" w:eastAsia="Calibri" w:hAnsi="Times New Roman" w:cs="Times New Roman"/>
          <w:sz w:val="24"/>
          <w:szCs w:val="24"/>
        </w:rPr>
        <w:t xml:space="preserve">that have interpretated a statutory provision proceeded from “a flawed premise” without demonstrating how, and indeed why, the </w:t>
      </w:r>
      <w:r w:rsidR="00130922" w:rsidRPr="00F530B0">
        <w:rPr>
          <w:rFonts w:ascii="Times New Roman" w:eastAsia="Calibri" w:hAnsi="Times New Roman" w:cs="Times New Roman"/>
          <w:sz w:val="24"/>
          <w:szCs w:val="24"/>
        </w:rPr>
        <w:t>interpretation is</w:t>
      </w:r>
      <w:r w:rsidR="00D21C5E" w:rsidRPr="00F530B0">
        <w:rPr>
          <w:rFonts w:ascii="Times New Roman" w:eastAsia="Calibri" w:hAnsi="Times New Roman" w:cs="Times New Roman"/>
          <w:sz w:val="24"/>
          <w:szCs w:val="24"/>
        </w:rPr>
        <w:t xml:space="preserve"> wrong.  The court </w:t>
      </w:r>
      <w:r w:rsidR="00D21C5E" w:rsidRPr="00F530B0">
        <w:rPr>
          <w:rFonts w:ascii="Times New Roman" w:eastAsia="Calibri" w:hAnsi="Times New Roman" w:cs="Times New Roman"/>
          <w:i/>
          <w:sz w:val="24"/>
          <w:szCs w:val="24"/>
        </w:rPr>
        <w:t>a quo</w:t>
      </w:r>
      <w:r w:rsidR="00D21C5E" w:rsidRPr="00F530B0">
        <w:rPr>
          <w:rFonts w:ascii="Times New Roman" w:eastAsia="Calibri" w:hAnsi="Times New Roman" w:cs="Times New Roman"/>
          <w:sz w:val="24"/>
          <w:szCs w:val="24"/>
        </w:rPr>
        <w:t xml:space="preserve"> clearly misdirected itself in rejecting the previous decisions of the High Court</w:t>
      </w:r>
      <w:r w:rsidR="0026755B" w:rsidRPr="00F530B0">
        <w:rPr>
          <w:rFonts w:ascii="Times New Roman" w:eastAsia="Calibri" w:hAnsi="Times New Roman" w:cs="Times New Roman"/>
          <w:sz w:val="24"/>
          <w:szCs w:val="24"/>
        </w:rPr>
        <w:t xml:space="preserve"> on the citation of the appellant without justification.</w:t>
      </w:r>
    </w:p>
    <w:p w:rsidR="0026755B" w:rsidRPr="00F530B0" w:rsidRDefault="0026755B" w:rsidP="00EE4356">
      <w:pPr>
        <w:spacing w:after="0" w:line="240" w:lineRule="auto"/>
        <w:jc w:val="both"/>
        <w:rPr>
          <w:rFonts w:ascii="Times New Roman" w:eastAsia="Calibri" w:hAnsi="Times New Roman" w:cs="Times New Roman"/>
          <w:sz w:val="24"/>
          <w:szCs w:val="24"/>
        </w:rPr>
      </w:pPr>
    </w:p>
    <w:p w:rsidR="0026755B" w:rsidRPr="00F530B0" w:rsidRDefault="0026755B" w:rsidP="00B13E1C">
      <w:pPr>
        <w:spacing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More importantly, the court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xml:space="preserve"> was</w:t>
      </w:r>
      <w:r w:rsidR="004C29C0">
        <w:rPr>
          <w:rFonts w:ascii="Times New Roman" w:eastAsia="Calibri" w:hAnsi="Times New Roman" w:cs="Times New Roman"/>
          <w:sz w:val="24"/>
          <w:szCs w:val="24"/>
        </w:rPr>
        <w:t xml:space="preserve"> bound by the judgment of this C</w:t>
      </w:r>
      <w:r w:rsidRPr="00F530B0">
        <w:rPr>
          <w:rFonts w:ascii="Times New Roman" w:eastAsia="Calibri" w:hAnsi="Times New Roman" w:cs="Times New Roman"/>
          <w:sz w:val="24"/>
          <w:szCs w:val="24"/>
        </w:rPr>
        <w:t xml:space="preserve">ourt in </w:t>
      </w:r>
      <w:r w:rsidRPr="00F530B0">
        <w:rPr>
          <w:rFonts w:ascii="Times New Roman" w:eastAsia="Calibri" w:hAnsi="Times New Roman" w:cs="Times New Roman"/>
          <w:i/>
          <w:sz w:val="24"/>
          <w:szCs w:val="24"/>
        </w:rPr>
        <w:t>Care International in Zimbabwe</w:t>
      </w:r>
      <w:r w:rsidRPr="00F530B0">
        <w:rPr>
          <w:rFonts w:ascii="Times New Roman" w:eastAsia="Calibri" w:hAnsi="Times New Roman" w:cs="Times New Roman"/>
          <w:sz w:val="24"/>
          <w:szCs w:val="24"/>
        </w:rPr>
        <w:t xml:space="preserve">, </w:t>
      </w:r>
      <w:r w:rsidRPr="00F530B0">
        <w:rPr>
          <w:rFonts w:ascii="Times New Roman" w:eastAsia="Calibri" w:hAnsi="Times New Roman" w:cs="Times New Roman"/>
          <w:i/>
          <w:sz w:val="24"/>
          <w:szCs w:val="24"/>
        </w:rPr>
        <w:t xml:space="preserve">supra.  </w:t>
      </w:r>
      <w:r w:rsidRPr="00F530B0">
        <w:rPr>
          <w:rFonts w:ascii="Times New Roman" w:eastAsia="Calibri" w:hAnsi="Times New Roman" w:cs="Times New Roman"/>
          <w:sz w:val="24"/>
          <w:szCs w:val="24"/>
        </w:rPr>
        <w:t>It was not a question of “agreeing” with it.  It had to follow that</w:t>
      </w:r>
      <w:r w:rsidR="007965DD" w:rsidRPr="00F530B0">
        <w:rPr>
          <w:rFonts w:ascii="Times New Roman" w:eastAsia="Calibri" w:hAnsi="Times New Roman" w:cs="Times New Roman"/>
          <w:sz w:val="24"/>
          <w:szCs w:val="24"/>
        </w:rPr>
        <w:t xml:space="preserve"> decision </w:t>
      </w:r>
      <w:r w:rsidR="000D17BC" w:rsidRPr="00F530B0">
        <w:rPr>
          <w:rFonts w:ascii="Times New Roman" w:eastAsia="Calibri" w:hAnsi="Times New Roman" w:cs="Times New Roman"/>
          <w:sz w:val="24"/>
          <w:szCs w:val="24"/>
        </w:rPr>
        <w:t>given that it is a</w:t>
      </w:r>
      <w:r w:rsidR="008543E1" w:rsidRPr="00F530B0">
        <w:rPr>
          <w:rFonts w:ascii="Times New Roman" w:eastAsia="Calibri" w:hAnsi="Times New Roman" w:cs="Times New Roman"/>
          <w:sz w:val="24"/>
          <w:szCs w:val="24"/>
        </w:rPr>
        <w:t xml:space="preserve"> decision of a superior court</w:t>
      </w:r>
      <w:r w:rsidR="000D17BC" w:rsidRPr="00F530B0">
        <w:rPr>
          <w:rFonts w:ascii="Times New Roman" w:eastAsia="Calibri" w:hAnsi="Times New Roman" w:cs="Times New Roman"/>
          <w:sz w:val="24"/>
          <w:szCs w:val="24"/>
        </w:rPr>
        <w:t>.  The practice in this jurisdiction, which has withstood the test of time, is that inferior courts are bound by the decision</w:t>
      </w:r>
      <w:r w:rsidR="007965DD" w:rsidRPr="00F530B0">
        <w:rPr>
          <w:rFonts w:ascii="Times New Roman" w:eastAsia="Calibri" w:hAnsi="Times New Roman" w:cs="Times New Roman"/>
          <w:sz w:val="24"/>
          <w:szCs w:val="24"/>
        </w:rPr>
        <w:t>s</w:t>
      </w:r>
      <w:r w:rsidR="000D17BC" w:rsidRPr="00F530B0">
        <w:rPr>
          <w:rFonts w:ascii="Times New Roman" w:eastAsia="Calibri" w:hAnsi="Times New Roman" w:cs="Times New Roman"/>
          <w:sz w:val="24"/>
          <w:szCs w:val="24"/>
        </w:rPr>
        <w:t xml:space="preserve"> of courts superior to them.  It was therefore not open to the court </w:t>
      </w:r>
      <w:r w:rsidR="000D17BC" w:rsidRPr="00F530B0">
        <w:rPr>
          <w:rFonts w:ascii="Times New Roman" w:eastAsia="Calibri" w:hAnsi="Times New Roman" w:cs="Times New Roman"/>
          <w:i/>
          <w:sz w:val="24"/>
          <w:szCs w:val="24"/>
        </w:rPr>
        <w:t>a quo</w:t>
      </w:r>
      <w:r w:rsidR="000D17BC" w:rsidRPr="00F530B0">
        <w:rPr>
          <w:rFonts w:ascii="Times New Roman" w:eastAsia="Calibri" w:hAnsi="Times New Roman" w:cs="Times New Roman"/>
          <w:sz w:val="24"/>
          <w:szCs w:val="24"/>
        </w:rPr>
        <w:t xml:space="preserve"> to overlook the </w:t>
      </w:r>
      <w:r w:rsidR="00D41A75" w:rsidRPr="00F530B0">
        <w:rPr>
          <w:rFonts w:ascii="Times New Roman" w:eastAsia="Calibri" w:hAnsi="Times New Roman" w:cs="Times New Roman"/>
          <w:sz w:val="24"/>
          <w:szCs w:val="24"/>
        </w:rPr>
        <w:t>pronouncement of</w:t>
      </w:r>
      <w:r w:rsidR="001D0E72">
        <w:rPr>
          <w:rFonts w:ascii="Times New Roman" w:eastAsia="Calibri" w:hAnsi="Times New Roman" w:cs="Times New Roman"/>
          <w:sz w:val="24"/>
          <w:szCs w:val="24"/>
        </w:rPr>
        <w:t xml:space="preserve"> this C</w:t>
      </w:r>
      <w:r w:rsidR="000D17BC" w:rsidRPr="00F530B0">
        <w:rPr>
          <w:rFonts w:ascii="Times New Roman" w:eastAsia="Calibri" w:hAnsi="Times New Roman" w:cs="Times New Roman"/>
          <w:sz w:val="24"/>
          <w:szCs w:val="24"/>
        </w:rPr>
        <w:t>ourt on the citation of the appellant in favour of its own fanciful one.</w:t>
      </w:r>
    </w:p>
    <w:p w:rsidR="00E52909" w:rsidRPr="00F530B0" w:rsidRDefault="00E52909" w:rsidP="0007290E">
      <w:pPr>
        <w:spacing w:after="0" w:line="240" w:lineRule="auto"/>
        <w:jc w:val="both"/>
        <w:rPr>
          <w:rFonts w:ascii="Times New Roman" w:eastAsia="Calibri" w:hAnsi="Times New Roman" w:cs="Times New Roman"/>
          <w:sz w:val="24"/>
          <w:szCs w:val="24"/>
        </w:rPr>
      </w:pPr>
    </w:p>
    <w:p w:rsidR="00E52909" w:rsidRPr="00F530B0" w:rsidRDefault="00E52909" w:rsidP="005F5C82">
      <w:pPr>
        <w:spacing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The court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xml:space="preserve"> fell into grave error </w:t>
      </w:r>
      <w:r w:rsidR="00C77D50" w:rsidRPr="00F530B0">
        <w:rPr>
          <w:rFonts w:ascii="Times New Roman" w:eastAsia="Calibri" w:hAnsi="Times New Roman" w:cs="Times New Roman"/>
          <w:sz w:val="24"/>
          <w:szCs w:val="24"/>
        </w:rPr>
        <w:t>in that regard. Its postulation that the appellant was cited “</w:t>
      </w:r>
      <w:r w:rsidR="00C77D50" w:rsidRPr="00C544F9">
        <w:rPr>
          <w:rFonts w:ascii="Times New Roman" w:eastAsia="Calibri" w:hAnsi="Times New Roman" w:cs="Times New Roman"/>
          <w:i/>
          <w:sz w:val="24"/>
          <w:szCs w:val="24"/>
        </w:rPr>
        <w:t>nomine officio</w:t>
      </w:r>
      <w:r w:rsidR="00C77D50" w:rsidRPr="00F530B0">
        <w:rPr>
          <w:rFonts w:ascii="Times New Roman" w:eastAsia="Calibri" w:hAnsi="Times New Roman" w:cs="Times New Roman"/>
          <w:sz w:val="24"/>
          <w:szCs w:val="24"/>
        </w:rPr>
        <w:t>” when she was not, is a red</w:t>
      </w:r>
      <w:r w:rsidR="001F46DF" w:rsidRPr="00F530B0">
        <w:rPr>
          <w:rFonts w:ascii="Times New Roman" w:eastAsia="Calibri" w:hAnsi="Times New Roman" w:cs="Times New Roman"/>
          <w:sz w:val="24"/>
          <w:szCs w:val="24"/>
        </w:rPr>
        <w:t xml:space="preserve"> </w:t>
      </w:r>
      <w:r w:rsidR="00C77D50" w:rsidRPr="00F530B0">
        <w:rPr>
          <w:rFonts w:ascii="Times New Roman" w:eastAsia="Calibri" w:hAnsi="Times New Roman" w:cs="Times New Roman"/>
          <w:sz w:val="24"/>
          <w:szCs w:val="24"/>
        </w:rPr>
        <w:t xml:space="preserve">herring. In any event, that </w:t>
      </w:r>
      <w:r w:rsidR="00C77D50" w:rsidRPr="00F530B0">
        <w:rPr>
          <w:rFonts w:ascii="Times New Roman" w:eastAsia="Calibri" w:hAnsi="Times New Roman" w:cs="Times New Roman"/>
          <w:sz w:val="24"/>
          <w:szCs w:val="24"/>
        </w:rPr>
        <w:lastRenderedPageBreak/>
        <w:t>does not detract from the fact that it had long been decided th</w:t>
      </w:r>
      <w:r w:rsidR="00681DCC" w:rsidRPr="00F530B0">
        <w:rPr>
          <w:rFonts w:ascii="Times New Roman" w:eastAsia="Calibri" w:hAnsi="Times New Roman" w:cs="Times New Roman"/>
          <w:sz w:val="24"/>
          <w:szCs w:val="24"/>
        </w:rPr>
        <w:t>at the appellant should not be</w:t>
      </w:r>
      <w:r w:rsidR="00C77D50" w:rsidRPr="00F530B0">
        <w:rPr>
          <w:rFonts w:ascii="Times New Roman" w:eastAsia="Calibri" w:hAnsi="Times New Roman" w:cs="Times New Roman"/>
          <w:sz w:val="24"/>
          <w:szCs w:val="24"/>
        </w:rPr>
        <w:t xml:space="preserve"> cited personally in matters involving revenue collection.</w:t>
      </w:r>
    </w:p>
    <w:p w:rsidR="00C96BD1" w:rsidRPr="00F530B0" w:rsidRDefault="00C96BD1" w:rsidP="00F01DDB">
      <w:pPr>
        <w:spacing w:after="0" w:line="240" w:lineRule="auto"/>
        <w:jc w:val="both"/>
        <w:rPr>
          <w:rFonts w:ascii="Times New Roman" w:eastAsia="Calibri" w:hAnsi="Times New Roman" w:cs="Times New Roman"/>
          <w:sz w:val="24"/>
          <w:szCs w:val="24"/>
        </w:rPr>
      </w:pPr>
    </w:p>
    <w:p w:rsidR="00C96BD1" w:rsidRPr="00F530B0" w:rsidRDefault="00C96BD1" w:rsidP="0085470B">
      <w:pPr>
        <w:spacing w:line="480" w:lineRule="auto"/>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ab/>
      </w:r>
      <w:r w:rsidR="00F617FF" w:rsidRPr="00F530B0">
        <w:rPr>
          <w:rFonts w:ascii="Times New Roman" w:eastAsia="Calibri" w:hAnsi="Times New Roman" w:cs="Times New Roman"/>
          <w:sz w:val="24"/>
          <w:szCs w:val="24"/>
        </w:rPr>
        <w:t xml:space="preserve">   </w:t>
      </w:r>
      <w:r w:rsidRPr="00F530B0">
        <w:rPr>
          <w:rFonts w:ascii="Times New Roman" w:eastAsia="Calibri" w:hAnsi="Times New Roman" w:cs="Times New Roman"/>
          <w:sz w:val="24"/>
          <w:szCs w:val="24"/>
        </w:rPr>
        <w:t xml:space="preserve">The wrong citation of the appellant resolves the entire appeal.  There having been no proper respondent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xml:space="preserve">, the application was </w:t>
      </w:r>
      <w:r w:rsidR="00CB75EB" w:rsidRPr="00F530B0">
        <w:rPr>
          <w:rFonts w:ascii="Times New Roman" w:eastAsia="Calibri" w:hAnsi="Times New Roman" w:cs="Times New Roman"/>
          <w:sz w:val="24"/>
          <w:szCs w:val="24"/>
        </w:rPr>
        <w:t>improperly before the court.  I</w:t>
      </w:r>
      <w:r w:rsidR="00CC261A" w:rsidRPr="00F530B0">
        <w:rPr>
          <w:rFonts w:ascii="Times New Roman" w:eastAsia="Calibri" w:hAnsi="Times New Roman" w:cs="Times New Roman"/>
          <w:sz w:val="24"/>
          <w:szCs w:val="24"/>
        </w:rPr>
        <w:t xml:space="preserve">t ought to have been struck off the roll.  In my view </w:t>
      </w:r>
      <w:r w:rsidR="00CB75EB" w:rsidRPr="00F530B0">
        <w:rPr>
          <w:rFonts w:ascii="Times New Roman" w:eastAsia="Calibri" w:hAnsi="Times New Roman" w:cs="Times New Roman"/>
          <w:sz w:val="24"/>
          <w:szCs w:val="24"/>
        </w:rPr>
        <w:t>it matters not that the appellant was previously cited in the application which gave rise to the declaration of the invalidity of the General Notice.  The law proscribed the appellant’s citation. It could not be validated by an improper previous citation.</w:t>
      </w:r>
      <w:r w:rsidR="00CD7B22" w:rsidRPr="00F530B0">
        <w:rPr>
          <w:rFonts w:ascii="Times New Roman" w:eastAsia="Calibri" w:hAnsi="Times New Roman" w:cs="Times New Roman"/>
          <w:sz w:val="24"/>
          <w:szCs w:val="24"/>
        </w:rPr>
        <w:t xml:space="preserve"> </w:t>
      </w:r>
      <w:r w:rsidR="00CB75EB" w:rsidRPr="00F530B0">
        <w:rPr>
          <w:rFonts w:ascii="Times New Roman" w:eastAsia="Calibri" w:hAnsi="Times New Roman" w:cs="Times New Roman"/>
          <w:sz w:val="24"/>
          <w:szCs w:val="24"/>
        </w:rPr>
        <w:t>Ground one of the appellant’s grounds of appeal is upheld. As already</w:t>
      </w:r>
      <w:r w:rsidR="00082E97" w:rsidRPr="00F530B0">
        <w:rPr>
          <w:rFonts w:ascii="Times New Roman" w:eastAsia="Calibri" w:hAnsi="Times New Roman" w:cs="Times New Roman"/>
          <w:sz w:val="24"/>
          <w:szCs w:val="24"/>
        </w:rPr>
        <w:t xml:space="preserve"> sta</w:t>
      </w:r>
      <w:r w:rsidR="00167E5C" w:rsidRPr="00F530B0">
        <w:rPr>
          <w:rFonts w:ascii="Times New Roman" w:eastAsia="Calibri" w:hAnsi="Times New Roman" w:cs="Times New Roman"/>
          <w:sz w:val="24"/>
          <w:szCs w:val="24"/>
        </w:rPr>
        <w:t xml:space="preserve">ted it is a conclusion which renders the </w:t>
      </w:r>
      <w:r w:rsidR="00541D61" w:rsidRPr="00F530B0">
        <w:rPr>
          <w:rFonts w:ascii="Times New Roman" w:eastAsia="Calibri" w:hAnsi="Times New Roman" w:cs="Times New Roman"/>
          <w:sz w:val="24"/>
          <w:szCs w:val="24"/>
        </w:rPr>
        <w:t>consideration of</w:t>
      </w:r>
      <w:r w:rsidR="00167E5C" w:rsidRPr="00F530B0">
        <w:rPr>
          <w:rFonts w:ascii="Times New Roman" w:eastAsia="Calibri" w:hAnsi="Times New Roman" w:cs="Times New Roman"/>
          <w:sz w:val="24"/>
          <w:szCs w:val="24"/>
        </w:rPr>
        <w:t xml:space="preserve"> the other </w:t>
      </w:r>
      <w:r w:rsidR="00541D61" w:rsidRPr="00F530B0">
        <w:rPr>
          <w:rFonts w:ascii="Times New Roman" w:eastAsia="Calibri" w:hAnsi="Times New Roman" w:cs="Times New Roman"/>
          <w:sz w:val="24"/>
          <w:szCs w:val="24"/>
        </w:rPr>
        <w:t>grounds unnecessary</w:t>
      </w:r>
      <w:r w:rsidR="00167E5C" w:rsidRPr="00F530B0">
        <w:rPr>
          <w:rFonts w:ascii="Times New Roman" w:eastAsia="Calibri" w:hAnsi="Times New Roman" w:cs="Times New Roman"/>
          <w:sz w:val="24"/>
          <w:szCs w:val="24"/>
        </w:rPr>
        <w:t>.</w:t>
      </w:r>
    </w:p>
    <w:p w:rsidR="00167E5C" w:rsidRPr="00F530B0" w:rsidRDefault="00167E5C" w:rsidP="00D2165B">
      <w:pPr>
        <w:spacing w:after="0" w:line="240" w:lineRule="auto"/>
        <w:jc w:val="both"/>
        <w:rPr>
          <w:rFonts w:ascii="Times New Roman" w:eastAsia="Calibri" w:hAnsi="Times New Roman" w:cs="Times New Roman"/>
          <w:sz w:val="24"/>
          <w:szCs w:val="24"/>
        </w:rPr>
      </w:pPr>
    </w:p>
    <w:p w:rsidR="00167E5C" w:rsidRPr="00F530B0" w:rsidRDefault="00F617FF" w:rsidP="00F617FF">
      <w:pPr>
        <w:spacing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 </w:t>
      </w:r>
      <w:r w:rsidR="00167E5C" w:rsidRPr="00F530B0">
        <w:rPr>
          <w:rFonts w:ascii="Times New Roman" w:eastAsia="Calibri" w:hAnsi="Times New Roman" w:cs="Times New Roman"/>
          <w:sz w:val="24"/>
          <w:szCs w:val="24"/>
        </w:rPr>
        <w:t>Re</w:t>
      </w:r>
      <w:r w:rsidR="00F121E3" w:rsidRPr="00F530B0">
        <w:rPr>
          <w:rFonts w:ascii="Times New Roman" w:eastAsia="Calibri" w:hAnsi="Times New Roman" w:cs="Times New Roman"/>
          <w:sz w:val="24"/>
          <w:szCs w:val="24"/>
        </w:rPr>
        <w:t>garding costs, it is the policy of</w:t>
      </w:r>
      <w:r w:rsidR="004E62AB" w:rsidRPr="00F530B0">
        <w:rPr>
          <w:rFonts w:ascii="Times New Roman" w:eastAsia="Calibri" w:hAnsi="Times New Roman" w:cs="Times New Roman"/>
          <w:sz w:val="24"/>
          <w:szCs w:val="24"/>
        </w:rPr>
        <w:t xml:space="preserve"> the courts in this jurisdiction</w:t>
      </w:r>
      <w:r w:rsidR="00F47E69" w:rsidRPr="00F530B0">
        <w:rPr>
          <w:rFonts w:ascii="Times New Roman" w:eastAsia="Calibri" w:hAnsi="Times New Roman" w:cs="Times New Roman"/>
          <w:sz w:val="24"/>
          <w:szCs w:val="24"/>
        </w:rPr>
        <w:t>, not to award costs in tax cases.  The exception is where the suit is frivolous.</w:t>
      </w:r>
      <w:r w:rsidR="00474EB7" w:rsidRPr="00F530B0">
        <w:rPr>
          <w:rFonts w:ascii="Times New Roman" w:eastAsia="Calibri" w:hAnsi="Times New Roman" w:cs="Times New Roman"/>
          <w:sz w:val="24"/>
          <w:szCs w:val="24"/>
        </w:rPr>
        <w:t xml:space="preserve"> I see no </w:t>
      </w:r>
      <w:r w:rsidR="00A43EFF" w:rsidRPr="00F530B0">
        <w:rPr>
          <w:rFonts w:ascii="Times New Roman" w:eastAsia="Calibri" w:hAnsi="Times New Roman" w:cs="Times New Roman"/>
          <w:sz w:val="24"/>
          <w:szCs w:val="24"/>
        </w:rPr>
        <w:t>reason for</w:t>
      </w:r>
      <w:r w:rsidR="00F47E69" w:rsidRPr="00F530B0">
        <w:rPr>
          <w:rFonts w:ascii="Times New Roman" w:eastAsia="Calibri" w:hAnsi="Times New Roman" w:cs="Times New Roman"/>
          <w:sz w:val="24"/>
          <w:szCs w:val="24"/>
        </w:rPr>
        <w:t xml:space="preserve"> a departure from the norm.</w:t>
      </w:r>
    </w:p>
    <w:p w:rsidR="00F47E69" w:rsidRPr="00F530B0" w:rsidRDefault="00F47E69" w:rsidP="00134898">
      <w:pPr>
        <w:spacing w:after="0" w:line="240" w:lineRule="auto"/>
        <w:ind w:firstLine="1134"/>
        <w:jc w:val="both"/>
        <w:rPr>
          <w:rFonts w:ascii="Times New Roman" w:eastAsia="Calibri" w:hAnsi="Times New Roman" w:cs="Times New Roman"/>
          <w:sz w:val="24"/>
          <w:szCs w:val="24"/>
        </w:rPr>
      </w:pPr>
    </w:p>
    <w:p w:rsidR="00F47E69" w:rsidRPr="00F530B0" w:rsidRDefault="00F47E69" w:rsidP="00F617FF">
      <w:pPr>
        <w:spacing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In the result, it be and is hereby ordered as follows:</w:t>
      </w:r>
    </w:p>
    <w:p w:rsidR="00F47E69" w:rsidRPr="00F530B0" w:rsidRDefault="00F47E69" w:rsidP="00C365B9">
      <w:pPr>
        <w:pStyle w:val="ListParagraph"/>
        <w:numPr>
          <w:ilvl w:val="0"/>
          <w:numId w:val="4"/>
        </w:numPr>
        <w:spacing w:line="480" w:lineRule="auto"/>
        <w:ind w:left="1134" w:hanging="567"/>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The appeal succeeds with each party to bear its own costs.</w:t>
      </w:r>
    </w:p>
    <w:p w:rsidR="00EB1687" w:rsidRPr="00F530B0" w:rsidRDefault="00EB1687" w:rsidP="008B60DE">
      <w:pPr>
        <w:pStyle w:val="ListParagraph"/>
        <w:spacing w:line="240" w:lineRule="auto"/>
        <w:ind w:left="1134"/>
        <w:jc w:val="both"/>
        <w:rPr>
          <w:rFonts w:ascii="Times New Roman" w:eastAsia="Calibri" w:hAnsi="Times New Roman" w:cs="Times New Roman"/>
          <w:sz w:val="24"/>
          <w:szCs w:val="24"/>
        </w:rPr>
      </w:pPr>
    </w:p>
    <w:p w:rsidR="00F47E69" w:rsidRPr="00F530B0" w:rsidRDefault="00F47E69" w:rsidP="00C365B9">
      <w:pPr>
        <w:pStyle w:val="ListParagraph"/>
        <w:numPr>
          <w:ilvl w:val="0"/>
          <w:numId w:val="4"/>
        </w:numPr>
        <w:tabs>
          <w:tab w:val="left" w:pos="1134"/>
        </w:tabs>
        <w:spacing w:line="480" w:lineRule="auto"/>
        <w:ind w:left="1134" w:hanging="567"/>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The judgment of the court </w:t>
      </w:r>
      <w:r w:rsidRPr="00F530B0">
        <w:rPr>
          <w:rFonts w:ascii="Times New Roman" w:eastAsia="Calibri" w:hAnsi="Times New Roman" w:cs="Times New Roman"/>
          <w:i/>
          <w:sz w:val="24"/>
          <w:szCs w:val="24"/>
        </w:rPr>
        <w:t>a quo</w:t>
      </w:r>
      <w:r w:rsidRPr="00F530B0">
        <w:rPr>
          <w:rFonts w:ascii="Times New Roman" w:eastAsia="Calibri" w:hAnsi="Times New Roman" w:cs="Times New Roman"/>
          <w:sz w:val="24"/>
          <w:szCs w:val="24"/>
        </w:rPr>
        <w:t xml:space="preserve"> is set aside and substituted with the following:</w:t>
      </w:r>
    </w:p>
    <w:p w:rsidR="00F47E69" w:rsidRPr="00F530B0" w:rsidRDefault="00F47E69" w:rsidP="00EB1221">
      <w:pPr>
        <w:pStyle w:val="ListParagraph"/>
        <w:spacing w:after="0" w:line="240" w:lineRule="auto"/>
        <w:ind w:left="1701" w:hanging="708"/>
        <w:jc w:val="both"/>
        <w:rPr>
          <w:rFonts w:ascii="Times New Roman" w:eastAsia="Calibri" w:hAnsi="Times New Roman" w:cs="Times New Roman"/>
          <w:sz w:val="24"/>
          <w:szCs w:val="24"/>
        </w:rPr>
      </w:pPr>
      <w:r w:rsidRPr="00F530B0">
        <w:rPr>
          <w:rFonts w:ascii="Times New Roman" w:eastAsia="Calibri" w:hAnsi="Times New Roman" w:cs="Times New Roman"/>
          <w:sz w:val="24"/>
          <w:szCs w:val="24"/>
        </w:rPr>
        <w:t xml:space="preserve"> “1. The application be an</w:t>
      </w:r>
      <w:r w:rsidR="00DF67B2" w:rsidRPr="00F530B0">
        <w:rPr>
          <w:rFonts w:ascii="Times New Roman" w:eastAsia="Calibri" w:hAnsi="Times New Roman" w:cs="Times New Roman"/>
          <w:sz w:val="24"/>
          <w:szCs w:val="24"/>
        </w:rPr>
        <w:t>d is hereby struck off the roll</w:t>
      </w:r>
      <w:r w:rsidR="007B1945" w:rsidRPr="00F530B0">
        <w:rPr>
          <w:rFonts w:ascii="Times New Roman" w:eastAsia="Calibri" w:hAnsi="Times New Roman" w:cs="Times New Roman"/>
          <w:sz w:val="24"/>
          <w:szCs w:val="24"/>
        </w:rPr>
        <w:t>.</w:t>
      </w:r>
    </w:p>
    <w:p w:rsidR="00F47E69" w:rsidRPr="00F739F2" w:rsidRDefault="00FB6F83" w:rsidP="00EB122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47E69" w:rsidRPr="00F739F2">
        <w:rPr>
          <w:rFonts w:ascii="Times New Roman" w:eastAsia="Calibri" w:hAnsi="Times New Roman" w:cs="Times New Roman"/>
          <w:sz w:val="24"/>
          <w:szCs w:val="24"/>
        </w:rPr>
        <w:t xml:space="preserve"> </w:t>
      </w:r>
      <w:r w:rsidR="00F739F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A51837">
        <w:rPr>
          <w:rFonts w:ascii="Times New Roman" w:eastAsia="Calibri" w:hAnsi="Times New Roman" w:cs="Times New Roman"/>
          <w:sz w:val="24"/>
          <w:szCs w:val="24"/>
        </w:rPr>
        <w:t>2. Each</w:t>
      </w:r>
      <w:r w:rsidR="00F47E69" w:rsidRPr="00F739F2">
        <w:rPr>
          <w:rFonts w:ascii="Times New Roman" w:eastAsia="Calibri" w:hAnsi="Times New Roman" w:cs="Times New Roman"/>
          <w:sz w:val="24"/>
          <w:szCs w:val="24"/>
        </w:rPr>
        <w:t xml:space="preserve"> party shall bear its own costs.</w:t>
      </w:r>
      <w:r w:rsidR="00DF67B2" w:rsidRPr="00F739F2">
        <w:rPr>
          <w:rFonts w:ascii="Times New Roman" w:eastAsia="Calibri" w:hAnsi="Times New Roman" w:cs="Times New Roman"/>
          <w:sz w:val="24"/>
          <w:szCs w:val="24"/>
        </w:rPr>
        <w:t>”</w:t>
      </w:r>
    </w:p>
    <w:p w:rsidR="00F47E69" w:rsidRDefault="00F47E69" w:rsidP="00F47E69">
      <w:pPr>
        <w:pStyle w:val="ListParagraph"/>
        <w:spacing w:line="480" w:lineRule="auto"/>
        <w:jc w:val="both"/>
        <w:rPr>
          <w:rFonts w:ascii="Times New Roman" w:eastAsia="Calibri" w:hAnsi="Times New Roman" w:cs="Times New Roman"/>
          <w:sz w:val="24"/>
          <w:szCs w:val="24"/>
        </w:rPr>
      </w:pPr>
    </w:p>
    <w:p w:rsidR="005E2F08" w:rsidRDefault="005E2F08" w:rsidP="00353506">
      <w:pPr>
        <w:spacing w:line="480" w:lineRule="auto"/>
        <w:ind w:firstLine="1134"/>
        <w:jc w:val="both"/>
        <w:rPr>
          <w:rFonts w:ascii="Times New Roman" w:eastAsia="Calibri" w:hAnsi="Times New Roman" w:cs="Times New Roman"/>
          <w:b/>
          <w:sz w:val="24"/>
          <w:szCs w:val="24"/>
        </w:rPr>
      </w:pPr>
      <w:r>
        <w:rPr>
          <w:rFonts w:ascii="Times New Roman" w:eastAsia="Calibri" w:hAnsi="Times New Roman" w:cs="Times New Roman"/>
          <w:b/>
          <w:sz w:val="24"/>
          <w:szCs w:val="24"/>
        </w:rPr>
        <w:br/>
      </w:r>
    </w:p>
    <w:p w:rsidR="005E2F08" w:rsidRDefault="005E2F08" w:rsidP="00353506">
      <w:pPr>
        <w:spacing w:line="480" w:lineRule="auto"/>
        <w:ind w:firstLine="1134"/>
        <w:jc w:val="both"/>
        <w:rPr>
          <w:rFonts w:ascii="Times New Roman" w:eastAsia="Calibri" w:hAnsi="Times New Roman" w:cs="Times New Roman"/>
          <w:b/>
          <w:sz w:val="24"/>
          <w:szCs w:val="24"/>
        </w:rPr>
      </w:pPr>
    </w:p>
    <w:p w:rsidR="005E2F08" w:rsidRDefault="005E2F08" w:rsidP="00353506">
      <w:pPr>
        <w:spacing w:line="480" w:lineRule="auto"/>
        <w:ind w:firstLine="1134"/>
        <w:jc w:val="both"/>
        <w:rPr>
          <w:rFonts w:ascii="Times New Roman" w:eastAsia="Calibri" w:hAnsi="Times New Roman" w:cs="Times New Roman"/>
          <w:b/>
          <w:sz w:val="24"/>
          <w:szCs w:val="24"/>
        </w:rPr>
      </w:pPr>
    </w:p>
    <w:p w:rsidR="004B0182" w:rsidRPr="00F530B0" w:rsidRDefault="00F47E69" w:rsidP="00353506">
      <w:pPr>
        <w:spacing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b/>
          <w:sz w:val="24"/>
          <w:szCs w:val="24"/>
        </w:rPr>
        <w:lastRenderedPageBreak/>
        <w:t>GWAUNZA DCJ</w:t>
      </w:r>
      <w:r w:rsidRPr="00F530B0">
        <w:rPr>
          <w:rFonts w:ascii="Times New Roman" w:eastAsia="Calibri" w:hAnsi="Times New Roman" w:cs="Times New Roman"/>
          <w:b/>
          <w:sz w:val="24"/>
          <w:szCs w:val="24"/>
        </w:rPr>
        <w:tab/>
      </w:r>
      <w:r w:rsidRPr="00F530B0">
        <w:rPr>
          <w:rFonts w:ascii="Times New Roman" w:eastAsia="Calibri" w:hAnsi="Times New Roman" w:cs="Times New Roman"/>
          <w:b/>
          <w:sz w:val="24"/>
          <w:szCs w:val="24"/>
        </w:rPr>
        <w:tab/>
        <w:t>:</w:t>
      </w:r>
      <w:r w:rsidRPr="00F530B0">
        <w:rPr>
          <w:rFonts w:ascii="Times New Roman" w:eastAsia="Calibri" w:hAnsi="Times New Roman" w:cs="Times New Roman"/>
          <w:b/>
          <w:sz w:val="24"/>
          <w:szCs w:val="24"/>
        </w:rPr>
        <w:tab/>
      </w:r>
      <w:r w:rsidRPr="00F530B0">
        <w:rPr>
          <w:rFonts w:ascii="Times New Roman" w:eastAsia="Calibri" w:hAnsi="Times New Roman" w:cs="Times New Roman"/>
          <w:b/>
          <w:sz w:val="24"/>
          <w:szCs w:val="24"/>
        </w:rPr>
        <w:tab/>
      </w:r>
      <w:r w:rsidRPr="00F530B0">
        <w:rPr>
          <w:rFonts w:ascii="Times New Roman" w:eastAsia="Calibri" w:hAnsi="Times New Roman" w:cs="Times New Roman"/>
          <w:sz w:val="24"/>
          <w:szCs w:val="24"/>
        </w:rPr>
        <w:t>I agree</w:t>
      </w:r>
    </w:p>
    <w:p w:rsidR="00F47E69" w:rsidRPr="00F530B0" w:rsidRDefault="00F47E69" w:rsidP="00353506">
      <w:pPr>
        <w:spacing w:line="480" w:lineRule="auto"/>
        <w:ind w:firstLine="1134"/>
        <w:jc w:val="both"/>
        <w:rPr>
          <w:rFonts w:ascii="Times New Roman" w:eastAsia="Calibri" w:hAnsi="Times New Roman" w:cs="Times New Roman"/>
          <w:b/>
          <w:sz w:val="24"/>
          <w:szCs w:val="24"/>
        </w:rPr>
      </w:pPr>
    </w:p>
    <w:p w:rsidR="00F47E69" w:rsidRDefault="00F47E69" w:rsidP="00353506">
      <w:pPr>
        <w:spacing w:line="480" w:lineRule="auto"/>
        <w:ind w:firstLine="1134"/>
        <w:jc w:val="both"/>
        <w:rPr>
          <w:rFonts w:ascii="Times New Roman" w:eastAsia="Calibri" w:hAnsi="Times New Roman" w:cs="Times New Roman"/>
          <w:sz w:val="24"/>
          <w:szCs w:val="24"/>
        </w:rPr>
      </w:pPr>
      <w:r w:rsidRPr="00F530B0">
        <w:rPr>
          <w:rFonts w:ascii="Times New Roman" w:eastAsia="Calibri" w:hAnsi="Times New Roman" w:cs="Times New Roman"/>
          <w:b/>
          <w:sz w:val="24"/>
          <w:szCs w:val="24"/>
        </w:rPr>
        <w:t>BHUNU JA</w:t>
      </w:r>
      <w:r w:rsidRPr="00F530B0">
        <w:rPr>
          <w:rFonts w:ascii="Times New Roman" w:eastAsia="Calibri" w:hAnsi="Times New Roman" w:cs="Times New Roman"/>
          <w:sz w:val="24"/>
          <w:szCs w:val="24"/>
        </w:rPr>
        <w:tab/>
      </w:r>
      <w:r w:rsidR="005E2F08">
        <w:rPr>
          <w:rFonts w:ascii="Times New Roman" w:eastAsia="Calibri" w:hAnsi="Times New Roman" w:cs="Times New Roman"/>
          <w:sz w:val="24"/>
          <w:szCs w:val="24"/>
        </w:rPr>
        <w:tab/>
      </w:r>
      <w:r w:rsidRPr="00F530B0">
        <w:rPr>
          <w:rFonts w:ascii="Times New Roman" w:eastAsia="Calibri" w:hAnsi="Times New Roman" w:cs="Times New Roman"/>
          <w:sz w:val="24"/>
          <w:szCs w:val="24"/>
        </w:rPr>
        <w:tab/>
        <w:t>:</w:t>
      </w:r>
      <w:r w:rsidRPr="00F530B0">
        <w:rPr>
          <w:rFonts w:ascii="Times New Roman" w:eastAsia="Calibri" w:hAnsi="Times New Roman" w:cs="Times New Roman"/>
          <w:sz w:val="24"/>
          <w:szCs w:val="24"/>
        </w:rPr>
        <w:tab/>
      </w:r>
      <w:r w:rsidRPr="00F530B0">
        <w:rPr>
          <w:rFonts w:ascii="Times New Roman" w:eastAsia="Calibri" w:hAnsi="Times New Roman" w:cs="Times New Roman"/>
          <w:sz w:val="24"/>
          <w:szCs w:val="24"/>
        </w:rPr>
        <w:tab/>
        <w:t>I agree</w:t>
      </w:r>
    </w:p>
    <w:p w:rsidR="00BE3F3B" w:rsidRPr="00F530B0" w:rsidRDefault="00BE3F3B" w:rsidP="00353506">
      <w:pPr>
        <w:spacing w:line="480" w:lineRule="auto"/>
        <w:ind w:firstLine="1134"/>
        <w:jc w:val="both"/>
        <w:rPr>
          <w:rFonts w:ascii="Times New Roman" w:eastAsia="Calibri" w:hAnsi="Times New Roman" w:cs="Times New Roman"/>
          <w:sz w:val="24"/>
          <w:szCs w:val="24"/>
        </w:rPr>
      </w:pPr>
    </w:p>
    <w:p w:rsidR="005E7671" w:rsidRPr="00F530B0" w:rsidRDefault="005E7671" w:rsidP="005E7671">
      <w:pPr>
        <w:spacing w:line="240" w:lineRule="auto"/>
        <w:ind w:firstLine="142"/>
        <w:jc w:val="both"/>
        <w:rPr>
          <w:rFonts w:ascii="Times New Roman" w:eastAsia="Calibri" w:hAnsi="Times New Roman" w:cs="Times New Roman"/>
          <w:sz w:val="24"/>
          <w:szCs w:val="24"/>
        </w:rPr>
      </w:pPr>
      <w:r w:rsidRPr="00F530B0">
        <w:rPr>
          <w:rFonts w:ascii="Times New Roman" w:eastAsia="Calibri" w:hAnsi="Times New Roman" w:cs="Times New Roman"/>
          <w:i/>
          <w:sz w:val="24"/>
          <w:szCs w:val="24"/>
        </w:rPr>
        <w:t>Messrs Kantor &amp; Immermann</w:t>
      </w:r>
      <w:r w:rsidRPr="00F530B0">
        <w:rPr>
          <w:rFonts w:ascii="Times New Roman" w:eastAsia="Calibri" w:hAnsi="Times New Roman" w:cs="Times New Roman"/>
          <w:sz w:val="24"/>
          <w:szCs w:val="24"/>
        </w:rPr>
        <w:t>, appellant’s legal practitioners</w:t>
      </w:r>
    </w:p>
    <w:p w:rsidR="00896839" w:rsidRPr="00F530B0" w:rsidRDefault="005E7671" w:rsidP="00BE3F3B">
      <w:pPr>
        <w:spacing w:line="240" w:lineRule="auto"/>
        <w:ind w:firstLine="142"/>
        <w:jc w:val="both"/>
        <w:rPr>
          <w:rFonts w:ascii="Times New Roman" w:eastAsia="Calibri" w:hAnsi="Times New Roman" w:cs="Times New Roman"/>
          <w:sz w:val="24"/>
          <w:szCs w:val="24"/>
        </w:rPr>
      </w:pPr>
      <w:r w:rsidRPr="00F530B0">
        <w:rPr>
          <w:rFonts w:ascii="Times New Roman" w:eastAsia="Calibri" w:hAnsi="Times New Roman" w:cs="Times New Roman"/>
          <w:i/>
          <w:sz w:val="24"/>
          <w:szCs w:val="24"/>
        </w:rPr>
        <w:t>Venturas and Samkange</w:t>
      </w:r>
      <w:r w:rsidRPr="00F530B0">
        <w:rPr>
          <w:rFonts w:ascii="Times New Roman" w:eastAsia="Calibri" w:hAnsi="Times New Roman" w:cs="Times New Roman"/>
          <w:sz w:val="24"/>
          <w:szCs w:val="24"/>
        </w:rPr>
        <w:t>, respondent’s legal practitioners</w:t>
      </w:r>
    </w:p>
    <w:sectPr w:rsidR="00896839" w:rsidRPr="00F530B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B11" w:rsidRDefault="00B15B11" w:rsidP="008E479C">
      <w:pPr>
        <w:spacing w:after="0" w:line="240" w:lineRule="auto"/>
      </w:pPr>
      <w:r>
        <w:separator/>
      </w:r>
    </w:p>
  </w:endnote>
  <w:endnote w:type="continuationSeparator" w:id="0">
    <w:p w:rsidR="00B15B11" w:rsidRDefault="00B15B11" w:rsidP="008E4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B11" w:rsidRDefault="00B15B11" w:rsidP="008E479C">
      <w:pPr>
        <w:spacing w:after="0" w:line="240" w:lineRule="auto"/>
      </w:pPr>
      <w:r>
        <w:separator/>
      </w:r>
    </w:p>
  </w:footnote>
  <w:footnote w:type="continuationSeparator" w:id="0">
    <w:p w:rsidR="00B15B11" w:rsidRDefault="00B15B11" w:rsidP="008E4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D5E" w:rsidRDefault="00514D5E">
    <w:pPr>
      <w:pStyle w:val="Header"/>
    </w:pPr>
    <w:r>
      <w:rPr>
        <w:noProof/>
        <w:lang w:val="en-US"/>
      </w:rPr>
      <mc:AlternateContent>
        <mc:Choice Requires="wps">
          <w:drawing>
            <wp:anchor distT="0" distB="0" distL="114300" distR="114300" simplePos="0" relativeHeight="251660288" behindDoc="0" locked="0" layoutInCell="0" allowOverlap="1" wp14:anchorId="2681C7A4" wp14:editId="5BD49D11">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D5E" w:rsidRDefault="00514D5E" w:rsidP="008E479C">
                          <w:pPr>
                            <w:spacing w:after="0" w:line="240" w:lineRule="auto"/>
                            <w:rPr>
                              <w:lang w:val="en-US"/>
                            </w:rPr>
                          </w:pPr>
                        </w:p>
                        <w:p w:rsidR="00514D5E" w:rsidRDefault="00514D5E" w:rsidP="008E479C">
                          <w:pPr>
                            <w:spacing w:after="0" w:line="240" w:lineRule="auto"/>
                            <w:rPr>
                              <w:lang w:val="en-US"/>
                            </w:rPr>
                          </w:pPr>
                        </w:p>
                        <w:p w:rsidR="00514D5E" w:rsidRPr="00020B30" w:rsidRDefault="00756E65" w:rsidP="008E479C">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SC88</w:t>
                          </w:r>
                          <w:r w:rsidR="00514D5E">
                            <w:rPr>
                              <w:rFonts w:ascii="Times New Roman" w:hAnsi="Times New Roman" w:cs="Times New Roman"/>
                              <w:noProof/>
                              <w:sz w:val="24"/>
                              <w:szCs w:val="24"/>
                            </w:rPr>
                            <w:t xml:space="preserve"> /21</w:t>
                          </w:r>
                        </w:p>
                        <w:p w:rsidR="00514D5E" w:rsidRPr="00020B30" w:rsidRDefault="00514D5E" w:rsidP="008E479C">
                          <w:pPr>
                            <w:spacing w:after="0" w:line="240" w:lineRule="auto"/>
                            <w:jc w:val="right"/>
                            <w:rPr>
                              <w:rFonts w:ascii="Times New Roman" w:hAnsi="Times New Roman" w:cs="Times New Roman"/>
                              <w:noProof/>
                              <w:sz w:val="24"/>
                              <w:szCs w:val="24"/>
                            </w:rPr>
                          </w:pPr>
                          <w:r w:rsidRPr="00020B30">
                            <w:rPr>
                              <w:rFonts w:ascii="Times New Roman" w:hAnsi="Times New Roman" w:cs="Times New Roman"/>
                              <w:noProof/>
                              <w:sz w:val="24"/>
                              <w:szCs w:val="24"/>
                            </w:rPr>
                            <w:t xml:space="preserve">Civil Appeal </w:t>
                          </w:r>
                          <w:r>
                            <w:rPr>
                              <w:rFonts w:ascii="Times New Roman" w:hAnsi="Times New Roman" w:cs="Times New Roman"/>
                              <w:noProof/>
                              <w:sz w:val="24"/>
                              <w:szCs w:val="24"/>
                            </w:rPr>
                            <w:t>No. SC 94/20</w:t>
                          </w:r>
                        </w:p>
                        <w:p w:rsidR="00514D5E" w:rsidRPr="008E479C" w:rsidRDefault="00514D5E" w:rsidP="008E479C">
                          <w:pPr>
                            <w:spacing w:after="0" w:line="240" w:lineRule="auto"/>
                            <w:rPr>
                              <w:lang w:val="en-US"/>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681C7A4"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514D5E" w:rsidRDefault="00514D5E" w:rsidP="008E479C">
                    <w:pPr>
                      <w:spacing w:after="0" w:line="240" w:lineRule="auto"/>
                      <w:rPr>
                        <w:lang w:val="en-US"/>
                      </w:rPr>
                    </w:pPr>
                  </w:p>
                  <w:p w:rsidR="00514D5E" w:rsidRDefault="00514D5E" w:rsidP="008E479C">
                    <w:pPr>
                      <w:spacing w:after="0" w:line="240" w:lineRule="auto"/>
                      <w:rPr>
                        <w:lang w:val="en-US"/>
                      </w:rPr>
                    </w:pPr>
                  </w:p>
                  <w:p w:rsidR="00514D5E" w:rsidRPr="00020B30" w:rsidRDefault="00756E65" w:rsidP="008E479C">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Judgment No. SC88</w:t>
                    </w:r>
                    <w:r w:rsidR="00514D5E">
                      <w:rPr>
                        <w:rFonts w:ascii="Times New Roman" w:hAnsi="Times New Roman" w:cs="Times New Roman"/>
                        <w:noProof/>
                        <w:sz w:val="24"/>
                        <w:szCs w:val="24"/>
                      </w:rPr>
                      <w:t xml:space="preserve"> /21</w:t>
                    </w:r>
                  </w:p>
                  <w:p w:rsidR="00514D5E" w:rsidRPr="00020B30" w:rsidRDefault="00514D5E" w:rsidP="008E479C">
                    <w:pPr>
                      <w:spacing w:after="0" w:line="240" w:lineRule="auto"/>
                      <w:jc w:val="right"/>
                      <w:rPr>
                        <w:rFonts w:ascii="Times New Roman" w:hAnsi="Times New Roman" w:cs="Times New Roman"/>
                        <w:noProof/>
                        <w:sz w:val="24"/>
                        <w:szCs w:val="24"/>
                      </w:rPr>
                    </w:pPr>
                    <w:r w:rsidRPr="00020B30">
                      <w:rPr>
                        <w:rFonts w:ascii="Times New Roman" w:hAnsi="Times New Roman" w:cs="Times New Roman"/>
                        <w:noProof/>
                        <w:sz w:val="24"/>
                        <w:szCs w:val="24"/>
                      </w:rPr>
                      <w:t xml:space="preserve">Civil Appeal </w:t>
                    </w:r>
                    <w:r>
                      <w:rPr>
                        <w:rFonts w:ascii="Times New Roman" w:hAnsi="Times New Roman" w:cs="Times New Roman"/>
                        <w:noProof/>
                        <w:sz w:val="24"/>
                        <w:szCs w:val="24"/>
                      </w:rPr>
                      <w:t>No. SC 94/20</w:t>
                    </w:r>
                  </w:p>
                  <w:p w:rsidR="00514D5E" w:rsidRPr="008E479C" w:rsidRDefault="00514D5E" w:rsidP="008E479C">
                    <w:pPr>
                      <w:spacing w:after="0" w:line="240" w:lineRule="auto"/>
                      <w:rPr>
                        <w:lang w:val="en-US"/>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069A81C0" wp14:editId="70705DCA">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514D5E" w:rsidRDefault="00514D5E">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16DD9" w:rsidRPr="00916DD9">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69A81C0"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514D5E" w:rsidRDefault="00514D5E">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16DD9" w:rsidRPr="00916DD9">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5F9"/>
    <w:multiLevelType w:val="hybridMultilevel"/>
    <w:tmpl w:val="044063A6"/>
    <w:lvl w:ilvl="0" w:tplc="5E184D32">
      <w:start w:val="1"/>
      <w:numFmt w:val="decimal"/>
      <w:lvlText w:val="%1."/>
      <w:lvlJc w:val="left"/>
      <w:pPr>
        <w:ind w:left="1430" w:hanging="360"/>
      </w:pPr>
      <w:rPr>
        <w:rFonts w:hint="default"/>
      </w:rPr>
    </w:lvl>
    <w:lvl w:ilvl="1" w:tplc="30090019" w:tentative="1">
      <w:start w:val="1"/>
      <w:numFmt w:val="lowerLetter"/>
      <w:lvlText w:val="%2."/>
      <w:lvlJc w:val="left"/>
      <w:pPr>
        <w:ind w:left="2150" w:hanging="360"/>
      </w:pPr>
    </w:lvl>
    <w:lvl w:ilvl="2" w:tplc="3009001B" w:tentative="1">
      <w:start w:val="1"/>
      <w:numFmt w:val="lowerRoman"/>
      <w:lvlText w:val="%3."/>
      <w:lvlJc w:val="right"/>
      <w:pPr>
        <w:ind w:left="2870" w:hanging="180"/>
      </w:pPr>
    </w:lvl>
    <w:lvl w:ilvl="3" w:tplc="3009000F" w:tentative="1">
      <w:start w:val="1"/>
      <w:numFmt w:val="decimal"/>
      <w:lvlText w:val="%4."/>
      <w:lvlJc w:val="left"/>
      <w:pPr>
        <w:ind w:left="3590" w:hanging="360"/>
      </w:pPr>
    </w:lvl>
    <w:lvl w:ilvl="4" w:tplc="30090019" w:tentative="1">
      <w:start w:val="1"/>
      <w:numFmt w:val="lowerLetter"/>
      <w:lvlText w:val="%5."/>
      <w:lvlJc w:val="left"/>
      <w:pPr>
        <w:ind w:left="4310" w:hanging="360"/>
      </w:pPr>
    </w:lvl>
    <w:lvl w:ilvl="5" w:tplc="3009001B" w:tentative="1">
      <w:start w:val="1"/>
      <w:numFmt w:val="lowerRoman"/>
      <w:lvlText w:val="%6."/>
      <w:lvlJc w:val="right"/>
      <w:pPr>
        <w:ind w:left="5030" w:hanging="180"/>
      </w:pPr>
    </w:lvl>
    <w:lvl w:ilvl="6" w:tplc="3009000F" w:tentative="1">
      <w:start w:val="1"/>
      <w:numFmt w:val="decimal"/>
      <w:lvlText w:val="%7."/>
      <w:lvlJc w:val="left"/>
      <w:pPr>
        <w:ind w:left="5750" w:hanging="360"/>
      </w:pPr>
    </w:lvl>
    <w:lvl w:ilvl="7" w:tplc="30090019" w:tentative="1">
      <w:start w:val="1"/>
      <w:numFmt w:val="lowerLetter"/>
      <w:lvlText w:val="%8."/>
      <w:lvlJc w:val="left"/>
      <w:pPr>
        <w:ind w:left="6470" w:hanging="360"/>
      </w:pPr>
    </w:lvl>
    <w:lvl w:ilvl="8" w:tplc="3009001B" w:tentative="1">
      <w:start w:val="1"/>
      <w:numFmt w:val="lowerRoman"/>
      <w:lvlText w:val="%9."/>
      <w:lvlJc w:val="right"/>
      <w:pPr>
        <w:ind w:left="7190" w:hanging="180"/>
      </w:pPr>
    </w:lvl>
  </w:abstractNum>
  <w:abstractNum w:abstractNumId="1">
    <w:nsid w:val="20B44EC2"/>
    <w:multiLevelType w:val="hybridMultilevel"/>
    <w:tmpl w:val="3B581566"/>
    <w:lvl w:ilvl="0" w:tplc="E244EA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6287666"/>
    <w:multiLevelType w:val="hybridMultilevel"/>
    <w:tmpl w:val="A8D48044"/>
    <w:lvl w:ilvl="0" w:tplc="FD0C3E70">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48D4357C"/>
    <w:multiLevelType w:val="hybridMultilevel"/>
    <w:tmpl w:val="E74015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E7417A2"/>
    <w:multiLevelType w:val="hybridMultilevel"/>
    <w:tmpl w:val="66E83BB4"/>
    <w:lvl w:ilvl="0" w:tplc="EBCCB21A">
      <w:start w:val="1"/>
      <w:numFmt w:val="decimal"/>
      <w:lvlText w:val="%1."/>
      <w:lvlJc w:val="left"/>
      <w:pPr>
        <w:ind w:left="1070" w:hanging="360"/>
      </w:pPr>
      <w:rPr>
        <w:rFonts w:hint="default"/>
        <w:i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9C"/>
    <w:rsid w:val="00001313"/>
    <w:rsid w:val="0000273D"/>
    <w:rsid w:val="00010E93"/>
    <w:rsid w:val="000139E8"/>
    <w:rsid w:val="00017338"/>
    <w:rsid w:val="000212D4"/>
    <w:rsid w:val="00021EFF"/>
    <w:rsid w:val="000328CD"/>
    <w:rsid w:val="000331AE"/>
    <w:rsid w:val="000342B5"/>
    <w:rsid w:val="00035A58"/>
    <w:rsid w:val="00037F4A"/>
    <w:rsid w:val="00052269"/>
    <w:rsid w:val="0007290E"/>
    <w:rsid w:val="00074935"/>
    <w:rsid w:val="0008018E"/>
    <w:rsid w:val="00082E97"/>
    <w:rsid w:val="00085C36"/>
    <w:rsid w:val="00086BEC"/>
    <w:rsid w:val="00094709"/>
    <w:rsid w:val="000A0104"/>
    <w:rsid w:val="000B6AA2"/>
    <w:rsid w:val="000B7954"/>
    <w:rsid w:val="000C5D27"/>
    <w:rsid w:val="000D1607"/>
    <w:rsid w:val="000D17BC"/>
    <w:rsid w:val="000D204E"/>
    <w:rsid w:val="000D5A5B"/>
    <w:rsid w:val="000D6853"/>
    <w:rsid w:val="000E62D8"/>
    <w:rsid w:val="000E70A2"/>
    <w:rsid w:val="000F17AE"/>
    <w:rsid w:val="00101C48"/>
    <w:rsid w:val="001022E2"/>
    <w:rsid w:val="0010756D"/>
    <w:rsid w:val="001111E2"/>
    <w:rsid w:val="001175DE"/>
    <w:rsid w:val="0012028E"/>
    <w:rsid w:val="001243DE"/>
    <w:rsid w:val="00124A3F"/>
    <w:rsid w:val="00130922"/>
    <w:rsid w:val="0013274C"/>
    <w:rsid w:val="00134898"/>
    <w:rsid w:val="0014219D"/>
    <w:rsid w:val="001459B9"/>
    <w:rsid w:val="00150C6C"/>
    <w:rsid w:val="001536C7"/>
    <w:rsid w:val="00162BF2"/>
    <w:rsid w:val="0016658A"/>
    <w:rsid w:val="00167218"/>
    <w:rsid w:val="00167E5C"/>
    <w:rsid w:val="00167EF1"/>
    <w:rsid w:val="001746B3"/>
    <w:rsid w:val="00175080"/>
    <w:rsid w:val="001772BE"/>
    <w:rsid w:val="00182394"/>
    <w:rsid w:val="00184F86"/>
    <w:rsid w:val="00187584"/>
    <w:rsid w:val="00191660"/>
    <w:rsid w:val="00193591"/>
    <w:rsid w:val="001B0B07"/>
    <w:rsid w:val="001C45E0"/>
    <w:rsid w:val="001C6983"/>
    <w:rsid w:val="001D0E72"/>
    <w:rsid w:val="001E123E"/>
    <w:rsid w:val="001E3D16"/>
    <w:rsid w:val="001E683D"/>
    <w:rsid w:val="001F46DF"/>
    <w:rsid w:val="00223B7D"/>
    <w:rsid w:val="00232B87"/>
    <w:rsid w:val="0024659C"/>
    <w:rsid w:val="002517BD"/>
    <w:rsid w:val="00256BE3"/>
    <w:rsid w:val="00263FD7"/>
    <w:rsid w:val="0026755B"/>
    <w:rsid w:val="0028443E"/>
    <w:rsid w:val="00284F6E"/>
    <w:rsid w:val="002907CC"/>
    <w:rsid w:val="00294AD0"/>
    <w:rsid w:val="002A6C47"/>
    <w:rsid w:val="002B1773"/>
    <w:rsid w:val="002C74C3"/>
    <w:rsid w:val="002D1318"/>
    <w:rsid w:val="002D545E"/>
    <w:rsid w:val="002D68DE"/>
    <w:rsid w:val="002D7B6C"/>
    <w:rsid w:val="002F7428"/>
    <w:rsid w:val="00301EA4"/>
    <w:rsid w:val="00316930"/>
    <w:rsid w:val="00320080"/>
    <w:rsid w:val="00321998"/>
    <w:rsid w:val="00326AA3"/>
    <w:rsid w:val="00333607"/>
    <w:rsid w:val="003371E7"/>
    <w:rsid w:val="00353506"/>
    <w:rsid w:val="00376421"/>
    <w:rsid w:val="00382EE7"/>
    <w:rsid w:val="003A0910"/>
    <w:rsid w:val="003A1897"/>
    <w:rsid w:val="003B1C98"/>
    <w:rsid w:val="003F005F"/>
    <w:rsid w:val="003F3A91"/>
    <w:rsid w:val="003F6CD5"/>
    <w:rsid w:val="00410609"/>
    <w:rsid w:val="00420DFE"/>
    <w:rsid w:val="0042121A"/>
    <w:rsid w:val="0042425A"/>
    <w:rsid w:val="00426516"/>
    <w:rsid w:val="00431140"/>
    <w:rsid w:val="00434AB5"/>
    <w:rsid w:val="004456D6"/>
    <w:rsid w:val="004457CB"/>
    <w:rsid w:val="0044739E"/>
    <w:rsid w:val="0045528D"/>
    <w:rsid w:val="00455C23"/>
    <w:rsid w:val="004661AB"/>
    <w:rsid w:val="00466453"/>
    <w:rsid w:val="00470E84"/>
    <w:rsid w:val="00474EB7"/>
    <w:rsid w:val="00475978"/>
    <w:rsid w:val="00492C26"/>
    <w:rsid w:val="00494E12"/>
    <w:rsid w:val="004A0478"/>
    <w:rsid w:val="004B001B"/>
    <w:rsid w:val="004B0182"/>
    <w:rsid w:val="004B7D49"/>
    <w:rsid w:val="004C29C0"/>
    <w:rsid w:val="004C6306"/>
    <w:rsid w:val="004D0BCB"/>
    <w:rsid w:val="004E3F1D"/>
    <w:rsid w:val="004E62AB"/>
    <w:rsid w:val="004F5FE8"/>
    <w:rsid w:val="00500635"/>
    <w:rsid w:val="00501BBD"/>
    <w:rsid w:val="00510488"/>
    <w:rsid w:val="00514D5E"/>
    <w:rsid w:val="005257C0"/>
    <w:rsid w:val="005260E2"/>
    <w:rsid w:val="00537D58"/>
    <w:rsid w:val="00541D61"/>
    <w:rsid w:val="00542E36"/>
    <w:rsid w:val="0055272F"/>
    <w:rsid w:val="00552EA0"/>
    <w:rsid w:val="005548C8"/>
    <w:rsid w:val="00571E5D"/>
    <w:rsid w:val="00597C3C"/>
    <w:rsid w:val="005A1F83"/>
    <w:rsid w:val="005A2B66"/>
    <w:rsid w:val="005A7273"/>
    <w:rsid w:val="005B099F"/>
    <w:rsid w:val="005B6622"/>
    <w:rsid w:val="005C01EC"/>
    <w:rsid w:val="005C7F43"/>
    <w:rsid w:val="005D1C26"/>
    <w:rsid w:val="005D57DC"/>
    <w:rsid w:val="005D666A"/>
    <w:rsid w:val="005E2F08"/>
    <w:rsid w:val="005E7671"/>
    <w:rsid w:val="005E7CA5"/>
    <w:rsid w:val="005F5C82"/>
    <w:rsid w:val="00600DA0"/>
    <w:rsid w:val="00606533"/>
    <w:rsid w:val="00606BD6"/>
    <w:rsid w:val="00606FC9"/>
    <w:rsid w:val="00612A8B"/>
    <w:rsid w:val="00636980"/>
    <w:rsid w:val="0065023F"/>
    <w:rsid w:val="00656940"/>
    <w:rsid w:val="006716C2"/>
    <w:rsid w:val="00681DCC"/>
    <w:rsid w:val="0068648C"/>
    <w:rsid w:val="0069190F"/>
    <w:rsid w:val="00696E0F"/>
    <w:rsid w:val="006B32CB"/>
    <w:rsid w:val="006C1177"/>
    <w:rsid w:val="006C35EF"/>
    <w:rsid w:val="006C6A51"/>
    <w:rsid w:val="006C6DBA"/>
    <w:rsid w:val="006E3CF4"/>
    <w:rsid w:val="006E4EE1"/>
    <w:rsid w:val="006F07A8"/>
    <w:rsid w:val="006F5C46"/>
    <w:rsid w:val="006F6AE5"/>
    <w:rsid w:val="006F6C72"/>
    <w:rsid w:val="006F72CB"/>
    <w:rsid w:val="00700227"/>
    <w:rsid w:val="007342CB"/>
    <w:rsid w:val="00743446"/>
    <w:rsid w:val="00756E65"/>
    <w:rsid w:val="0076330C"/>
    <w:rsid w:val="00763825"/>
    <w:rsid w:val="007965DD"/>
    <w:rsid w:val="007A01D6"/>
    <w:rsid w:val="007A0621"/>
    <w:rsid w:val="007B1945"/>
    <w:rsid w:val="007B2854"/>
    <w:rsid w:val="007B3945"/>
    <w:rsid w:val="007C5DF0"/>
    <w:rsid w:val="007D519C"/>
    <w:rsid w:val="007D5EB2"/>
    <w:rsid w:val="007E103B"/>
    <w:rsid w:val="007E5A2F"/>
    <w:rsid w:val="007E6A30"/>
    <w:rsid w:val="007F033D"/>
    <w:rsid w:val="007F0DBD"/>
    <w:rsid w:val="00805D82"/>
    <w:rsid w:val="00806F31"/>
    <w:rsid w:val="0081415A"/>
    <w:rsid w:val="00815A09"/>
    <w:rsid w:val="00830883"/>
    <w:rsid w:val="00835C37"/>
    <w:rsid w:val="00835FA0"/>
    <w:rsid w:val="008543E1"/>
    <w:rsid w:val="0085470B"/>
    <w:rsid w:val="008737E9"/>
    <w:rsid w:val="00876D49"/>
    <w:rsid w:val="00877DBE"/>
    <w:rsid w:val="00890B8F"/>
    <w:rsid w:val="00896839"/>
    <w:rsid w:val="008A06FE"/>
    <w:rsid w:val="008A15E2"/>
    <w:rsid w:val="008B60DE"/>
    <w:rsid w:val="008B73F5"/>
    <w:rsid w:val="008C1708"/>
    <w:rsid w:val="008C4564"/>
    <w:rsid w:val="008C5864"/>
    <w:rsid w:val="008E00FB"/>
    <w:rsid w:val="008E212B"/>
    <w:rsid w:val="008E479C"/>
    <w:rsid w:val="008E5FA0"/>
    <w:rsid w:val="008F2437"/>
    <w:rsid w:val="008F3BEA"/>
    <w:rsid w:val="009029BA"/>
    <w:rsid w:val="009073E8"/>
    <w:rsid w:val="00916DD9"/>
    <w:rsid w:val="00920772"/>
    <w:rsid w:val="0093230A"/>
    <w:rsid w:val="0094109A"/>
    <w:rsid w:val="009442C3"/>
    <w:rsid w:val="00952785"/>
    <w:rsid w:val="0095453F"/>
    <w:rsid w:val="009603D4"/>
    <w:rsid w:val="00975273"/>
    <w:rsid w:val="009C24EC"/>
    <w:rsid w:val="009D28C3"/>
    <w:rsid w:val="009D56B3"/>
    <w:rsid w:val="009D5DFB"/>
    <w:rsid w:val="009E0C54"/>
    <w:rsid w:val="009E24A8"/>
    <w:rsid w:val="009E390A"/>
    <w:rsid w:val="009F290A"/>
    <w:rsid w:val="009F2B6A"/>
    <w:rsid w:val="00A01799"/>
    <w:rsid w:val="00A04E74"/>
    <w:rsid w:val="00A05574"/>
    <w:rsid w:val="00A07FAC"/>
    <w:rsid w:val="00A23A26"/>
    <w:rsid w:val="00A24C45"/>
    <w:rsid w:val="00A26EB7"/>
    <w:rsid w:val="00A34F94"/>
    <w:rsid w:val="00A40149"/>
    <w:rsid w:val="00A43EFF"/>
    <w:rsid w:val="00A51837"/>
    <w:rsid w:val="00A5355B"/>
    <w:rsid w:val="00A541A8"/>
    <w:rsid w:val="00A559AD"/>
    <w:rsid w:val="00A55D34"/>
    <w:rsid w:val="00A56DAF"/>
    <w:rsid w:val="00A758F6"/>
    <w:rsid w:val="00A9082D"/>
    <w:rsid w:val="00A92AE0"/>
    <w:rsid w:val="00AA18DA"/>
    <w:rsid w:val="00AA4CA1"/>
    <w:rsid w:val="00AB4432"/>
    <w:rsid w:val="00AB6ABE"/>
    <w:rsid w:val="00AC016C"/>
    <w:rsid w:val="00AD07D6"/>
    <w:rsid w:val="00AF2097"/>
    <w:rsid w:val="00AF4943"/>
    <w:rsid w:val="00B00719"/>
    <w:rsid w:val="00B0410C"/>
    <w:rsid w:val="00B11B2F"/>
    <w:rsid w:val="00B11B4B"/>
    <w:rsid w:val="00B11C62"/>
    <w:rsid w:val="00B13E1C"/>
    <w:rsid w:val="00B15B11"/>
    <w:rsid w:val="00B34A95"/>
    <w:rsid w:val="00B372B7"/>
    <w:rsid w:val="00B407BB"/>
    <w:rsid w:val="00B42FC9"/>
    <w:rsid w:val="00B45C85"/>
    <w:rsid w:val="00B4667E"/>
    <w:rsid w:val="00B518FD"/>
    <w:rsid w:val="00B520CF"/>
    <w:rsid w:val="00B57593"/>
    <w:rsid w:val="00B6784A"/>
    <w:rsid w:val="00B84889"/>
    <w:rsid w:val="00B8620A"/>
    <w:rsid w:val="00B8733B"/>
    <w:rsid w:val="00B87799"/>
    <w:rsid w:val="00B904F7"/>
    <w:rsid w:val="00B9128E"/>
    <w:rsid w:val="00B9222E"/>
    <w:rsid w:val="00BB6D22"/>
    <w:rsid w:val="00BC45B2"/>
    <w:rsid w:val="00BD4B44"/>
    <w:rsid w:val="00BE184F"/>
    <w:rsid w:val="00BE25A9"/>
    <w:rsid w:val="00BE37EB"/>
    <w:rsid w:val="00BE398E"/>
    <w:rsid w:val="00BE3F3B"/>
    <w:rsid w:val="00BE747E"/>
    <w:rsid w:val="00C067B5"/>
    <w:rsid w:val="00C1196F"/>
    <w:rsid w:val="00C12691"/>
    <w:rsid w:val="00C17223"/>
    <w:rsid w:val="00C2362C"/>
    <w:rsid w:val="00C2602D"/>
    <w:rsid w:val="00C34B0A"/>
    <w:rsid w:val="00C365B9"/>
    <w:rsid w:val="00C42BC8"/>
    <w:rsid w:val="00C445B3"/>
    <w:rsid w:val="00C544F9"/>
    <w:rsid w:val="00C5793C"/>
    <w:rsid w:val="00C63071"/>
    <w:rsid w:val="00C7268E"/>
    <w:rsid w:val="00C7426C"/>
    <w:rsid w:val="00C7691B"/>
    <w:rsid w:val="00C77D50"/>
    <w:rsid w:val="00C82698"/>
    <w:rsid w:val="00C858E7"/>
    <w:rsid w:val="00C87E83"/>
    <w:rsid w:val="00C96BD1"/>
    <w:rsid w:val="00CA3F71"/>
    <w:rsid w:val="00CA6E28"/>
    <w:rsid w:val="00CB4D53"/>
    <w:rsid w:val="00CB75EB"/>
    <w:rsid w:val="00CC261A"/>
    <w:rsid w:val="00CC52C2"/>
    <w:rsid w:val="00CC70F4"/>
    <w:rsid w:val="00CD0DFB"/>
    <w:rsid w:val="00CD11C4"/>
    <w:rsid w:val="00CD6C23"/>
    <w:rsid w:val="00CD7B22"/>
    <w:rsid w:val="00CE0E39"/>
    <w:rsid w:val="00CE6D60"/>
    <w:rsid w:val="00D2165B"/>
    <w:rsid w:val="00D21C5E"/>
    <w:rsid w:val="00D31F5E"/>
    <w:rsid w:val="00D32DA0"/>
    <w:rsid w:val="00D41A75"/>
    <w:rsid w:val="00D41B75"/>
    <w:rsid w:val="00D427A5"/>
    <w:rsid w:val="00D42A30"/>
    <w:rsid w:val="00D5169A"/>
    <w:rsid w:val="00D52FB5"/>
    <w:rsid w:val="00D612CE"/>
    <w:rsid w:val="00D639F6"/>
    <w:rsid w:val="00D66177"/>
    <w:rsid w:val="00D813C9"/>
    <w:rsid w:val="00D8722B"/>
    <w:rsid w:val="00D87F7D"/>
    <w:rsid w:val="00DA0112"/>
    <w:rsid w:val="00DA2CD7"/>
    <w:rsid w:val="00DA35AC"/>
    <w:rsid w:val="00DB7ECD"/>
    <w:rsid w:val="00DC3DDC"/>
    <w:rsid w:val="00DC3E8D"/>
    <w:rsid w:val="00DC798F"/>
    <w:rsid w:val="00DD0F46"/>
    <w:rsid w:val="00DD5484"/>
    <w:rsid w:val="00DD71D2"/>
    <w:rsid w:val="00DE0DA1"/>
    <w:rsid w:val="00DE40EE"/>
    <w:rsid w:val="00DF67B2"/>
    <w:rsid w:val="00E046AB"/>
    <w:rsid w:val="00E11B03"/>
    <w:rsid w:val="00E211F2"/>
    <w:rsid w:val="00E220A7"/>
    <w:rsid w:val="00E26BBD"/>
    <w:rsid w:val="00E35FB7"/>
    <w:rsid w:val="00E43E1C"/>
    <w:rsid w:val="00E443DA"/>
    <w:rsid w:val="00E46715"/>
    <w:rsid w:val="00E467D8"/>
    <w:rsid w:val="00E46A01"/>
    <w:rsid w:val="00E47D39"/>
    <w:rsid w:val="00E52909"/>
    <w:rsid w:val="00E57D08"/>
    <w:rsid w:val="00E612A8"/>
    <w:rsid w:val="00E72B1C"/>
    <w:rsid w:val="00E76002"/>
    <w:rsid w:val="00E8696F"/>
    <w:rsid w:val="00E87973"/>
    <w:rsid w:val="00E95140"/>
    <w:rsid w:val="00E96DCF"/>
    <w:rsid w:val="00EA4B61"/>
    <w:rsid w:val="00EB1221"/>
    <w:rsid w:val="00EB1687"/>
    <w:rsid w:val="00EB30C7"/>
    <w:rsid w:val="00EB62B1"/>
    <w:rsid w:val="00EB7487"/>
    <w:rsid w:val="00EB7B77"/>
    <w:rsid w:val="00EC1EA3"/>
    <w:rsid w:val="00ED2BD6"/>
    <w:rsid w:val="00EE4356"/>
    <w:rsid w:val="00F01DDB"/>
    <w:rsid w:val="00F10342"/>
    <w:rsid w:val="00F121E3"/>
    <w:rsid w:val="00F13128"/>
    <w:rsid w:val="00F179B5"/>
    <w:rsid w:val="00F21445"/>
    <w:rsid w:val="00F21B6A"/>
    <w:rsid w:val="00F24491"/>
    <w:rsid w:val="00F47E69"/>
    <w:rsid w:val="00F47F2F"/>
    <w:rsid w:val="00F530B0"/>
    <w:rsid w:val="00F54490"/>
    <w:rsid w:val="00F617FF"/>
    <w:rsid w:val="00F63230"/>
    <w:rsid w:val="00F726DA"/>
    <w:rsid w:val="00F739F2"/>
    <w:rsid w:val="00F76DF1"/>
    <w:rsid w:val="00F82696"/>
    <w:rsid w:val="00F837F8"/>
    <w:rsid w:val="00F846C9"/>
    <w:rsid w:val="00FB2C2D"/>
    <w:rsid w:val="00FB4BAB"/>
    <w:rsid w:val="00FB6F83"/>
    <w:rsid w:val="00FB7F71"/>
    <w:rsid w:val="00FC29D7"/>
    <w:rsid w:val="00FD1E6C"/>
    <w:rsid w:val="00FD3985"/>
    <w:rsid w:val="00FD4195"/>
    <w:rsid w:val="00FE3947"/>
    <w:rsid w:val="00FE513D"/>
    <w:rsid w:val="00FF346A"/>
    <w:rsid w:val="00FF3D32"/>
    <w:rsid w:val="00FF4298"/>
    <w:rsid w:val="00FF6C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E82B3-E66D-47C7-A480-4B9C9DD1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7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79C"/>
  </w:style>
  <w:style w:type="paragraph" w:styleId="Footer">
    <w:name w:val="footer"/>
    <w:basedOn w:val="Normal"/>
    <w:link w:val="FooterChar"/>
    <w:uiPriority w:val="99"/>
    <w:unhideWhenUsed/>
    <w:rsid w:val="008E47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79C"/>
  </w:style>
  <w:style w:type="paragraph" w:styleId="ListParagraph">
    <w:name w:val="List Paragraph"/>
    <w:basedOn w:val="Normal"/>
    <w:uiPriority w:val="34"/>
    <w:qFormat/>
    <w:rsid w:val="004B7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30407-5788-4E01-A872-EEB33917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3220</Words>
  <Characters>18356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Microsoft account</cp:lastModifiedBy>
  <cp:revision>2</cp:revision>
  <cp:lastPrinted>2021-07-07T12:19:00Z</cp:lastPrinted>
  <dcterms:created xsi:type="dcterms:W3CDTF">2021-07-19T11:49:00Z</dcterms:created>
  <dcterms:modified xsi:type="dcterms:W3CDTF">2021-07-19T11:49:00Z</dcterms:modified>
</cp:coreProperties>
</file>