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F26" w:rsidRDefault="005D5F26" w:rsidP="005D5F26">
      <w:pPr>
        <w:spacing w:after="0" w:line="240" w:lineRule="auto"/>
        <w:rPr>
          <w:rFonts w:ascii="Times New Roman" w:hAnsi="Times New Roman" w:cs="Times New Roman"/>
          <w:sz w:val="24"/>
          <w:szCs w:val="24"/>
        </w:rPr>
      </w:pPr>
      <w:r>
        <w:rPr>
          <w:rFonts w:ascii="Times New Roman" w:hAnsi="Times New Roman" w:cs="Times New Roman"/>
          <w:sz w:val="24"/>
          <w:szCs w:val="24"/>
        </w:rPr>
        <w:t>THABO MPOFU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D5F26" w:rsidRDefault="005D5F26" w:rsidP="005D5F26">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5D5F26" w:rsidRDefault="005D5F26" w:rsidP="005D5F26">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5D5F26" w:rsidRDefault="005D5F26" w:rsidP="005D5F26">
      <w:pPr>
        <w:spacing w:after="0" w:line="240" w:lineRule="auto"/>
        <w:rPr>
          <w:rFonts w:ascii="Times New Roman" w:hAnsi="Times New Roman" w:cs="Times New Roman"/>
          <w:sz w:val="24"/>
          <w:szCs w:val="24"/>
        </w:rPr>
      </w:pPr>
    </w:p>
    <w:p w:rsidR="005D5F26" w:rsidRDefault="005D5F26" w:rsidP="005D5F26">
      <w:pPr>
        <w:spacing w:after="0" w:line="240" w:lineRule="auto"/>
        <w:rPr>
          <w:rFonts w:ascii="Times New Roman" w:hAnsi="Times New Roman" w:cs="Times New Roman"/>
          <w:sz w:val="24"/>
          <w:szCs w:val="24"/>
        </w:rPr>
      </w:pPr>
    </w:p>
    <w:p w:rsidR="005D5F26" w:rsidRDefault="005D5F26" w:rsidP="005D5F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5D5F26" w:rsidRDefault="005D5F26" w:rsidP="005D5F26">
      <w:pPr>
        <w:spacing w:after="0" w:line="240" w:lineRule="auto"/>
        <w:rPr>
          <w:rFonts w:ascii="Times New Roman" w:hAnsi="Times New Roman" w:cs="Times New Roman"/>
          <w:sz w:val="24"/>
          <w:szCs w:val="24"/>
        </w:rPr>
      </w:pPr>
      <w:r>
        <w:rPr>
          <w:rFonts w:ascii="Times New Roman" w:hAnsi="Times New Roman" w:cs="Times New Roman"/>
          <w:sz w:val="24"/>
          <w:szCs w:val="24"/>
        </w:rPr>
        <w:t>MWAYERA AND MUZENDA JJ</w:t>
      </w:r>
    </w:p>
    <w:p w:rsidR="005D5F26" w:rsidRDefault="00BA5939" w:rsidP="005D5F26">
      <w:pPr>
        <w:spacing w:after="0" w:line="240" w:lineRule="auto"/>
        <w:rPr>
          <w:rFonts w:ascii="Times New Roman" w:hAnsi="Times New Roman" w:cs="Times New Roman"/>
          <w:sz w:val="24"/>
          <w:szCs w:val="24"/>
        </w:rPr>
      </w:pPr>
      <w:r>
        <w:rPr>
          <w:rFonts w:ascii="Times New Roman" w:hAnsi="Times New Roman" w:cs="Times New Roman"/>
          <w:sz w:val="24"/>
          <w:szCs w:val="24"/>
        </w:rPr>
        <w:t>MUTARE, 30 September 2020 and 29</w:t>
      </w:r>
      <w:r w:rsidR="005D5F26">
        <w:rPr>
          <w:rFonts w:ascii="Times New Roman" w:hAnsi="Times New Roman" w:cs="Times New Roman"/>
          <w:sz w:val="24"/>
          <w:szCs w:val="24"/>
        </w:rPr>
        <w:t xml:space="preserve"> October 2020</w:t>
      </w:r>
    </w:p>
    <w:p w:rsidR="005D5F26" w:rsidRDefault="005D5F26" w:rsidP="005D5F26">
      <w:pPr>
        <w:spacing w:after="0" w:line="240" w:lineRule="auto"/>
        <w:rPr>
          <w:rFonts w:ascii="Times New Roman" w:hAnsi="Times New Roman" w:cs="Times New Roman"/>
          <w:sz w:val="24"/>
          <w:szCs w:val="24"/>
        </w:rPr>
      </w:pPr>
    </w:p>
    <w:p w:rsidR="005D5F26" w:rsidRDefault="005D5F26" w:rsidP="005D5F26">
      <w:pPr>
        <w:spacing w:after="0" w:line="240" w:lineRule="auto"/>
        <w:jc w:val="center"/>
        <w:rPr>
          <w:rFonts w:ascii="Times New Roman" w:hAnsi="Times New Roman" w:cs="Times New Roman"/>
          <w:sz w:val="24"/>
          <w:szCs w:val="24"/>
        </w:rPr>
      </w:pPr>
    </w:p>
    <w:p w:rsidR="005D5F26" w:rsidRDefault="005D5F26" w:rsidP="005D5F26">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Appeal</w:t>
      </w:r>
    </w:p>
    <w:p w:rsidR="005D5F26" w:rsidRDefault="005D5F26" w:rsidP="005D5F26">
      <w:pPr>
        <w:spacing w:after="0" w:line="240" w:lineRule="auto"/>
        <w:rPr>
          <w:rFonts w:ascii="Times New Roman" w:hAnsi="Times New Roman" w:cs="Times New Roman"/>
          <w:sz w:val="24"/>
          <w:szCs w:val="24"/>
        </w:rPr>
      </w:pPr>
    </w:p>
    <w:p w:rsidR="005D5F26" w:rsidRDefault="005D5F26" w:rsidP="005D5F26">
      <w:pPr>
        <w:spacing w:after="0" w:line="240" w:lineRule="auto"/>
        <w:rPr>
          <w:rFonts w:ascii="Times New Roman" w:hAnsi="Times New Roman" w:cs="Times New Roman"/>
          <w:b/>
          <w:sz w:val="24"/>
          <w:szCs w:val="24"/>
        </w:rPr>
      </w:pPr>
    </w:p>
    <w:p w:rsidR="005D5F26" w:rsidRPr="00C81001" w:rsidRDefault="005D5F26" w:rsidP="005D5F26">
      <w:pPr>
        <w:spacing w:after="0" w:line="240" w:lineRule="auto"/>
        <w:rPr>
          <w:rFonts w:ascii="Times New Roman" w:hAnsi="Times New Roman" w:cs="Times New Roman"/>
          <w:sz w:val="24"/>
          <w:szCs w:val="24"/>
        </w:rPr>
      </w:pPr>
      <w:r>
        <w:rPr>
          <w:rFonts w:ascii="Times New Roman" w:hAnsi="Times New Roman" w:cs="Times New Roman"/>
          <w:i/>
          <w:sz w:val="24"/>
          <w:szCs w:val="24"/>
        </w:rPr>
        <w:t>C Chibaya</w:t>
      </w:r>
      <w:r>
        <w:rPr>
          <w:rFonts w:ascii="Times New Roman" w:hAnsi="Times New Roman" w:cs="Times New Roman"/>
          <w:sz w:val="24"/>
          <w:szCs w:val="24"/>
        </w:rPr>
        <w:t>, for the Appellant</w:t>
      </w:r>
    </w:p>
    <w:p w:rsidR="005D5F26" w:rsidRDefault="005D5F26" w:rsidP="005D5F26">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Mrs J Matsikidze, </w:t>
      </w:r>
      <w:r w:rsidRPr="006957D2">
        <w:rPr>
          <w:rFonts w:ascii="Times New Roman" w:hAnsi="Times New Roman" w:cs="Times New Roman"/>
          <w:sz w:val="24"/>
          <w:szCs w:val="24"/>
        </w:rPr>
        <w:t>for the Respondent</w:t>
      </w:r>
      <w:r>
        <w:rPr>
          <w:rFonts w:ascii="Times New Roman" w:hAnsi="Times New Roman" w:cs="Times New Roman"/>
          <w:sz w:val="24"/>
          <w:szCs w:val="24"/>
        </w:rPr>
        <w:t xml:space="preserve">      </w:t>
      </w:r>
    </w:p>
    <w:p w:rsidR="005D5F26" w:rsidRDefault="005D5F26" w:rsidP="005D5F26">
      <w:pPr>
        <w:spacing w:after="0" w:line="240" w:lineRule="auto"/>
        <w:rPr>
          <w:rFonts w:ascii="Times New Roman" w:hAnsi="Times New Roman" w:cs="Times New Roman"/>
          <w:sz w:val="24"/>
          <w:szCs w:val="24"/>
        </w:rPr>
      </w:pPr>
    </w:p>
    <w:p w:rsidR="005D5F26" w:rsidRDefault="005D5F26" w:rsidP="0092549C">
      <w:pPr>
        <w:spacing w:after="0" w:line="360" w:lineRule="auto"/>
        <w:rPr>
          <w:rFonts w:ascii="Times New Roman" w:hAnsi="Times New Roman" w:cs="Times New Roman"/>
          <w:sz w:val="24"/>
          <w:szCs w:val="24"/>
        </w:rPr>
      </w:pPr>
    </w:p>
    <w:p w:rsidR="0092549C" w:rsidRDefault="005D5F26" w:rsidP="0092549C">
      <w:pPr>
        <w:spacing w:after="0" w:line="360" w:lineRule="auto"/>
        <w:rPr>
          <w:rFonts w:ascii="Times New Roman" w:hAnsi="Times New Roman" w:cs="Times New Roman"/>
          <w:sz w:val="24"/>
          <w:szCs w:val="24"/>
        </w:rPr>
      </w:pPr>
      <w:r>
        <w:rPr>
          <w:rFonts w:ascii="Times New Roman" w:hAnsi="Times New Roman" w:cs="Times New Roman"/>
          <w:sz w:val="24"/>
          <w:szCs w:val="24"/>
        </w:rPr>
        <w:tab/>
        <w:t>MUZEN</w:t>
      </w:r>
      <w:r w:rsidR="0092549C">
        <w:rPr>
          <w:rFonts w:ascii="Times New Roman" w:hAnsi="Times New Roman" w:cs="Times New Roman"/>
          <w:sz w:val="24"/>
          <w:szCs w:val="24"/>
        </w:rPr>
        <w:t xml:space="preserve">DA J: This is an appeal against conviction of the appellant by the Provincial Magistrate sitting at Mutare on 20 March 2020. </w:t>
      </w:r>
    </w:p>
    <w:p w:rsidR="000968D8" w:rsidRPr="00307DAE" w:rsidRDefault="000968D8" w:rsidP="0092549C">
      <w:pPr>
        <w:spacing w:after="0" w:line="360" w:lineRule="auto"/>
        <w:rPr>
          <w:rFonts w:ascii="Times New Roman" w:hAnsi="Times New Roman" w:cs="Times New Roman"/>
          <w:sz w:val="24"/>
          <w:szCs w:val="24"/>
          <w:u w:val="single"/>
        </w:rPr>
      </w:pPr>
      <w:r w:rsidRPr="00307DAE">
        <w:rPr>
          <w:rFonts w:ascii="Times New Roman" w:hAnsi="Times New Roman" w:cs="Times New Roman"/>
          <w:sz w:val="24"/>
          <w:szCs w:val="24"/>
          <w:u w:val="single"/>
        </w:rPr>
        <w:t>FACTUAL BACKGROUND</w:t>
      </w:r>
    </w:p>
    <w:p w:rsidR="000968D8" w:rsidRDefault="000968D8" w:rsidP="00644F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charged with fraud as defined in s 136 of the Criminal Law (Codification and Reform) Act [</w:t>
      </w:r>
      <w:r w:rsidRPr="000968D8">
        <w:rPr>
          <w:rFonts w:ascii="Times New Roman" w:hAnsi="Times New Roman" w:cs="Times New Roman"/>
          <w:i/>
          <w:sz w:val="24"/>
          <w:szCs w:val="24"/>
        </w:rPr>
        <w:t>Chapter 9:23</w:t>
      </w:r>
      <w:r>
        <w:rPr>
          <w:rFonts w:ascii="Times New Roman" w:hAnsi="Times New Roman" w:cs="Times New Roman"/>
          <w:sz w:val="24"/>
          <w:szCs w:val="24"/>
        </w:rPr>
        <w:t xml:space="preserve">]. The </w:t>
      </w:r>
      <w:r w:rsidR="00307DAE">
        <w:rPr>
          <w:rFonts w:ascii="Times New Roman" w:hAnsi="Times New Roman" w:cs="Times New Roman"/>
          <w:sz w:val="24"/>
          <w:szCs w:val="24"/>
        </w:rPr>
        <w:t>S</w:t>
      </w:r>
      <w:r>
        <w:rPr>
          <w:rFonts w:ascii="Times New Roman" w:hAnsi="Times New Roman" w:cs="Times New Roman"/>
          <w:sz w:val="24"/>
          <w:szCs w:val="24"/>
        </w:rPr>
        <w:t xml:space="preserve">tate alleged that on diverse fifteen occasions at Mutare Bottling Company, 18 Riverside Road, Mutare, appellant and his two co-accused acting in connivance and in association with each other unlawfully made representations to the complainant company by crediting various amounts of money into Ukuzenzele Marketing Enterprises’ complainant credit account </w:t>
      </w:r>
      <w:r w:rsidR="00323EE0">
        <w:rPr>
          <w:rFonts w:ascii="Times New Roman" w:hAnsi="Times New Roman" w:cs="Times New Roman"/>
          <w:sz w:val="24"/>
          <w:szCs w:val="24"/>
        </w:rPr>
        <w:t>purpor</w:t>
      </w:r>
      <w:r w:rsidRPr="000968D8">
        <w:rPr>
          <w:rFonts w:ascii="Times New Roman" w:hAnsi="Times New Roman" w:cs="Times New Roman"/>
          <w:sz w:val="24"/>
          <w:szCs w:val="24"/>
        </w:rPr>
        <w:t xml:space="preserve">ting </w:t>
      </w:r>
      <w:r>
        <w:rPr>
          <w:rFonts w:ascii="Times New Roman" w:hAnsi="Times New Roman" w:cs="Times New Roman"/>
          <w:sz w:val="24"/>
          <w:szCs w:val="24"/>
        </w:rPr>
        <w:t xml:space="preserve">that Ukuzenzele had paid such amounts </w:t>
      </w:r>
      <w:r w:rsidR="00644FC9">
        <w:rPr>
          <w:rFonts w:ascii="Times New Roman" w:hAnsi="Times New Roman" w:cs="Times New Roman"/>
          <w:sz w:val="24"/>
          <w:szCs w:val="24"/>
        </w:rPr>
        <w:t xml:space="preserve">to complainant servicing its </w:t>
      </w:r>
      <w:r w:rsidR="00E46DBE">
        <w:rPr>
          <w:rFonts w:ascii="Times New Roman" w:hAnsi="Times New Roman" w:cs="Times New Roman"/>
          <w:sz w:val="24"/>
          <w:szCs w:val="24"/>
        </w:rPr>
        <w:t xml:space="preserve">debts, intending to deceive </w:t>
      </w:r>
      <w:r w:rsidR="00644FC9">
        <w:rPr>
          <w:rFonts w:ascii="Times New Roman" w:hAnsi="Times New Roman" w:cs="Times New Roman"/>
          <w:sz w:val="24"/>
          <w:szCs w:val="24"/>
        </w:rPr>
        <w:t>complainant.</w:t>
      </w:r>
    </w:p>
    <w:p w:rsidR="00644FC9" w:rsidRDefault="00644FC9" w:rsidP="00644F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was employed by complainant as an accountant and based at Mutare. On 30 April 2016, Tariro Maringapasi, (who was the third accused in the lower court) retired from complainant’s employment. He established Ukuzenzele Marketing Enterprises (Private) Limited (UME) whose core business was to sell drinks purchased from the complainant. On 26 April 2016 </w:t>
      </w:r>
      <w:r w:rsidR="00307DAE">
        <w:rPr>
          <w:rFonts w:ascii="Times New Roman" w:hAnsi="Times New Roman" w:cs="Times New Roman"/>
          <w:sz w:val="24"/>
          <w:szCs w:val="24"/>
        </w:rPr>
        <w:t>UME</w:t>
      </w:r>
      <w:r>
        <w:rPr>
          <w:rFonts w:ascii="Times New Roman" w:hAnsi="Times New Roman" w:cs="Times New Roman"/>
          <w:sz w:val="24"/>
          <w:szCs w:val="24"/>
        </w:rPr>
        <w:t xml:space="preserve"> entered into a distribution memorandum agreement with complainant as the sale distributor </w:t>
      </w:r>
      <w:r w:rsidR="00323EE0">
        <w:rPr>
          <w:rFonts w:ascii="Times New Roman" w:hAnsi="Times New Roman" w:cs="Times New Roman"/>
          <w:sz w:val="24"/>
          <w:szCs w:val="24"/>
        </w:rPr>
        <w:t>of complainant’s products at Dangamvura and Vengere bus te</w:t>
      </w:r>
      <w:r w:rsidR="00477BCD">
        <w:rPr>
          <w:rFonts w:ascii="Times New Roman" w:hAnsi="Times New Roman" w:cs="Times New Roman"/>
          <w:sz w:val="24"/>
          <w:szCs w:val="24"/>
        </w:rPr>
        <w:t>rminals</w:t>
      </w:r>
      <w:r w:rsidR="00323EE0">
        <w:rPr>
          <w:rFonts w:ascii="Times New Roman" w:hAnsi="Times New Roman" w:cs="Times New Roman"/>
          <w:sz w:val="24"/>
          <w:szCs w:val="24"/>
        </w:rPr>
        <w:t xml:space="preserve"> with a customer credit limit of $21 000-00 as from 6 May 2016.</w:t>
      </w:r>
    </w:p>
    <w:p w:rsidR="00323EE0" w:rsidRDefault="00323EE0" w:rsidP="00644F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period </w:t>
      </w:r>
      <w:r w:rsidR="00C34F06">
        <w:rPr>
          <w:rFonts w:ascii="Times New Roman" w:hAnsi="Times New Roman" w:cs="Times New Roman"/>
          <w:sz w:val="24"/>
          <w:szCs w:val="24"/>
        </w:rPr>
        <w:t>November 2016 to May 2017, the S</w:t>
      </w:r>
      <w:r w:rsidR="00B31ADA">
        <w:rPr>
          <w:rFonts w:ascii="Times New Roman" w:hAnsi="Times New Roman" w:cs="Times New Roman"/>
          <w:sz w:val="24"/>
          <w:szCs w:val="24"/>
        </w:rPr>
        <w:t xml:space="preserve">tate alleged that one Stewart </w:t>
      </w:r>
      <w:proofErr w:type="spellStart"/>
      <w:r w:rsidR="00B31ADA">
        <w:rPr>
          <w:rFonts w:ascii="Times New Roman" w:hAnsi="Times New Roman" w:cs="Times New Roman"/>
          <w:sz w:val="24"/>
          <w:szCs w:val="24"/>
        </w:rPr>
        <w:t>Chidawanyika</w:t>
      </w:r>
      <w:proofErr w:type="spellEnd"/>
      <w:r>
        <w:rPr>
          <w:rFonts w:ascii="Times New Roman" w:hAnsi="Times New Roman" w:cs="Times New Roman"/>
          <w:sz w:val="24"/>
          <w:szCs w:val="24"/>
        </w:rPr>
        <w:t xml:space="preserve"> (who was accused one in the court </w:t>
      </w:r>
      <w:r w:rsidRPr="00323EE0">
        <w:rPr>
          <w:rFonts w:ascii="Times New Roman" w:hAnsi="Times New Roman" w:cs="Times New Roman"/>
          <w:i/>
          <w:sz w:val="24"/>
          <w:szCs w:val="24"/>
        </w:rPr>
        <w:t>a quo</w:t>
      </w:r>
      <w:r w:rsidR="00F47295">
        <w:rPr>
          <w:rFonts w:ascii="Times New Roman" w:hAnsi="Times New Roman" w:cs="Times New Roman"/>
          <w:sz w:val="24"/>
          <w:szCs w:val="24"/>
        </w:rPr>
        <w:t>) employed by complainant as a</w:t>
      </w:r>
      <w:r>
        <w:rPr>
          <w:rFonts w:ascii="Times New Roman" w:hAnsi="Times New Roman" w:cs="Times New Roman"/>
          <w:sz w:val="24"/>
          <w:szCs w:val="24"/>
        </w:rPr>
        <w:t xml:space="preserve"> </w:t>
      </w:r>
      <w:r w:rsidR="00F47295">
        <w:rPr>
          <w:rFonts w:ascii="Times New Roman" w:hAnsi="Times New Roman" w:cs="Times New Roman"/>
          <w:sz w:val="24"/>
          <w:szCs w:val="24"/>
        </w:rPr>
        <w:t>debtors controller</w:t>
      </w:r>
      <w:r>
        <w:rPr>
          <w:rFonts w:ascii="Times New Roman" w:hAnsi="Times New Roman" w:cs="Times New Roman"/>
          <w:sz w:val="24"/>
          <w:szCs w:val="24"/>
        </w:rPr>
        <w:t xml:space="preserve"> would post into appel</w:t>
      </w:r>
      <w:r w:rsidR="00093B01">
        <w:rPr>
          <w:rFonts w:ascii="Times New Roman" w:hAnsi="Times New Roman" w:cs="Times New Roman"/>
          <w:sz w:val="24"/>
          <w:szCs w:val="24"/>
        </w:rPr>
        <w:t>lant’s ledgers payments received</w:t>
      </w:r>
      <w:r>
        <w:rPr>
          <w:rFonts w:ascii="Times New Roman" w:hAnsi="Times New Roman" w:cs="Times New Roman"/>
          <w:sz w:val="24"/>
          <w:szCs w:val="24"/>
        </w:rPr>
        <w:t xml:space="preserve"> from complainant’s debtors </w:t>
      </w:r>
      <w:r>
        <w:rPr>
          <w:rFonts w:ascii="Times New Roman" w:hAnsi="Times New Roman" w:cs="Times New Roman"/>
          <w:sz w:val="24"/>
          <w:szCs w:val="24"/>
        </w:rPr>
        <w:lastRenderedPageBreak/>
        <w:t xml:space="preserve">and appellant through the use of such journal entries credit </w:t>
      </w:r>
      <w:r w:rsidR="000078EE">
        <w:rPr>
          <w:rFonts w:ascii="Times New Roman" w:hAnsi="Times New Roman" w:cs="Times New Roman"/>
          <w:sz w:val="24"/>
          <w:szCs w:val="24"/>
        </w:rPr>
        <w:t>UME</w:t>
      </w:r>
      <w:r>
        <w:rPr>
          <w:rFonts w:ascii="Times New Roman" w:hAnsi="Times New Roman" w:cs="Times New Roman"/>
          <w:sz w:val="24"/>
          <w:szCs w:val="24"/>
        </w:rPr>
        <w:t>’</w:t>
      </w:r>
      <w:r w:rsidR="000078EE">
        <w:rPr>
          <w:rFonts w:ascii="Times New Roman" w:hAnsi="Times New Roman" w:cs="Times New Roman"/>
          <w:sz w:val="24"/>
          <w:szCs w:val="24"/>
        </w:rPr>
        <w:t>s</w:t>
      </w:r>
      <w:r>
        <w:rPr>
          <w:rFonts w:ascii="Times New Roman" w:hAnsi="Times New Roman" w:cs="Times New Roman"/>
          <w:sz w:val="24"/>
          <w:szCs w:val="24"/>
        </w:rPr>
        <w:t xml:space="preserve"> account purporting that </w:t>
      </w:r>
      <w:r w:rsidR="009E4C38">
        <w:rPr>
          <w:rFonts w:ascii="Times New Roman" w:hAnsi="Times New Roman" w:cs="Times New Roman"/>
          <w:sz w:val="24"/>
          <w:szCs w:val="24"/>
        </w:rPr>
        <w:t>UME</w:t>
      </w:r>
      <w:r>
        <w:rPr>
          <w:rFonts w:ascii="Times New Roman" w:hAnsi="Times New Roman" w:cs="Times New Roman"/>
          <w:sz w:val="24"/>
          <w:szCs w:val="24"/>
        </w:rPr>
        <w:t xml:space="preserve"> had made the payments. After that transaction, </w:t>
      </w:r>
      <w:r w:rsidR="00511D60">
        <w:rPr>
          <w:rFonts w:ascii="Times New Roman" w:hAnsi="Times New Roman" w:cs="Times New Roman"/>
          <w:sz w:val="24"/>
          <w:szCs w:val="24"/>
        </w:rPr>
        <w:t>UME</w:t>
      </w:r>
      <w:r>
        <w:rPr>
          <w:rFonts w:ascii="Times New Roman" w:hAnsi="Times New Roman" w:cs="Times New Roman"/>
          <w:sz w:val="24"/>
          <w:szCs w:val="24"/>
        </w:rPr>
        <w:t>’</w:t>
      </w:r>
      <w:r w:rsidR="00511D60">
        <w:rPr>
          <w:rFonts w:ascii="Times New Roman" w:hAnsi="Times New Roman" w:cs="Times New Roman"/>
          <w:sz w:val="24"/>
          <w:szCs w:val="24"/>
        </w:rPr>
        <w:t>s</w:t>
      </w:r>
      <w:r>
        <w:rPr>
          <w:rFonts w:ascii="Times New Roman" w:hAnsi="Times New Roman" w:cs="Times New Roman"/>
          <w:sz w:val="24"/>
          <w:szCs w:val="24"/>
        </w:rPr>
        <w:t xml:space="preserve"> director</w:t>
      </w:r>
      <w:r w:rsidR="001269C3">
        <w:rPr>
          <w:rFonts w:ascii="Times New Roman" w:hAnsi="Times New Roman" w:cs="Times New Roman"/>
          <w:sz w:val="24"/>
          <w:szCs w:val="24"/>
        </w:rPr>
        <w:t xml:space="preserve"> or</w:t>
      </w:r>
      <w:r>
        <w:rPr>
          <w:rFonts w:ascii="Times New Roman" w:hAnsi="Times New Roman" w:cs="Times New Roman"/>
          <w:sz w:val="24"/>
          <w:szCs w:val="24"/>
        </w:rPr>
        <w:t xml:space="preserve"> proprietor (third accused in the lower court) would then sign on the </w:t>
      </w:r>
      <w:r w:rsidR="00E13164">
        <w:rPr>
          <w:rFonts w:ascii="Times New Roman" w:hAnsi="Times New Roman" w:cs="Times New Roman"/>
          <w:sz w:val="24"/>
          <w:szCs w:val="24"/>
        </w:rPr>
        <w:t>debtor’s</w:t>
      </w:r>
      <w:r>
        <w:rPr>
          <w:rFonts w:ascii="Times New Roman" w:hAnsi="Times New Roman" w:cs="Times New Roman"/>
          <w:sz w:val="24"/>
          <w:szCs w:val="24"/>
        </w:rPr>
        <w:t xml:space="preserve"> confirmation prepared by the appellant acknowledging </w:t>
      </w:r>
      <w:r w:rsidR="00CA1EB2">
        <w:rPr>
          <w:rFonts w:ascii="Times New Roman" w:hAnsi="Times New Roman" w:cs="Times New Roman"/>
          <w:sz w:val="24"/>
          <w:szCs w:val="24"/>
        </w:rPr>
        <w:t>UME</w:t>
      </w:r>
      <w:r w:rsidR="00E13164">
        <w:rPr>
          <w:rFonts w:ascii="Times New Roman" w:hAnsi="Times New Roman" w:cs="Times New Roman"/>
          <w:sz w:val="24"/>
          <w:szCs w:val="24"/>
        </w:rPr>
        <w:t>’</w:t>
      </w:r>
      <w:r w:rsidR="00CA1EB2">
        <w:rPr>
          <w:rFonts w:ascii="Times New Roman" w:hAnsi="Times New Roman" w:cs="Times New Roman"/>
          <w:sz w:val="24"/>
          <w:szCs w:val="24"/>
        </w:rPr>
        <w:t>s</w:t>
      </w:r>
      <w:r w:rsidR="00E13164">
        <w:rPr>
          <w:rFonts w:ascii="Times New Roman" w:hAnsi="Times New Roman" w:cs="Times New Roman"/>
          <w:sz w:val="24"/>
          <w:szCs w:val="24"/>
        </w:rPr>
        <w:t xml:space="preserve"> outstanding balance as confirmation of payment to ensure that UME’s credit was within the stipulated credit limit. All this was done by appellant and his co-accused when they were aware that UME had not paid anything. As a result of the fictitious credits to UME complainant suffered a loss of $82 588-50 in form of goods delivered to UME. </w:t>
      </w:r>
    </w:p>
    <w:p w:rsidR="00E13164" w:rsidRPr="00307DAE" w:rsidRDefault="00E13164" w:rsidP="00E13164">
      <w:pPr>
        <w:spacing w:after="0" w:line="360" w:lineRule="auto"/>
        <w:jc w:val="both"/>
        <w:rPr>
          <w:rFonts w:ascii="Times New Roman" w:hAnsi="Times New Roman" w:cs="Times New Roman"/>
          <w:sz w:val="24"/>
          <w:szCs w:val="24"/>
          <w:u w:val="single"/>
        </w:rPr>
      </w:pPr>
      <w:r w:rsidRPr="00307DAE">
        <w:rPr>
          <w:rFonts w:ascii="Times New Roman" w:hAnsi="Times New Roman" w:cs="Times New Roman"/>
          <w:sz w:val="24"/>
          <w:szCs w:val="24"/>
          <w:u w:val="single"/>
        </w:rPr>
        <w:t xml:space="preserve">PROCEEDINGS OF THE COURT </w:t>
      </w:r>
      <w:r w:rsidRPr="00307DAE">
        <w:rPr>
          <w:rFonts w:ascii="Times New Roman" w:hAnsi="Times New Roman" w:cs="Times New Roman"/>
          <w:i/>
          <w:sz w:val="24"/>
          <w:szCs w:val="24"/>
          <w:u w:val="single"/>
        </w:rPr>
        <w:t>A QUO</w:t>
      </w:r>
      <w:r w:rsidRPr="00307DAE">
        <w:rPr>
          <w:rFonts w:ascii="Times New Roman" w:hAnsi="Times New Roman" w:cs="Times New Roman"/>
          <w:sz w:val="24"/>
          <w:szCs w:val="24"/>
          <w:u w:val="single"/>
        </w:rPr>
        <w:t xml:space="preserve"> </w:t>
      </w:r>
    </w:p>
    <w:p w:rsidR="00E13164" w:rsidRDefault="00E13164" w:rsidP="00644F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the State’</w:t>
      </w:r>
      <w:r w:rsidR="00EF09A9">
        <w:rPr>
          <w:rFonts w:ascii="Times New Roman" w:hAnsi="Times New Roman" w:cs="Times New Roman"/>
          <w:sz w:val="24"/>
          <w:szCs w:val="24"/>
        </w:rPr>
        <w:t>s allegations that on fifteen</w:t>
      </w:r>
      <w:r>
        <w:rPr>
          <w:rFonts w:ascii="Times New Roman" w:hAnsi="Times New Roman" w:cs="Times New Roman"/>
          <w:sz w:val="24"/>
          <w:szCs w:val="24"/>
        </w:rPr>
        <w:t xml:space="preserve"> occasions appellant in collusion with his co-accused would reverse payments transactions by customers of Mutare Bottling Company and then </w:t>
      </w:r>
      <w:r w:rsidR="00A32592">
        <w:rPr>
          <w:rFonts w:ascii="Times New Roman" w:hAnsi="Times New Roman" w:cs="Times New Roman"/>
          <w:sz w:val="24"/>
          <w:szCs w:val="24"/>
        </w:rPr>
        <w:t>credit the amounts to the</w:t>
      </w:r>
      <w:r w:rsidR="00363CC7">
        <w:rPr>
          <w:rFonts w:ascii="Times New Roman" w:hAnsi="Times New Roman" w:cs="Times New Roman"/>
          <w:sz w:val="24"/>
          <w:szCs w:val="24"/>
        </w:rPr>
        <w:t xml:space="preserve"> credit accounts of Ukuzenzele M</w:t>
      </w:r>
      <w:r w:rsidR="00A32592">
        <w:rPr>
          <w:rFonts w:ascii="Times New Roman" w:hAnsi="Times New Roman" w:cs="Times New Roman"/>
          <w:sz w:val="24"/>
          <w:szCs w:val="24"/>
        </w:rPr>
        <w:t xml:space="preserve">arketing Enterprises, an entity owned by one of the appellant’s co-accused in the court </w:t>
      </w:r>
      <w:r w:rsidR="00A32592" w:rsidRPr="00A32592">
        <w:rPr>
          <w:rFonts w:ascii="Times New Roman" w:hAnsi="Times New Roman" w:cs="Times New Roman"/>
          <w:i/>
          <w:sz w:val="24"/>
          <w:szCs w:val="24"/>
        </w:rPr>
        <w:t>a quo</w:t>
      </w:r>
      <w:r w:rsidR="00A32592">
        <w:rPr>
          <w:rFonts w:ascii="Times New Roman" w:hAnsi="Times New Roman" w:cs="Times New Roman"/>
          <w:sz w:val="24"/>
          <w:szCs w:val="24"/>
        </w:rPr>
        <w:t xml:space="preserve">. </w:t>
      </w:r>
    </w:p>
    <w:p w:rsidR="00A32592" w:rsidRDefault="00A32592" w:rsidP="00644F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denied the charges. He told the court that he never improperly reversed any credit to any customer’s account nor did he improperly credit </w:t>
      </w:r>
      <w:r w:rsidR="00363CC7">
        <w:rPr>
          <w:rFonts w:ascii="Times New Roman" w:hAnsi="Times New Roman" w:cs="Times New Roman"/>
          <w:sz w:val="24"/>
          <w:szCs w:val="24"/>
        </w:rPr>
        <w:t>UME’s</w:t>
      </w:r>
      <w:r>
        <w:rPr>
          <w:rFonts w:ascii="Times New Roman" w:hAnsi="Times New Roman" w:cs="Times New Roman"/>
          <w:sz w:val="24"/>
          <w:szCs w:val="24"/>
        </w:rPr>
        <w:t xml:space="preserve"> account with the reversed amounts. The owner of</w:t>
      </w:r>
      <w:r w:rsidR="00FC29A5">
        <w:rPr>
          <w:rFonts w:ascii="Times New Roman" w:hAnsi="Times New Roman" w:cs="Times New Roman"/>
          <w:sz w:val="24"/>
          <w:szCs w:val="24"/>
        </w:rPr>
        <w:t xml:space="preserve"> UME</w:t>
      </w:r>
      <w:r>
        <w:rPr>
          <w:rFonts w:ascii="Times New Roman" w:hAnsi="Times New Roman" w:cs="Times New Roman"/>
          <w:sz w:val="24"/>
          <w:szCs w:val="24"/>
        </w:rPr>
        <w:t xml:space="preserve"> denied any collusion with the appellant and told the trial court that he only signed the acknowledgment of debt on the assumption that he would resume trading.</w:t>
      </w:r>
    </w:p>
    <w:p w:rsidR="00A32592" w:rsidRDefault="00A32592" w:rsidP="00644F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hearing evidence of both the State and defence the lower court </w:t>
      </w:r>
      <w:r w:rsidR="00B41BBF" w:rsidRPr="00B41BBF">
        <w:rPr>
          <w:rFonts w:ascii="Times New Roman" w:hAnsi="Times New Roman" w:cs="Times New Roman"/>
          <w:sz w:val="24"/>
          <w:szCs w:val="24"/>
        </w:rPr>
        <w:t>acquitted</w:t>
      </w:r>
      <w:r>
        <w:rPr>
          <w:rFonts w:ascii="Times New Roman" w:hAnsi="Times New Roman" w:cs="Times New Roman"/>
          <w:sz w:val="24"/>
          <w:szCs w:val="24"/>
        </w:rPr>
        <w:t xml:space="preserve"> appellant’s co-accused who was his assistant on lack of evidence against him. The trial court could not believe the evidence of Liberty Kanyama in relation to appellant</w:t>
      </w:r>
      <w:r w:rsidR="00AC51E8">
        <w:rPr>
          <w:rFonts w:ascii="Times New Roman" w:hAnsi="Times New Roman" w:cs="Times New Roman"/>
          <w:sz w:val="24"/>
          <w:szCs w:val="24"/>
        </w:rPr>
        <w:t xml:space="preserve">’s co-accused. The court </w:t>
      </w:r>
      <w:r w:rsidR="00AC51E8" w:rsidRPr="00AC51E8">
        <w:rPr>
          <w:rFonts w:ascii="Times New Roman" w:hAnsi="Times New Roman" w:cs="Times New Roman"/>
          <w:i/>
          <w:sz w:val="24"/>
          <w:szCs w:val="24"/>
        </w:rPr>
        <w:t>a quo</w:t>
      </w:r>
      <w:r w:rsidR="00AC51E8">
        <w:rPr>
          <w:rFonts w:ascii="Times New Roman" w:hAnsi="Times New Roman" w:cs="Times New Roman"/>
          <w:sz w:val="24"/>
          <w:szCs w:val="24"/>
        </w:rPr>
        <w:t xml:space="preserve"> however concluded that on all the 14 counts which it deemed fraudulent reversals</w:t>
      </w:r>
      <w:r w:rsidR="009D775B">
        <w:rPr>
          <w:rFonts w:ascii="Times New Roman" w:hAnsi="Times New Roman" w:cs="Times New Roman"/>
          <w:sz w:val="24"/>
          <w:szCs w:val="24"/>
        </w:rPr>
        <w:t xml:space="preserve"> the user name was that of T. Mpofu, it was T.</w:t>
      </w:r>
      <w:r w:rsidR="00AC51E8">
        <w:rPr>
          <w:rFonts w:ascii="Times New Roman" w:hAnsi="Times New Roman" w:cs="Times New Roman"/>
          <w:sz w:val="24"/>
          <w:szCs w:val="24"/>
        </w:rPr>
        <w:t xml:space="preserve"> Mpofu who signed the acknowledgment of debts document which reduced appellant’s co-accused’s company </w:t>
      </w:r>
      <w:r w:rsidR="007B639E">
        <w:rPr>
          <w:rFonts w:ascii="Times New Roman" w:hAnsi="Times New Roman" w:cs="Times New Roman"/>
          <w:sz w:val="24"/>
          <w:szCs w:val="24"/>
        </w:rPr>
        <w:t>UME</w:t>
      </w:r>
      <w:r w:rsidR="00AC51E8">
        <w:rPr>
          <w:rFonts w:ascii="Times New Roman" w:hAnsi="Times New Roman" w:cs="Times New Roman"/>
          <w:sz w:val="24"/>
          <w:szCs w:val="24"/>
        </w:rPr>
        <w:t>. The lower court indicated in its judgment that the issue for determination before it was to establish whether the appellant connived to reverse legitimate payments by other customers and then c</w:t>
      </w:r>
      <w:r w:rsidR="00F955D7">
        <w:rPr>
          <w:rFonts w:ascii="Times New Roman" w:hAnsi="Times New Roman" w:cs="Times New Roman"/>
          <w:sz w:val="24"/>
          <w:szCs w:val="24"/>
        </w:rPr>
        <w:t>redit them into UME</w:t>
      </w:r>
      <w:r w:rsidR="00AC51E8">
        <w:rPr>
          <w:rFonts w:ascii="Times New Roman" w:hAnsi="Times New Roman" w:cs="Times New Roman"/>
          <w:sz w:val="24"/>
          <w:szCs w:val="24"/>
        </w:rPr>
        <w:t>’</w:t>
      </w:r>
      <w:r w:rsidR="00F955D7">
        <w:rPr>
          <w:rFonts w:ascii="Times New Roman" w:hAnsi="Times New Roman" w:cs="Times New Roman"/>
          <w:sz w:val="24"/>
          <w:szCs w:val="24"/>
        </w:rPr>
        <w:t>s</w:t>
      </w:r>
      <w:r w:rsidR="00AC51E8">
        <w:rPr>
          <w:rFonts w:ascii="Times New Roman" w:hAnsi="Times New Roman" w:cs="Times New Roman"/>
          <w:sz w:val="24"/>
          <w:szCs w:val="24"/>
        </w:rPr>
        <w:t xml:space="preserve"> account so that its owner would continue to </w:t>
      </w:r>
      <w:r w:rsidR="00AC51E8" w:rsidRPr="00D84827">
        <w:rPr>
          <w:rFonts w:ascii="Times New Roman" w:hAnsi="Times New Roman" w:cs="Times New Roman"/>
          <w:sz w:val="24"/>
          <w:szCs w:val="24"/>
        </w:rPr>
        <w:t>receive</w:t>
      </w:r>
      <w:r w:rsidR="00AC51E8">
        <w:rPr>
          <w:rFonts w:ascii="Times New Roman" w:hAnsi="Times New Roman" w:cs="Times New Roman"/>
          <w:sz w:val="24"/>
          <w:szCs w:val="24"/>
        </w:rPr>
        <w:t xml:space="preserve"> products from the complainant </w:t>
      </w:r>
      <w:r w:rsidR="00AC51E8" w:rsidRPr="00D84827">
        <w:rPr>
          <w:rFonts w:ascii="Times New Roman" w:hAnsi="Times New Roman" w:cs="Times New Roman"/>
          <w:sz w:val="24"/>
          <w:szCs w:val="24"/>
        </w:rPr>
        <w:t>as</w:t>
      </w:r>
      <w:r w:rsidR="00AC51E8">
        <w:rPr>
          <w:rFonts w:ascii="Times New Roman" w:hAnsi="Times New Roman" w:cs="Times New Roman"/>
          <w:sz w:val="24"/>
          <w:szCs w:val="24"/>
        </w:rPr>
        <w:t xml:space="preserve"> if the account was well serviced.</w:t>
      </w:r>
    </w:p>
    <w:p w:rsidR="00AC51E8" w:rsidRDefault="00AC51E8" w:rsidP="00644F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absolving the appellant’s co-accused, the debtors clerk, the lower court concluded that Liberty Kanyama was not a </w:t>
      </w:r>
      <w:r w:rsidR="006572E7">
        <w:rPr>
          <w:rFonts w:ascii="Times New Roman" w:hAnsi="Times New Roman" w:cs="Times New Roman"/>
          <w:sz w:val="24"/>
          <w:szCs w:val="24"/>
        </w:rPr>
        <w:t xml:space="preserve">handwriting expert who is qualified to comment on the similarities of signatures. The lower court added that (on p 12 of the record) the evidence of a mere signature affixed to a document is not enough to conclude that the debtors’ clerk was in </w:t>
      </w:r>
      <w:r w:rsidR="00D84827">
        <w:rPr>
          <w:rFonts w:ascii="Times New Roman" w:hAnsi="Times New Roman" w:cs="Times New Roman"/>
          <w:sz w:val="24"/>
          <w:szCs w:val="24"/>
        </w:rPr>
        <w:t>conniv</w:t>
      </w:r>
      <w:r w:rsidR="006572E7">
        <w:rPr>
          <w:rFonts w:ascii="Times New Roman" w:hAnsi="Times New Roman" w:cs="Times New Roman"/>
          <w:sz w:val="24"/>
          <w:szCs w:val="24"/>
        </w:rPr>
        <w:t xml:space="preserve">ance with the appellant who did the actual reversal with his user name. The lower court </w:t>
      </w:r>
      <w:r w:rsidR="006572E7">
        <w:rPr>
          <w:rFonts w:ascii="Times New Roman" w:hAnsi="Times New Roman" w:cs="Times New Roman"/>
          <w:sz w:val="24"/>
          <w:szCs w:val="24"/>
        </w:rPr>
        <w:lastRenderedPageBreak/>
        <w:t xml:space="preserve">concluded in respect of debtor’s clerk that the evidence of the State was speculative and it acquitted the appellant’s co-accused on that basis. With regards to the appellant the lower court concluded that the user name T. Mpofu was used to do all the fourteen fraudulent reversals. Appellant disowned the user name stating that he never used that user name and did not belong to him, his user name was Thabo Mpofu. </w:t>
      </w:r>
    </w:p>
    <w:p w:rsidR="009D775B" w:rsidRDefault="009D775B" w:rsidP="00644F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lower court also remarked in co</w:t>
      </w:r>
      <w:r w:rsidR="007E61FE">
        <w:rPr>
          <w:rFonts w:ascii="Times New Roman" w:hAnsi="Times New Roman" w:cs="Times New Roman"/>
          <w:sz w:val="24"/>
          <w:szCs w:val="24"/>
        </w:rPr>
        <w:t>nclusion that all the audit trai</w:t>
      </w:r>
      <w:r>
        <w:rPr>
          <w:rFonts w:ascii="Times New Roman" w:hAnsi="Times New Roman" w:cs="Times New Roman"/>
          <w:sz w:val="24"/>
          <w:szCs w:val="24"/>
        </w:rPr>
        <w:t xml:space="preserve">l documents produced from the complainant company, none of those papers reflected “Thabo Mpofu” as the user name. The lower court believed the Finance Manager Mr Liberty Kanyama’s evidence that T. Mpofu was appellant’s user name. The signatures on the reduction of </w:t>
      </w:r>
      <w:r w:rsidR="00F955D7">
        <w:rPr>
          <w:rFonts w:ascii="Times New Roman" w:hAnsi="Times New Roman" w:cs="Times New Roman"/>
          <w:sz w:val="24"/>
          <w:szCs w:val="24"/>
        </w:rPr>
        <w:t>UME’s</w:t>
      </w:r>
      <w:r>
        <w:rPr>
          <w:rFonts w:ascii="Times New Roman" w:hAnsi="Times New Roman" w:cs="Times New Roman"/>
          <w:sz w:val="24"/>
          <w:szCs w:val="24"/>
        </w:rPr>
        <w:t xml:space="preserve"> balance was identified as authentic by the lower court and the appellant was convicted on all 14 counts of fraud. The denial of both the user name T. Mpofu as well as the signature by the appellant were rejected by the court </w:t>
      </w:r>
      <w:r w:rsidRPr="009D775B">
        <w:rPr>
          <w:rFonts w:ascii="Times New Roman" w:hAnsi="Times New Roman" w:cs="Times New Roman"/>
          <w:i/>
          <w:sz w:val="24"/>
          <w:szCs w:val="24"/>
        </w:rPr>
        <w:t>a quo</w:t>
      </w:r>
      <w:r>
        <w:rPr>
          <w:rFonts w:ascii="Times New Roman" w:hAnsi="Times New Roman" w:cs="Times New Roman"/>
          <w:sz w:val="24"/>
          <w:szCs w:val="24"/>
        </w:rPr>
        <w:t xml:space="preserve">. The owner </w:t>
      </w:r>
      <w:r w:rsidR="0010119C">
        <w:rPr>
          <w:rFonts w:ascii="Times New Roman" w:hAnsi="Times New Roman" w:cs="Times New Roman"/>
          <w:sz w:val="24"/>
          <w:szCs w:val="24"/>
        </w:rPr>
        <w:t>of UME</w:t>
      </w:r>
      <w:r>
        <w:rPr>
          <w:rFonts w:ascii="Times New Roman" w:hAnsi="Times New Roman" w:cs="Times New Roman"/>
          <w:sz w:val="24"/>
          <w:szCs w:val="24"/>
        </w:rPr>
        <w:t xml:space="preserve"> was also convicted by the lower court. </w:t>
      </w:r>
    </w:p>
    <w:p w:rsidR="009D775B" w:rsidRPr="00307DAE" w:rsidRDefault="009D775B" w:rsidP="009D775B">
      <w:pPr>
        <w:spacing w:after="0" w:line="360" w:lineRule="auto"/>
        <w:jc w:val="both"/>
        <w:rPr>
          <w:rFonts w:ascii="Times New Roman" w:hAnsi="Times New Roman" w:cs="Times New Roman"/>
          <w:sz w:val="24"/>
          <w:szCs w:val="24"/>
          <w:u w:val="single"/>
        </w:rPr>
      </w:pPr>
      <w:r w:rsidRPr="00307DAE">
        <w:rPr>
          <w:rFonts w:ascii="Times New Roman" w:hAnsi="Times New Roman" w:cs="Times New Roman"/>
          <w:sz w:val="24"/>
          <w:szCs w:val="24"/>
          <w:u w:val="single"/>
        </w:rPr>
        <w:t>GROUNDS OF APPEAL AGAINST CONVICTION</w:t>
      </w:r>
    </w:p>
    <w:p w:rsidR="009D775B" w:rsidRDefault="009D775B" w:rsidP="009D775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5362CC">
        <w:rPr>
          <w:rFonts w:ascii="Times New Roman" w:hAnsi="Times New Roman" w:cs="Times New Roman"/>
          <w:i/>
          <w:sz w:val="24"/>
          <w:szCs w:val="24"/>
        </w:rPr>
        <w:t>a quo</w:t>
      </w:r>
      <w:r>
        <w:rPr>
          <w:rFonts w:ascii="Times New Roman" w:hAnsi="Times New Roman" w:cs="Times New Roman"/>
          <w:sz w:val="24"/>
          <w:szCs w:val="24"/>
        </w:rPr>
        <w:t xml:space="preserve"> grossly misdirected itself both on facts and the law by convicting the appellant on count one despite that there was no expert handwriting evidence that the appellant signed the journal that was used to reverse a genuine </w:t>
      </w:r>
      <w:r w:rsidR="005362CC">
        <w:rPr>
          <w:rFonts w:ascii="Times New Roman" w:hAnsi="Times New Roman" w:cs="Times New Roman"/>
          <w:sz w:val="24"/>
          <w:szCs w:val="24"/>
        </w:rPr>
        <w:t>transaction and to credit Ukuzenzele’s account and debtors confirmation letter.</w:t>
      </w:r>
    </w:p>
    <w:p w:rsidR="005362CC" w:rsidRDefault="005362CC" w:rsidP="009D775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5362CC">
        <w:rPr>
          <w:rFonts w:ascii="Times New Roman" w:hAnsi="Times New Roman" w:cs="Times New Roman"/>
          <w:i/>
          <w:sz w:val="24"/>
          <w:szCs w:val="24"/>
        </w:rPr>
        <w:t>a quo</w:t>
      </w:r>
      <w:r>
        <w:rPr>
          <w:rFonts w:ascii="Times New Roman" w:hAnsi="Times New Roman" w:cs="Times New Roman"/>
          <w:sz w:val="24"/>
          <w:szCs w:val="24"/>
        </w:rPr>
        <w:t xml:space="preserve"> grossly misdirected itself both on facts and the law when it convicted the appellant on counts 2 to 14 despite that the journal allegedly used in reversing genuine transactions and crediting Ukuzenzele’s account were missing and there was no handwriting expert evidence proving that appellant signed the debtors’ confirmation letters and the missing journals. </w:t>
      </w:r>
    </w:p>
    <w:p w:rsidR="005362CC" w:rsidRDefault="005362CC" w:rsidP="009D775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5362CC">
        <w:rPr>
          <w:rFonts w:ascii="Times New Roman" w:hAnsi="Times New Roman" w:cs="Times New Roman"/>
          <w:i/>
          <w:sz w:val="24"/>
          <w:szCs w:val="24"/>
        </w:rPr>
        <w:t>a quo</w:t>
      </w:r>
      <w:r>
        <w:rPr>
          <w:rFonts w:ascii="Times New Roman" w:hAnsi="Times New Roman" w:cs="Times New Roman"/>
          <w:sz w:val="24"/>
          <w:szCs w:val="24"/>
        </w:rPr>
        <w:t xml:space="preserve"> grossly misdirected itself both on facts and the law when it made a finding that the user name that was used to reverse genuine transactions and credit Ukuzenzele’s account belongs to the accused despite that there was no evidence adduced by an I</w:t>
      </w:r>
      <w:r w:rsidR="00E67022">
        <w:rPr>
          <w:rFonts w:ascii="Times New Roman" w:hAnsi="Times New Roman" w:cs="Times New Roman"/>
          <w:sz w:val="24"/>
          <w:szCs w:val="24"/>
        </w:rPr>
        <w:t>T</w:t>
      </w:r>
      <w:r>
        <w:rPr>
          <w:rFonts w:ascii="Times New Roman" w:hAnsi="Times New Roman" w:cs="Times New Roman"/>
          <w:sz w:val="24"/>
          <w:szCs w:val="24"/>
        </w:rPr>
        <w:t xml:space="preserve"> specialist to that effect.</w:t>
      </w:r>
    </w:p>
    <w:p w:rsidR="005362CC" w:rsidRDefault="005362CC" w:rsidP="009D775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B07A88">
        <w:rPr>
          <w:rFonts w:ascii="Times New Roman" w:hAnsi="Times New Roman" w:cs="Times New Roman"/>
          <w:i/>
          <w:sz w:val="24"/>
          <w:szCs w:val="24"/>
        </w:rPr>
        <w:t>a quo</w:t>
      </w:r>
      <w:r>
        <w:rPr>
          <w:rFonts w:ascii="Times New Roman" w:hAnsi="Times New Roman" w:cs="Times New Roman"/>
          <w:sz w:val="24"/>
          <w:szCs w:val="24"/>
        </w:rPr>
        <w:t xml:space="preserve"> grossly misdirected </w:t>
      </w:r>
      <w:r w:rsidR="003015DC">
        <w:rPr>
          <w:rFonts w:ascii="Times New Roman" w:hAnsi="Times New Roman" w:cs="Times New Roman"/>
          <w:sz w:val="24"/>
          <w:szCs w:val="24"/>
        </w:rPr>
        <w:t>itself on the facts and on the law when it made a determination that the user name used in reversing genuine transactions and fraudulently crediting Ukuzenzele’s account was for the appellant despite that there was no sufficient evidence that the said user name had been issued to the appellant.</w:t>
      </w:r>
    </w:p>
    <w:p w:rsidR="001B0DEB" w:rsidRDefault="001B0DEB" w:rsidP="001B0DEB">
      <w:pPr>
        <w:spacing w:after="0" w:line="360" w:lineRule="auto"/>
        <w:ind w:left="720"/>
        <w:jc w:val="both"/>
        <w:rPr>
          <w:rFonts w:ascii="Times New Roman" w:hAnsi="Times New Roman" w:cs="Times New Roman"/>
          <w:sz w:val="24"/>
          <w:szCs w:val="24"/>
        </w:rPr>
      </w:pPr>
    </w:p>
    <w:p w:rsidR="003015DC" w:rsidRPr="001B0DEB" w:rsidRDefault="003015DC" w:rsidP="001B0DEB">
      <w:pPr>
        <w:spacing w:after="0" w:line="360" w:lineRule="auto"/>
        <w:ind w:left="720"/>
        <w:jc w:val="both"/>
        <w:rPr>
          <w:rFonts w:ascii="Times New Roman" w:hAnsi="Times New Roman" w:cs="Times New Roman"/>
          <w:sz w:val="24"/>
          <w:szCs w:val="24"/>
        </w:rPr>
      </w:pPr>
      <w:r w:rsidRPr="001B0DEB">
        <w:rPr>
          <w:rFonts w:ascii="Times New Roman" w:hAnsi="Times New Roman" w:cs="Times New Roman"/>
          <w:sz w:val="24"/>
          <w:szCs w:val="24"/>
        </w:rPr>
        <w:t>The appeal is opposed.</w:t>
      </w:r>
    </w:p>
    <w:p w:rsidR="0010119C" w:rsidRDefault="0010119C" w:rsidP="003015DC">
      <w:pPr>
        <w:pStyle w:val="ListParagraph"/>
        <w:spacing w:after="0" w:line="360" w:lineRule="auto"/>
        <w:ind w:left="1080"/>
        <w:jc w:val="both"/>
        <w:rPr>
          <w:rFonts w:ascii="Times New Roman" w:hAnsi="Times New Roman" w:cs="Times New Roman"/>
          <w:sz w:val="24"/>
          <w:szCs w:val="24"/>
        </w:rPr>
      </w:pPr>
    </w:p>
    <w:p w:rsidR="003015DC" w:rsidRPr="00307DAE" w:rsidRDefault="003015DC" w:rsidP="003015DC">
      <w:pPr>
        <w:spacing w:after="0" w:line="360" w:lineRule="auto"/>
        <w:jc w:val="both"/>
        <w:rPr>
          <w:rFonts w:ascii="Times New Roman" w:hAnsi="Times New Roman" w:cs="Times New Roman"/>
          <w:sz w:val="24"/>
          <w:szCs w:val="24"/>
          <w:u w:val="single"/>
        </w:rPr>
      </w:pPr>
      <w:r w:rsidRPr="00307DAE">
        <w:rPr>
          <w:rFonts w:ascii="Times New Roman" w:hAnsi="Times New Roman" w:cs="Times New Roman"/>
          <w:sz w:val="24"/>
          <w:szCs w:val="24"/>
          <w:u w:val="single"/>
        </w:rPr>
        <w:t>SUBMISSIONS BEFORE THE COURT</w:t>
      </w:r>
    </w:p>
    <w:p w:rsidR="003015DC" w:rsidRDefault="003015DC" w:rsidP="003015DC">
      <w:pPr>
        <w:spacing w:after="0" w:line="360" w:lineRule="auto"/>
        <w:ind w:firstLine="720"/>
        <w:jc w:val="both"/>
        <w:rPr>
          <w:rFonts w:ascii="Times New Roman" w:hAnsi="Times New Roman" w:cs="Times New Roman"/>
          <w:sz w:val="24"/>
          <w:szCs w:val="24"/>
        </w:rPr>
      </w:pPr>
      <w:r w:rsidRPr="003015DC">
        <w:rPr>
          <w:rFonts w:ascii="Times New Roman" w:hAnsi="Times New Roman" w:cs="Times New Roman"/>
          <w:sz w:val="24"/>
          <w:szCs w:val="24"/>
        </w:rPr>
        <w:t xml:space="preserve">Mr </w:t>
      </w:r>
      <w:r w:rsidRPr="003015DC">
        <w:rPr>
          <w:rFonts w:ascii="Times New Roman" w:hAnsi="Times New Roman" w:cs="Times New Roman"/>
          <w:i/>
          <w:sz w:val="24"/>
          <w:szCs w:val="24"/>
        </w:rPr>
        <w:t>C. Chibaya</w:t>
      </w:r>
      <w:r w:rsidRPr="003015DC">
        <w:rPr>
          <w:rFonts w:ascii="Times New Roman" w:hAnsi="Times New Roman" w:cs="Times New Roman"/>
          <w:sz w:val="24"/>
          <w:szCs w:val="24"/>
        </w:rPr>
        <w:t xml:space="preserve"> who appeared for the appellant submitted that the court </w:t>
      </w:r>
      <w:r w:rsidRPr="00B07A88">
        <w:rPr>
          <w:rFonts w:ascii="Times New Roman" w:hAnsi="Times New Roman" w:cs="Times New Roman"/>
          <w:i/>
          <w:sz w:val="24"/>
          <w:szCs w:val="24"/>
        </w:rPr>
        <w:t>a</w:t>
      </w:r>
      <w:r w:rsidR="00B07A88" w:rsidRPr="00B07A88">
        <w:rPr>
          <w:rFonts w:ascii="Times New Roman" w:hAnsi="Times New Roman" w:cs="Times New Roman"/>
          <w:i/>
          <w:sz w:val="24"/>
          <w:szCs w:val="24"/>
        </w:rPr>
        <w:t xml:space="preserve"> </w:t>
      </w:r>
      <w:r w:rsidRPr="00B07A88">
        <w:rPr>
          <w:rFonts w:ascii="Times New Roman" w:hAnsi="Times New Roman" w:cs="Times New Roman"/>
          <w:i/>
          <w:sz w:val="24"/>
          <w:szCs w:val="24"/>
        </w:rPr>
        <w:t>quo</w:t>
      </w:r>
      <w:r w:rsidRPr="003015DC">
        <w:rPr>
          <w:rFonts w:ascii="Times New Roman" w:hAnsi="Times New Roman" w:cs="Times New Roman"/>
          <w:sz w:val="24"/>
          <w:szCs w:val="24"/>
        </w:rPr>
        <w:t xml:space="preserve"> erred in convicting the </w:t>
      </w:r>
      <w:r>
        <w:rPr>
          <w:rFonts w:ascii="Times New Roman" w:hAnsi="Times New Roman" w:cs="Times New Roman"/>
          <w:sz w:val="24"/>
          <w:szCs w:val="24"/>
        </w:rPr>
        <w:t>appellant in the absence of expert handwriting evidence to prove that the signature that signed the journal that was used to reverse a genuine transaction and to credit Ukuzenzele’s account and debtors</w:t>
      </w:r>
      <w:r w:rsidR="0010119C">
        <w:rPr>
          <w:rFonts w:ascii="Times New Roman" w:hAnsi="Times New Roman" w:cs="Times New Roman"/>
          <w:sz w:val="24"/>
          <w:szCs w:val="24"/>
        </w:rPr>
        <w:t>’</w:t>
      </w:r>
      <w:r>
        <w:rPr>
          <w:rFonts w:ascii="Times New Roman" w:hAnsi="Times New Roman" w:cs="Times New Roman"/>
          <w:sz w:val="24"/>
          <w:szCs w:val="24"/>
        </w:rPr>
        <w:t xml:space="preserve"> confirmation </w:t>
      </w:r>
      <w:r w:rsidR="003011C4">
        <w:rPr>
          <w:rFonts w:ascii="Times New Roman" w:hAnsi="Times New Roman" w:cs="Times New Roman"/>
          <w:sz w:val="24"/>
          <w:szCs w:val="24"/>
        </w:rPr>
        <w:t xml:space="preserve">letter was that of the appellant. It was the contention of the appellant’s counsel that under cross-examination Mr Liberty Kanyama conceded that he was not an expert on handwriting and as such he could not be in a better position to testify on the signatures on the journal. Mr Kanyama further made a concession under questioning by the defence that the signatures on the journals were </w:t>
      </w:r>
      <w:r w:rsidR="007C5CC7">
        <w:rPr>
          <w:rFonts w:ascii="Times New Roman" w:hAnsi="Times New Roman" w:cs="Times New Roman"/>
          <w:sz w:val="24"/>
          <w:szCs w:val="24"/>
        </w:rPr>
        <w:t xml:space="preserve">not </w:t>
      </w:r>
      <w:r w:rsidR="003011C4">
        <w:rPr>
          <w:rFonts w:ascii="Times New Roman" w:hAnsi="Times New Roman" w:cs="Times New Roman"/>
          <w:sz w:val="24"/>
          <w:szCs w:val="24"/>
        </w:rPr>
        <w:t xml:space="preserve">scrutinised by an expert, including the signatures on debtor’s confirmation letters in respect of the appellant’s signatures. Whereas the lower court correctly made a finding that Mr Liberty Kanyama was not qualified as a handwriting expert and could not have adduced evidence as to who signed the journal in relation to count 1 where the court acquitted the debtor’s clerk. Once the evidence of Liberty Kanyama was discredited, it was submitted by the appellant, there was no basis for the court </w:t>
      </w:r>
      <w:r w:rsidR="003011C4" w:rsidRPr="003011C4">
        <w:rPr>
          <w:rFonts w:ascii="Times New Roman" w:hAnsi="Times New Roman" w:cs="Times New Roman"/>
          <w:i/>
          <w:sz w:val="24"/>
          <w:szCs w:val="24"/>
        </w:rPr>
        <w:t>a quo</w:t>
      </w:r>
      <w:r w:rsidR="003011C4">
        <w:rPr>
          <w:rFonts w:ascii="Times New Roman" w:hAnsi="Times New Roman" w:cs="Times New Roman"/>
          <w:sz w:val="24"/>
          <w:szCs w:val="24"/>
        </w:rPr>
        <w:t xml:space="preserve"> to convict the appellant on the first count. The appellant added that there was no evidence adduced by the State from a handwriting expert that the debtor’s clerk signed the journal in count 1 and that the appellant signed the debtors</w:t>
      </w:r>
      <w:r w:rsidR="00FA20FE">
        <w:rPr>
          <w:rFonts w:ascii="Times New Roman" w:hAnsi="Times New Roman" w:cs="Times New Roman"/>
          <w:sz w:val="24"/>
          <w:szCs w:val="24"/>
        </w:rPr>
        <w:t>’</w:t>
      </w:r>
      <w:r w:rsidR="003011C4">
        <w:rPr>
          <w:rFonts w:ascii="Times New Roman" w:hAnsi="Times New Roman" w:cs="Times New Roman"/>
          <w:sz w:val="24"/>
          <w:szCs w:val="24"/>
        </w:rPr>
        <w:t xml:space="preserve"> confirmation letter </w:t>
      </w:r>
      <w:r w:rsidR="00CD5D66">
        <w:rPr>
          <w:rFonts w:ascii="Times New Roman" w:hAnsi="Times New Roman" w:cs="Times New Roman"/>
          <w:sz w:val="24"/>
          <w:szCs w:val="24"/>
        </w:rPr>
        <w:t>in count 1.</w:t>
      </w:r>
    </w:p>
    <w:p w:rsidR="00CD5D66" w:rsidRDefault="00CD5D66" w:rsidP="003015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moved this court to acquit him on count 1.</w:t>
      </w:r>
    </w:p>
    <w:p w:rsidR="00CD5D66" w:rsidRDefault="00CD5D66" w:rsidP="003015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counsel also impugned the conviction of the appellant on counts 2 to 14 in light of the </w:t>
      </w:r>
      <w:r w:rsidR="008D5467">
        <w:rPr>
          <w:rFonts w:ascii="Times New Roman" w:hAnsi="Times New Roman" w:cs="Times New Roman"/>
          <w:sz w:val="24"/>
          <w:szCs w:val="24"/>
        </w:rPr>
        <w:t xml:space="preserve">missing </w:t>
      </w:r>
      <w:r>
        <w:rPr>
          <w:rFonts w:ascii="Times New Roman" w:hAnsi="Times New Roman" w:cs="Times New Roman"/>
          <w:sz w:val="24"/>
          <w:szCs w:val="24"/>
        </w:rPr>
        <w:t>journals allegedly used in reversing genuine transactions and crediting Ukuzenzele’s account</w:t>
      </w:r>
      <w:r w:rsidR="005D5307">
        <w:rPr>
          <w:rFonts w:ascii="Times New Roman" w:hAnsi="Times New Roman" w:cs="Times New Roman"/>
          <w:sz w:val="24"/>
          <w:szCs w:val="24"/>
        </w:rPr>
        <w:t>.</w:t>
      </w:r>
      <w:r>
        <w:rPr>
          <w:rFonts w:ascii="Times New Roman" w:hAnsi="Times New Roman" w:cs="Times New Roman"/>
          <w:sz w:val="24"/>
          <w:szCs w:val="24"/>
        </w:rPr>
        <w:t xml:space="preserve"> Those documents produced by the State did not assist the State, it was submitted, because the signatures attributed to the appellant were not proved to be his by an expert to prove as to who precisely signed the debtors</w:t>
      </w:r>
      <w:r w:rsidR="00FA20FE">
        <w:rPr>
          <w:rFonts w:ascii="Times New Roman" w:hAnsi="Times New Roman" w:cs="Times New Roman"/>
          <w:sz w:val="24"/>
          <w:szCs w:val="24"/>
        </w:rPr>
        <w:t>’</w:t>
      </w:r>
      <w:r>
        <w:rPr>
          <w:rFonts w:ascii="Times New Roman" w:hAnsi="Times New Roman" w:cs="Times New Roman"/>
          <w:sz w:val="24"/>
          <w:szCs w:val="24"/>
        </w:rPr>
        <w:t xml:space="preserve"> confirmation </w:t>
      </w:r>
      <w:r w:rsidR="008461F5">
        <w:rPr>
          <w:rFonts w:ascii="Times New Roman" w:hAnsi="Times New Roman" w:cs="Times New Roman"/>
          <w:sz w:val="24"/>
          <w:szCs w:val="24"/>
        </w:rPr>
        <w:t>letters. There was no audit trai</w:t>
      </w:r>
      <w:r>
        <w:rPr>
          <w:rFonts w:ascii="Times New Roman" w:hAnsi="Times New Roman" w:cs="Times New Roman"/>
          <w:sz w:val="24"/>
          <w:szCs w:val="24"/>
        </w:rPr>
        <w:t>l established and produced by the State, only one journal was produced for count 1 and all the other 14 counts’ journals were not produced.</w:t>
      </w:r>
      <w:r w:rsidR="0076334D">
        <w:rPr>
          <w:rFonts w:ascii="Times New Roman" w:hAnsi="Times New Roman" w:cs="Times New Roman"/>
          <w:sz w:val="24"/>
          <w:szCs w:val="24"/>
        </w:rPr>
        <w:t xml:space="preserve"> The missing journals as well as lack of expert handwriting evidence, appellant contended</w:t>
      </w:r>
      <w:r w:rsidR="00E5799B">
        <w:rPr>
          <w:rFonts w:ascii="Times New Roman" w:hAnsi="Times New Roman" w:cs="Times New Roman"/>
          <w:sz w:val="24"/>
          <w:szCs w:val="24"/>
        </w:rPr>
        <w:t>,</w:t>
      </w:r>
      <w:r w:rsidR="0076334D">
        <w:rPr>
          <w:rFonts w:ascii="Times New Roman" w:hAnsi="Times New Roman" w:cs="Times New Roman"/>
          <w:sz w:val="24"/>
          <w:szCs w:val="24"/>
        </w:rPr>
        <w:t xml:space="preserve"> greatly negatively destroyed the strength of the State case against the appellant. The appellant cited the case of </w:t>
      </w:r>
      <w:r w:rsidR="0076334D" w:rsidRPr="00050D7D">
        <w:rPr>
          <w:rFonts w:ascii="Times New Roman" w:hAnsi="Times New Roman" w:cs="Times New Roman"/>
          <w:i/>
          <w:sz w:val="24"/>
          <w:szCs w:val="24"/>
        </w:rPr>
        <w:t>Julias Sisar</w:t>
      </w:r>
      <w:r w:rsidR="0076334D">
        <w:rPr>
          <w:rFonts w:ascii="Times New Roman" w:hAnsi="Times New Roman" w:cs="Times New Roman"/>
          <w:sz w:val="24"/>
          <w:szCs w:val="24"/>
        </w:rPr>
        <w:t xml:space="preserve"> </w:t>
      </w:r>
      <w:r w:rsidR="0076334D" w:rsidRPr="0010119C">
        <w:rPr>
          <w:rFonts w:ascii="Times New Roman" w:hAnsi="Times New Roman" w:cs="Times New Roman"/>
          <w:i/>
          <w:sz w:val="24"/>
          <w:szCs w:val="24"/>
        </w:rPr>
        <w:t>Mupatsi</w:t>
      </w:r>
      <w:r w:rsidR="0076334D">
        <w:rPr>
          <w:rFonts w:ascii="Times New Roman" w:hAnsi="Times New Roman" w:cs="Times New Roman"/>
          <w:sz w:val="24"/>
          <w:szCs w:val="24"/>
        </w:rPr>
        <w:t xml:space="preserve"> v </w:t>
      </w:r>
      <w:r w:rsidR="0076334D" w:rsidRPr="0010119C">
        <w:rPr>
          <w:rFonts w:ascii="Times New Roman" w:hAnsi="Times New Roman" w:cs="Times New Roman"/>
          <w:i/>
          <w:sz w:val="24"/>
          <w:szCs w:val="24"/>
        </w:rPr>
        <w:t>The State</w:t>
      </w:r>
      <w:r w:rsidR="0076334D">
        <w:rPr>
          <w:rStyle w:val="FootnoteReference"/>
          <w:rFonts w:ascii="Times New Roman" w:hAnsi="Times New Roman" w:cs="Times New Roman"/>
          <w:sz w:val="24"/>
          <w:szCs w:val="24"/>
        </w:rPr>
        <w:footnoteReference w:id="1"/>
      </w:r>
      <w:r w:rsidR="0076334D">
        <w:rPr>
          <w:rFonts w:ascii="Times New Roman" w:hAnsi="Times New Roman" w:cs="Times New Roman"/>
          <w:sz w:val="24"/>
          <w:szCs w:val="24"/>
        </w:rPr>
        <w:t xml:space="preserve"> where it was reiterated by this court that no onus rests on an accused to convince the court of the truth of any explanation which he gives. </w:t>
      </w:r>
    </w:p>
    <w:p w:rsidR="0076334D" w:rsidRDefault="0076334D" w:rsidP="003015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was further submitted by the appellant that appellant denied the signatures on the debtors’ confirmation letters and once the State was faced with this defence it was duty </w:t>
      </w:r>
      <w:r w:rsidR="00961FDA">
        <w:rPr>
          <w:rFonts w:ascii="Times New Roman" w:hAnsi="Times New Roman" w:cs="Times New Roman"/>
          <w:sz w:val="24"/>
          <w:szCs w:val="24"/>
        </w:rPr>
        <w:t>bound to call a handwriting expert.</w:t>
      </w:r>
      <w:r w:rsidR="00961FDA">
        <w:rPr>
          <w:rStyle w:val="FootnoteReference"/>
          <w:rFonts w:ascii="Times New Roman" w:hAnsi="Times New Roman" w:cs="Times New Roman"/>
          <w:sz w:val="24"/>
          <w:szCs w:val="24"/>
        </w:rPr>
        <w:footnoteReference w:id="2"/>
      </w:r>
    </w:p>
    <w:p w:rsidR="00961FDA" w:rsidRDefault="00961FDA" w:rsidP="003015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submitted further that the lower court ought not to have made a ruling or finding that the user name used to reverse genuine transactions and credit Ukuzenzele’s account belongs to the appellant. This is so when there was no evidence adduced from an information technology specialist to that effect. The lower court was satisfied by the State’s evidence that T. Mpofu alluded to the appellant and no one else, it was submitted, and by so doing, appellant submitted the court </w:t>
      </w:r>
      <w:r w:rsidRPr="00961FDA">
        <w:rPr>
          <w:rFonts w:ascii="Times New Roman" w:hAnsi="Times New Roman" w:cs="Times New Roman"/>
          <w:i/>
          <w:sz w:val="24"/>
          <w:szCs w:val="24"/>
        </w:rPr>
        <w:t>a quo</w:t>
      </w:r>
      <w:r>
        <w:rPr>
          <w:rFonts w:ascii="Times New Roman" w:hAnsi="Times New Roman" w:cs="Times New Roman"/>
          <w:sz w:val="24"/>
          <w:szCs w:val="24"/>
        </w:rPr>
        <w:t xml:space="preserve"> misdirected itself on both facts and the law. Mr Liberty Kanyama wa</w:t>
      </w:r>
      <w:r w:rsidR="00CA25D8">
        <w:rPr>
          <w:rFonts w:ascii="Times New Roman" w:hAnsi="Times New Roman" w:cs="Times New Roman"/>
          <w:sz w:val="24"/>
          <w:szCs w:val="24"/>
        </w:rPr>
        <w:t>s</w:t>
      </w:r>
      <w:r>
        <w:rPr>
          <w:rFonts w:ascii="Times New Roman" w:hAnsi="Times New Roman" w:cs="Times New Roman"/>
          <w:sz w:val="24"/>
          <w:szCs w:val="24"/>
        </w:rPr>
        <w:t xml:space="preserve"> not</w:t>
      </w:r>
      <w:r w:rsidR="00355766">
        <w:rPr>
          <w:rFonts w:ascii="Times New Roman" w:hAnsi="Times New Roman" w:cs="Times New Roman"/>
          <w:sz w:val="24"/>
          <w:szCs w:val="24"/>
        </w:rPr>
        <w:t xml:space="preserve"> from IT</w:t>
      </w:r>
      <w:r>
        <w:rPr>
          <w:rFonts w:ascii="Times New Roman" w:hAnsi="Times New Roman" w:cs="Times New Roman"/>
          <w:sz w:val="24"/>
          <w:szCs w:val="24"/>
        </w:rPr>
        <w:t xml:space="preserve"> department </w:t>
      </w:r>
      <w:r w:rsidR="00AA6010">
        <w:rPr>
          <w:rFonts w:ascii="Times New Roman" w:hAnsi="Times New Roman" w:cs="Times New Roman"/>
          <w:sz w:val="24"/>
          <w:szCs w:val="24"/>
        </w:rPr>
        <w:t>of complainant, it was averred by the appellant. The appellant submitted further that the conviction o</w:t>
      </w:r>
      <w:r w:rsidR="006607A9">
        <w:rPr>
          <w:rFonts w:ascii="Times New Roman" w:hAnsi="Times New Roman" w:cs="Times New Roman"/>
          <w:sz w:val="24"/>
          <w:szCs w:val="24"/>
        </w:rPr>
        <w:t>f the appellant was not proper i</w:t>
      </w:r>
      <w:r w:rsidR="00AA6010">
        <w:rPr>
          <w:rFonts w:ascii="Times New Roman" w:hAnsi="Times New Roman" w:cs="Times New Roman"/>
          <w:sz w:val="24"/>
          <w:szCs w:val="24"/>
        </w:rPr>
        <w:t xml:space="preserve">n the absence of this further expert evidence on technology. </w:t>
      </w:r>
      <w:r w:rsidR="004D1CDB">
        <w:rPr>
          <w:rFonts w:ascii="Times New Roman" w:hAnsi="Times New Roman" w:cs="Times New Roman"/>
          <w:sz w:val="24"/>
          <w:szCs w:val="24"/>
        </w:rPr>
        <w:t>Fungai Makombe did not work for complainant’s company</w:t>
      </w:r>
      <w:r w:rsidR="00800F45">
        <w:rPr>
          <w:rFonts w:ascii="Times New Roman" w:hAnsi="Times New Roman" w:cs="Times New Roman"/>
          <w:sz w:val="24"/>
          <w:szCs w:val="24"/>
        </w:rPr>
        <w:t>’s IT department</w:t>
      </w:r>
      <w:r w:rsidR="004D1CDB">
        <w:rPr>
          <w:rFonts w:ascii="Times New Roman" w:hAnsi="Times New Roman" w:cs="Times New Roman"/>
          <w:sz w:val="24"/>
          <w:szCs w:val="24"/>
        </w:rPr>
        <w:t xml:space="preserve">, and it remains clear that the user name T. Mpofu’s origin was </w:t>
      </w:r>
      <w:r w:rsidR="001D141E">
        <w:rPr>
          <w:rFonts w:ascii="Times New Roman" w:hAnsi="Times New Roman" w:cs="Times New Roman"/>
          <w:sz w:val="24"/>
          <w:szCs w:val="24"/>
        </w:rPr>
        <w:t xml:space="preserve">not </w:t>
      </w:r>
      <w:r w:rsidR="004D1CDB">
        <w:rPr>
          <w:rFonts w:ascii="Times New Roman" w:hAnsi="Times New Roman" w:cs="Times New Roman"/>
          <w:sz w:val="24"/>
          <w:szCs w:val="24"/>
        </w:rPr>
        <w:t xml:space="preserve">proved by the State. The lower court, it was submitted, should </w:t>
      </w:r>
      <w:r w:rsidR="008F1994">
        <w:rPr>
          <w:rFonts w:ascii="Times New Roman" w:hAnsi="Times New Roman" w:cs="Times New Roman"/>
          <w:sz w:val="24"/>
          <w:szCs w:val="24"/>
        </w:rPr>
        <w:t xml:space="preserve">not </w:t>
      </w:r>
      <w:r w:rsidR="004D1CDB">
        <w:rPr>
          <w:rFonts w:ascii="Times New Roman" w:hAnsi="Times New Roman" w:cs="Times New Roman"/>
          <w:sz w:val="24"/>
          <w:szCs w:val="24"/>
        </w:rPr>
        <w:t xml:space="preserve">have believed Liberty </w:t>
      </w:r>
      <w:proofErr w:type="spellStart"/>
      <w:r w:rsidR="004D1CDB">
        <w:rPr>
          <w:rFonts w:ascii="Times New Roman" w:hAnsi="Times New Roman" w:cs="Times New Roman"/>
          <w:sz w:val="24"/>
          <w:szCs w:val="24"/>
        </w:rPr>
        <w:t>Kanyama</w:t>
      </w:r>
      <w:proofErr w:type="spellEnd"/>
      <w:r w:rsidR="004D1CDB">
        <w:rPr>
          <w:rFonts w:ascii="Times New Roman" w:hAnsi="Times New Roman" w:cs="Times New Roman"/>
          <w:sz w:val="24"/>
          <w:szCs w:val="24"/>
        </w:rPr>
        <w:t xml:space="preserve"> the Finance Manager’s mere say so that the user name T. Mpofu belongs to the appellant. The appellant further averred that he has no onus to prove that his user name was not T. Mpofu. It was the complainant’</w:t>
      </w:r>
      <w:r w:rsidR="0038691D">
        <w:rPr>
          <w:rFonts w:ascii="Times New Roman" w:hAnsi="Times New Roman" w:cs="Times New Roman"/>
          <w:sz w:val="24"/>
          <w:szCs w:val="24"/>
        </w:rPr>
        <w:t>s IT</w:t>
      </w:r>
      <w:r w:rsidR="004D1CDB">
        <w:rPr>
          <w:rFonts w:ascii="Times New Roman" w:hAnsi="Times New Roman" w:cs="Times New Roman"/>
          <w:sz w:val="24"/>
          <w:szCs w:val="24"/>
        </w:rPr>
        <w:t xml:space="preserve"> department which was responsible with the issuance of user names and passwords and the lack of evidence</w:t>
      </w:r>
      <w:r w:rsidR="00A47A4F">
        <w:rPr>
          <w:rFonts w:ascii="Times New Roman" w:hAnsi="Times New Roman" w:cs="Times New Roman"/>
          <w:sz w:val="24"/>
          <w:szCs w:val="24"/>
        </w:rPr>
        <w:t xml:space="preserve"> from IT </w:t>
      </w:r>
      <w:r w:rsidR="004D1CDB">
        <w:rPr>
          <w:rFonts w:ascii="Times New Roman" w:hAnsi="Times New Roman" w:cs="Times New Roman"/>
          <w:sz w:val="24"/>
          <w:szCs w:val="24"/>
        </w:rPr>
        <w:t>department places the State case into jeopardy, it was submitted by the appellant. The same argument is attributed to the reversal of genuine transactions.</w:t>
      </w:r>
    </w:p>
    <w:p w:rsidR="00CA25D8" w:rsidRDefault="00CA25D8" w:rsidP="003015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contended that the user name T. Mpofu was not proved in the lower court to have been allocated to him. The witness called by the State Liberty Kanyama was n</w:t>
      </w:r>
      <w:r w:rsidR="008F5E20">
        <w:rPr>
          <w:rFonts w:ascii="Times New Roman" w:hAnsi="Times New Roman" w:cs="Times New Roman"/>
          <w:sz w:val="24"/>
          <w:szCs w:val="24"/>
        </w:rPr>
        <w:t>ot an IT</w:t>
      </w:r>
      <w:r>
        <w:rPr>
          <w:rFonts w:ascii="Times New Roman" w:hAnsi="Times New Roman" w:cs="Times New Roman"/>
          <w:sz w:val="24"/>
          <w:szCs w:val="24"/>
        </w:rPr>
        <w:t xml:space="preserve"> expert and was not qualified to state that T. Mpofu user name related to the appellant. It was added by the appellant that there was no evidence adduced by the State that T. Mpofu user name was issued </w:t>
      </w:r>
      <w:r w:rsidR="00917F7D">
        <w:rPr>
          <w:rFonts w:ascii="Times New Roman" w:hAnsi="Times New Roman" w:cs="Times New Roman"/>
          <w:sz w:val="24"/>
          <w:szCs w:val="24"/>
        </w:rPr>
        <w:t xml:space="preserve">to </w:t>
      </w:r>
      <w:r>
        <w:rPr>
          <w:rFonts w:ascii="Times New Roman" w:hAnsi="Times New Roman" w:cs="Times New Roman"/>
          <w:sz w:val="24"/>
          <w:szCs w:val="24"/>
        </w:rPr>
        <w:t>the appellant b</w:t>
      </w:r>
      <w:r w:rsidR="00255308">
        <w:rPr>
          <w:rFonts w:ascii="Times New Roman" w:hAnsi="Times New Roman" w:cs="Times New Roman"/>
          <w:sz w:val="24"/>
          <w:szCs w:val="24"/>
        </w:rPr>
        <w:t>y the IT</w:t>
      </w:r>
      <w:r>
        <w:rPr>
          <w:rFonts w:ascii="Times New Roman" w:hAnsi="Times New Roman" w:cs="Times New Roman"/>
          <w:sz w:val="24"/>
          <w:szCs w:val="24"/>
        </w:rPr>
        <w:t xml:space="preserve"> department of </w:t>
      </w:r>
      <w:r w:rsidR="00111403">
        <w:rPr>
          <w:rFonts w:ascii="Times New Roman" w:hAnsi="Times New Roman" w:cs="Times New Roman"/>
          <w:sz w:val="24"/>
          <w:szCs w:val="24"/>
        </w:rPr>
        <w:t>c</w:t>
      </w:r>
      <w:r>
        <w:rPr>
          <w:rFonts w:ascii="Times New Roman" w:hAnsi="Times New Roman" w:cs="Times New Roman"/>
          <w:sz w:val="24"/>
          <w:szCs w:val="24"/>
        </w:rPr>
        <w:t>o</w:t>
      </w:r>
      <w:r w:rsidR="00111403">
        <w:rPr>
          <w:rFonts w:ascii="Times New Roman" w:hAnsi="Times New Roman" w:cs="Times New Roman"/>
          <w:sz w:val="24"/>
          <w:szCs w:val="24"/>
        </w:rPr>
        <w:t>mplainant c</w:t>
      </w:r>
      <w:r>
        <w:rPr>
          <w:rFonts w:ascii="Times New Roman" w:hAnsi="Times New Roman" w:cs="Times New Roman"/>
          <w:sz w:val="24"/>
          <w:szCs w:val="24"/>
        </w:rPr>
        <w:t>ompany.</w:t>
      </w:r>
    </w:p>
    <w:p w:rsidR="00CA25D8" w:rsidRDefault="00CA25D8" w:rsidP="003015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represented by Mrs </w:t>
      </w:r>
      <w:r w:rsidRPr="0010119C">
        <w:rPr>
          <w:rFonts w:ascii="Times New Roman" w:hAnsi="Times New Roman" w:cs="Times New Roman"/>
          <w:i/>
          <w:sz w:val="24"/>
          <w:szCs w:val="24"/>
        </w:rPr>
        <w:t>J Matsikidze</w:t>
      </w:r>
      <w:r>
        <w:rPr>
          <w:rFonts w:ascii="Times New Roman" w:hAnsi="Times New Roman" w:cs="Times New Roman"/>
          <w:sz w:val="24"/>
          <w:szCs w:val="24"/>
        </w:rPr>
        <w:t xml:space="preserve"> submitted that the lower court did not misdirect itself in any way whether on facts </w:t>
      </w:r>
      <w:r w:rsidR="005C1448">
        <w:rPr>
          <w:rFonts w:ascii="Times New Roman" w:hAnsi="Times New Roman" w:cs="Times New Roman"/>
          <w:sz w:val="24"/>
          <w:szCs w:val="24"/>
        </w:rPr>
        <w:t>n</w:t>
      </w:r>
      <w:r>
        <w:rPr>
          <w:rFonts w:ascii="Times New Roman" w:hAnsi="Times New Roman" w:cs="Times New Roman"/>
          <w:sz w:val="24"/>
          <w:szCs w:val="24"/>
        </w:rPr>
        <w:t>or law in convicting the appellant. The State submitted further that the user name T. Mpofu was not proved to belong to any other employee other than the appellant. The State further submitted that Liberty Kanyama testified that T. Mpofu was the appellant’s user name, and in such a situation there was no need for additional evi</w:t>
      </w:r>
      <w:r w:rsidR="00255308">
        <w:rPr>
          <w:rFonts w:ascii="Times New Roman" w:hAnsi="Times New Roman" w:cs="Times New Roman"/>
          <w:sz w:val="24"/>
          <w:szCs w:val="24"/>
        </w:rPr>
        <w:t>dence from the IT</w:t>
      </w:r>
      <w:r>
        <w:rPr>
          <w:rFonts w:ascii="Times New Roman" w:hAnsi="Times New Roman" w:cs="Times New Roman"/>
          <w:sz w:val="24"/>
          <w:szCs w:val="24"/>
        </w:rPr>
        <w:t xml:space="preserve"> department since it was common knowledge at the company. </w:t>
      </w:r>
      <w:r w:rsidR="00EA65C4">
        <w:rPr>
          <w:rFonts w:ascii="Times New Roman" w:hAnsi="Times New Roman" w:cs="Times New Roman"/>
          <w:sz w:val="24"/>
          <w:szCs w:val="24"/>
        </w:rPr>
        <w:t xml:space="preserve">As a result </w:t>
      </w:r>
      <w:r w:rsidR="00EA65C4">
        <w:rPr>
          <w:rFonts w:ascii="Times New Roman" w:hAnsi="Times New Roman" w:cs="Times New Roman"/>
          <w:sz w:val="24"/>
          <w:szCs w:val="24"/>
        </w:rPr>
        <w:lastRenderedPageBreak/>
        <w:t xml:space="preserve">it was the State’s view that it was the appellant who effected the reversals for the benefit of Ukuzenzele’s director. </w:t>
      </w:r>
    </w:p>
    <w:p w:rsidR="00EA65C4" w:rsidRDefault="00EA65C4" w:rsidP="003015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also the contention of the respondent that the appellant does not say that the irregularities that happened affected various individuals but benefited a si</w:t>
      </w:r>
      <w:r w:rsidR="001E708E">
        <w:rPr>
          <w:rFonts w:ascii="Times New Roman" w:hAnsi="Times New Roman" w:cs="Times New Roman"/>
          <w:sz w:val="24"/>
          <w:szCs w:val="24"/>
        </w:rPr>
        <w:t>ngle account holder who made no</w:t>
      </w:r>
      <w:r>
        <w:rPr>
          <w:rFonts w:ascii="Times New Roman" w:hAnsi="Times New Roman" w:cs="Times New Roman"/>
          <w:sz w:val="24"/>
          <w:szCs w:val="24"/>
        </w:rPr>
        <w:t xml:space="preserve"> payments but acknowledged reduction of indebtedness. </w:t>
      </w:r>
    </w:p>
    <w:p w:rsidR="00EA65C4" w:rsidRDefault="00EA65C4" w:rsidP="003015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also averred that the lower court was satisfied </w:t>
      </w:r>
      <w:r w:rsidR="00C1321D">
        <w:rPr>
          <w:rFonts w:ascii="Times New Roman" w:hAnsi="Times New Roman" w:cs="Times New Roman"/>
          <w:sz w:val="24"/>
          <w:szCs w:val="24"/>
        </w:rPr>
        <w:t xml:space="preserve">that </w:t>
      </w:r>
      <w:r>
        <w:rPr>
          <w:rFonts w:ascii="Times New Roman" w:hAnsi="Times New Roman" w:cs="Times New Roman"/>
          <w:sz w:val="24"/>
          <w:szCs w:val="24"/>
        </w:rPr>
        <w:t>it was not only improbable bu</w:t>
      </w:r>
      <w:r w:rsidR="0010119C">
        <w:rPr>
          <w:rFonts w:ascii="Times New Roman" w:hAnsi="Times New Roman" w:cs="Times New Roman"/>
          <w:sz w:val="24"/>
          <w:szCs w:val="24"/>
        </w:rPr>
        <w:t>t</w:t>
      </w:r>
      <w:r>
        <w:rPr>
          <w:rFonts w:ascii="Times New Roman" w:hAnsi="Times New Roman" w:cs="Times New Roman"/>
          <w:sz w:val="24"/>
          <w:szCs w:val="24"/>
        </w:rPr>
        <w:t xml:space="preserve"> patently false that complainant’s system was malfunctioned in a manner that prejudiced some account holders and benefitted only Ukuzenzele. </w:t>
      </w:r>
    </w:p>
    <w:p w:rsidR="00EA65C4" w:rsidRDefault="00EA65C4" w:rsidP="003015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aspect of the signature and the calling of an expert in handwriting the State counsel </w:t>
      </w:r>
      <w:r w:rsidR="005B0659">
        <w:rPr>
          <w:rFonts w:ascii="Times New Roman" w:hAnsi="Times New Roman" w:cs="Times New Roman"/>
          <w:sz w:val="24"/>
          <w:szCs w:val="24"/>
        </w:rPr>
        <w:t>submitted that the evidence of L</w:t>
      </w:r>
      <w:r>
        <w:rPr>
          <w:rFonts w:ascii="Times New Roman" w:hAnsi="Times New Roman" w:cs="Times New Roman"/>
          <w:sz w:val="24"/>
          <w:szCs w:val="24"/>
        </w:rPr>
        <w:t xml:space="preserve">iberty </w:t>
      </w:r>
      <w:proofErr w:type="spellStart"/>
      <w:r>
        <w:rPr>
          <w:rFonts w:ascii="Times New Roman" w:hAnsi="Times New Roman" w:cs="Times New Roman"/>
          <w:sz w:val="24"/>
          <w:szCs w:val="24"/>
        </w:rPr>
        <w:t>Kanyama</w:t>
      </w:r>
      <w:proofErr w:type="spellEnd"/>
      <w:r>
        <w:rPr>
          <w:rFonts w:ascii="Times New Roman" w:hAnsi="Times New Roman" w:cs="Times New Roman"/>
          <w:sz w:val="24"/>
          <w:szCs w:val="24"/>
        </w:rPr>
        <w:t xml:space="preserve"> was adequate. She cited the matter of </w:t>
      </w:r>
      <w:proofErr w:type="spellStart"/>
      <w:r w:rsidR="00B15923" w:rsidRPr="00B15923">
        <w:rPr>
          <w:rFonts w:ascii="Times New Roman" w:hAnsi="Times New Roman" w:cs="Times New Roman"/>
          <w:i/>
          <w:sz w:val="24"/>
          <w:szCs w:val="24"/>
        </w:rPr>
        <w:t>Manolakakis</w:t>
      </w:r>
      <w:proofErr w:type="spellEnd"/>
      <w:r w:rsidR="00B15923">
        <w:rPr>
          <w:rFonts w:ascii="Times New Roman" w:hAnsi="Times New Roman" w:cs="Times New Roman"/>
          <w:sz w:val="24"/>
          <w:szCs w:val="24"/>
        </w:rPr>
        <w:t xml:space="preserve"> v </w:t>
      </w:r>
      <w:r w:rsidR="0079550D">
        <w:rPr>
          <w:rFonts w:ascii="Times New Roman" w:hAnsi="Times New Roman" w:cs="Times New Roman"/>
          <w:i/>
          <w:sz w:val="24"/>
          <w:szCs w:val="24"/>
        </w:rPr>
        <w:t xml:space="preserve">Estate </w:t>
      </w:r>
      <w:proofErr w:type="spellStart"/>
      <w:r w:rsidR="0079550D">
        <w:rPr>
          <w:rFonts w:ascii="Times New Roman" w:hAnsi="Times New Roman" w:cs="Times New Roman"/>
          <w:i/>
          <w:sz w:val="24"/>
          <w:szCs w:val="24"/>
        </w:rPr>
        <w:t>Manolaka</w:t>
      </w:r>
      <w:r w:rsidR="00B15923">
        <w:rPr>
          <w:rFonts w:ascii="Times New Roman" w:hAnsi="Times New Roman" w:cs="Times New Roman"/>
          <w:i/>
          <w:sz w:val="24"/>
          <w:szCs w:val="24"/>
        </w:rPr>
        <w:t>kis</w:t>
      </w:r>
      <w:proofErr w:type="spellEnd"/>
      <w:r w:rsidR="00B15923">
        <w:rPr>
          <w:rFonts w:ascii="Times New Roman" w:hAnsi="Times New Roman" w:cs="Times New Roman"/>
          <w:i/>
          <w:sz w:val="24"/>
          <w:szCs w:val="24"/>
        </w:rPr>
        <w:t xml:space="preserve"> and O</w:t>
      </w:r>
      <w:r w:rsidR="00B15923" w:rsidRPr="00B15923">
        <w:rPr>
          <w:rFonts w:ascii="Times New Roman" w:hAnsi="Times New Roman" w:cs="Times New Roman"/>
          <w:i/>
          <w:sz w:val="24"/>
          <w:szCs w:val="24"/>
        </w:rPr>
        <w:t>ther</w:t>
      </w:r>
      <w:r w:rsidR="00B15923">
        <w:rPr>
          <w:rFonts w:ascii="Times New Roman" w:hAnsi="Times New Roman" w:cs="Times New Roman"/>
          <w:i/>
          <w:sz w:val="24"/>
          <w:szCs w:val="24"/>
        </w:rPr>
        <w:t>s</w:t>
      </w:r>
      <w:r w:rsidR="00B15923">
        <w:rPr>
          <w:rFonts w:ascii="Times New Roman" w:hAnsi="Times New Roman" w:cs="Times New Roman"/>
          <w:sz w:val="24"/>
          <w:szCs w:val="24"/>
        </w:rPr>
        <w:t xml:space="preserve"> (HB 88/13), as such, it was contended, </w:t>
      </w:r>
      <w:proofErr w:type="gramStart"/>
      <w:r w:rsidR="00B15923">
        <w:rPr>
          <w:rFonts w:ascii="Times New Roman" w:hAnsi="Times New Roman" w:cs="Times New Roman"/>
          <w:sz w:val="24"/>
          <w:szCs w:val="24"/>
        </w:rPr>
        <w:t>there</w:t>
      </w:r>
      <w:proofErr w:type="gramEnd"/>
      <w:r w:rsidR="00B15923">
        <w:rPr>
          <w:rFonts w:ascii="Times New Roman" w:hAnsi="Times New Roman" w:cs="Times New Roman"/>
          <w:sz w:val="24"/>
          <w:szCs w:val="24"/>
        </w:rPr>
        <w:t xml:space="preserve"> was no need for the State to call a handwriting expert. Since Liberty Kanyama was familiar to the appellant’s signature.</w:t>
      </w:r>
      <w:r w:rsidR="00B15923">
        <w:rPr>
          <w:rStyle w:val="FootnoteReference"/>
          <w:rFonts w:ascii="Times New Roman" w:hAnsi="Times New Roman" w:cs="Times New Roman"/>
          <w:sz w:val="24"/>
          <w:szCs w:val="24"/>
        </w:rPr>
        <w:footnoteReference w:id="3"/>
      </w:r>
      <w:r w:rsidR="00B15923">
        <w:rPr>
          <w:rFonts w:ascii="Times New Roman" w:hAnsi="Times New Roman" w:cs="Times New Roman"/>
          <w:sz w:val="24"/>
          <w:szCs w:val="24"/>
        </w:rPr>
        <w:t xml:space="preserve"> The respondent added that in light of the familiarity of the appellant’s signa</w:t>
      </w:r>
      <w:r w:rsidR="004F1103">
        <w:rPr>
          <w:rFonts w:ascii="Times New Roman" w:hAnsi="Times New Roman" w:cs="Times New Roman"/>
          <w:sz w:val="24"/>
          <w:szCs w:val="24"/>
        </w:rPr>
        <w:t xml:space="preserve">ture to Liberty </w:t>
      </w:r>
      <w:proofErr w:type="spellStart"/>
      <w:r w:rsidR="004F1103">
        <w:rPr>
          <w:rFonts w:ascii="Times New Roman" w:hAnsi="Times New Roman" w:cs="Times New Roman"/>
          <w:sz w:val="24"/>
          <w:szCs w:val="24"/>
        </w:rPr>
        <w:t>Kanyama</w:t>
      </w:r>
      <w:proofErr w:type="spellEnd"/>
      <w:r w:rsidR="004F1103">
        <w:rPr>
          <w:rFonts w:ascii="Times New Roman" w:hAnsi="Times New Roman" w:cs="Times New Roman"/>
          <w:sz w:val="24"/>
          <w:szCs w:val="24"/>
        </w:rPr>
        <w:t>, there wa</w:t>
      </w:r>
      <w:r w:rsidR="00B15923">
        <w:rPr>
          <w:rFonts w:ascii="Times New Roman" w:hAnsi="Times New Roman" w:cs="Times New Roman"/>
          <w:sz w:val="24"/>
          <w:szCs w:val="24"/>
        </w:rPr>
        <w:t xml:space="preserve">s no anomaly nor misdirection done by the lower court to dispense with the calling of the expert on handwriting. The State prayed that the appeal be dismissed since the proceedings </w:t>
      </w:r>
      <w:r w:rsidR="00B15923" w:rsidRPr="00B15923">
        <w:rPr>
          <w:rFonts w:ascii="Times New Roman" w:hAnsi="Times New Roman" w:cs="Times New Roman"/>
          <w:i/>
          <w:sz w:val="24"/>
          <w:szCs w:val="24"/>
        </w:rPr>
        <w:t>a quo</w:t>
      </w:r>
      <w:r w:rsidR="00B15923">
        <w:rPr>
          <w:rFonts w:ascii="Times New Roman" w:hAnsi="Times New Roman" w:cs="Times New Roman"/>
          <w:sz w:val="24"/>
          <w:szCs w:val="24"/>
        </w:rPr>
        <w:t xml:space="preserve"> were in accordance with the real and substantial justice.</w:t>
      </w:r>
    </w:p>
    <w:p w:rsidR="00B15923" w:rsidRPr="00307DAE" w:rsidRDefault="00B15923" w:rsidP="00B15923">
      <w:pPr>
        <w:spacing w:after="0" w:line="360" w:lineRule="auto"/>
        <w:jc w:val="both"/>
        <w:rPr>
          <w:rFonts w:ascii="Times New Roman" w:hAnsi="Times New Roman" w:cs="Times New Roman"/>
          <w:sz w:val="24"/>
          <w:szCs w:val="24"/>
          <w:u w:val="single"/>
        </w:rPr>
      </w:pPr>
      <w:r w:rsidRPr="00307DAE">
        <w:rPr>
          <w:rFonts w:ascii="Times New Roman" w:hAnsi="Times New Roman" w:cs="Times New Roman"/>
          <w:sz w:val="24"/>
          <w:szCs w:val="24"/>
          <w:u w:val="single"/>
        </w:rPr>
        <w:t xml:space="preserve">ISSUES FOR DETERMINATION </w:t>
      </w:r>
    </w:p>
    <w:p w:rsidR="00B15923" w:rsidRPr="0018280D" w:rsidRDefault="00B15923" w:rsidP="003015DC">
      <w:pPr>
        <w:spacing w:after="0" w:line="360" w:lineRule="auto"/>
        <w:ind w:firstLine="720"/>
        <w:jc w:val="both"/>
        <w:rPr>
          <w:rFonts w:ascii="Times New Roman" w:hAnsi="Times New Roman" w:cs="Times New Roman"/>
          <w:i/>
          <w:sz w:val="24"/>
          <w:szCs w:val="24"/>
        </w:rPr>
      </w:pPr>
      <w:r w:rsidRPr="0018280D">
        <w:rPr>
          <w:rFonts w:ascii="Times New Roman" w:hAnsi="Times New Roman" w:cs="Times New Roman"/>
          <w:i/>
          <w:sz w:val="24"/>
          <w:szCs w:val="24"/>
        </w:rPr>
        <w:t xml:space="preserve">Although there are four grounds of appeal before this court, all four can be summarised to read whether there was enough evidence placed before the court a quo to convict the </w:t>
      </w:r>
      <w:r w:rsidR="003F54F9" w:rsidRPr="0018280D">
        <w:rPr>
          <w:rFonts w:ascii="Times New Roman" w:hAnsi="Times New Roman" w:cs="Times New Roman"/>
          <w:i/>
          <w:sz w:val="24"/>
          <w:szCs w:val="24"/>
        </w:rPr>
        <w:t>appellant? Whether the evidence of Mr Liberty Kanyama alone was enough to be relied upon by the lower court in the absence of the journals and evidence of a handwriting expert to authenticate the signatures of the appellant and prove a proper link between or among departments of the complainant?</w:t>
      </w:r>
    </w:p>
    <w:p w:rsidR="003F54F9" w:rsidRPr="00307DAE" w:rsidRDefault="003F54F9" w:rsidP="00307DAE">
      <w:pPr>
        <w:spacing w:after="0" w:line="360" w:lineRule="auto"/>
        <w:jc w:val="both"/>
        <w:rPr>
          <w:rFonts w:ascii="Times New Roman" w:hAnsi="Times New Roman" w:cs="Times New Roman"/>
          <w:sz w:val="24"/>
          <w:szCs w:val="24"/>
          <w:u w:val="single"/>
        </w:rPr>
      </w:pPr>
      <w:r w:rsidRPr="00307DAE">
        <w:rPr>
          <w:rFonts w:ascii="Times New Roman" w:hAnsi="Times New Roman" w:cs="Times New Roman"/>
          <w:sz w:val="24"/>
          <w:szCs w:val="24"/>
          <w:u w:val="single"/>
        </w:rPr>
        <w:t>THE LAW</w:t>
      </w:r>
    </w:p>
    <w:p w:rsidR="003F54F9" w:rsidRDefault="003F54F9" w:rsidP="003015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Generally speaking, fraud consists </w:t>
      </w:r>
      <w:r w:rsidR="00032967">
        <w:rPr>
          <w:rFonts w:ascii="Times New Roman" w:hAnsi="Times New Roman" w:cs="Times New Roman"/>
          <w:sz w:val="24"/>
          <w:szCs w:val="24"/>
        </w:rPr>
        <w:t>in</w:t>
      </w:r>
      <w:r>
        <w:rPr>
          <w:rFonts w:ascii="Times New Roman" w:hAnsi="Times New Roman" w:cs="Times New Roman"/>
          <w:sz w:val="24"/>
          <w:szCs w:val="24"/>
        </w:rPr>
        <w:t xml:space="preserve"> knowingly making a false representation of fact with the intention to defraud the party to whom it is made, and to such false representation actually causes prejudice or it is potentially prejudicial to another.</w:t>
      </w:r>
      <w:r>
        <w:rPr>
          <w:rStyle w:val="FootnoteReference"/>
          <w:rFonts w:ascii="Times New Roman" w:hAnsi="Times New Roman" w:cs="Times New Roman"/>
          <w:sz w:val="24"/>
          <w:szCs w:val="24"/>
        </w:rPr>
        <w:footnoteReference w:id="4"/>
      </w:r>
    </w:p>
    <w:p w:rsidR="003F54F9" w:rsidRPr="00DC1B76" w:rsidRDefault="003F54F9" w:rsidP="00DC1B76">
      <w:pPr>
        <w:spacing w:after="0" w:line="240" w:lineRule="auto"/>
        <w:ind w:left="720"/>
        <w:jc w:val="both"/>
        <w:rPr>
          <w:rFonts w:ascii="Times New Roman" w:hAnsi="Times New Roman" w:cs="Times New Roman"/>
        </w:rPr>
      </w:pPr>
      <w:r w:rsidRPr="00DC1B76">
        <w:rPr>
          <w:rFonts w:ascii="Times New Roman" w:hAnsi="Times New Roman" w:cs="Times New Roman"/>
        </w:rPr>
        <w:t>“The causative link between any misrepresentati</w:t>
      </w:r>
      <w:r w:rsidR="00727C54">
        <w:rPr>
          <w:rFonts w:ascii="Times New Roman" w:hAnsi="Times New Roman" w:cs="Times New Roman"/>
        </w:rPr>
        <w:t>on</w:t>
      </w:r>
      <w:r w:rsidRPr="00DC1B76">
        <w:rPr>
          <w:rFonts w:ascii="Times New Roman" w:hAnsi="Times New Roman" w:cs="Times New Roman"/>
        </w:rPr>
        <w:t xml:space="preserve"> and the actual or </w:t>
      </w:r>
      <w:r w:rsidR="00E62402" w:rsidRPr="00DC1B76">
        <w:rPr>
          <w:rFonts w:ascii="Times New Roman" w:hAnsi="Times New Roman" w:cs="Times New Roman"/>
        </w:rPr>
        <w:t xml:space="preserve">potential result is to my mind an important element of the offence and a vital aspect of the enquiry in this case. In this regard I respectfully agree with the observation by Hunt in South Africa Criminal Law and </w:t>
      </w:r>
      <w:r w:rsidR="00E62402" w:rsidRPr="00DC1B76">
        <w:rPr>
          <w:rFonts w:ascii="Times New Roman" w:hAnsi="Times New Roman" w:cs="Times New Roman"/>
        </w:rPr>
        <w:lastRenderedPageBreak/>
        <w:t>Procedure. Volume 11, that this causative element is implicit in the concept of potential prejudice. At p 728</w:t>
      </w:r>
      <w:r w:rsidR="00A13761">
        <w:rPr>
          <w:rFonts w:ascii="Times New Roman" w:hAnsi="Times New Roman" w:cs="Times New Roman"/>
        </w:rPr>
        <w:t xml:space="preserve"> the learned author says:</w:t>
      </w:r>
    </w:p>
    <w:p w:rsidR="00DC1B76" w:rsidRDefault="00E62402" w:rsidP="00727C54">
      <w:pPr>
        <w:spacing w:after="0" w:line="240" w:lineRule="auto"/>
        <w:ind w:left="1440"/>
        <w:jc w:val="both"/>
        <w:rPr>
          <w:rFonts w:ascii="Times New Roman" w:hAnsi="Times New Roman" w:cs="Times New Roman"/>
        </w:rPr>
      </w:pPr>
      <w:r w:rsidRPr="00DC1B76">
        <w:rPr>
          <w:rFonts w:ascii="Times New Roman" w:hAnsi="Times New Roman" w:cs="Times New Roman"/>
        </w:rPr>
        <w:t>‘</w:t>
      </w:r>
      <w:proofErr w:type="gramStart"/>
      <w:r w:rsidRPr="00DC1B76">
        <w:rPr>
          <w:rFonts w:ascii="Times New Roman" w:hAnsi="Times New Roman" w:cs="Times New Roman"/>
        </w:rPr>
        <w:t>it</w:t>
      </w:r>
      <w:proofErr w:type="gramEnd"/>
      <w:r w:rsidRPr="00DC1B76">
        <w:rPr>
          <w:rFonts w:ascii="Times New Roman" w:hAnsi="Times New Roman" w:cs="Times New Roman"/>
        </w:rPr>
        <w:t xml:space="preserve"> is often stated that there must be a causal link between the misrepresentation and the actual or potential prejudice. The word “potential” however incorporates in itself a test of causation. “Potentiality” is a way of referring to causation. It is therefore logically relevant to say that the misrepresentation must cause the potential prejudice. If the misrepresentation is potentially prejudicial the law is causation </w:t>
      </w:r>
      <w:r w:rsidR="00DC1B76" w:rsidRPr="00DC1B76">
        <w:rPr>
          <w:rFonts w:ascii="Times New Roman" w:hAnsi="Times New Roman" w:cs="Times New Roman"/>
        </w:rPr>
        <w:t>requirements will have been satisfied.”</w:t>
      </w:r>
      <w:r w:rsidR="00DC1B76">
        <w:rPr>
          <w:rStyle w:val="FootnoteReference"/>
          <w:rFonts w:ascii="Times New Roman" w:hAnsi="Times New Roman" w:cs="Times New Roman"/>
          <w:sz w:val="24"/>
          <w:szCs w:val="24"/>
        </w:rPr>
        <w:footnoteReference w:id="5"/>
      </w:r>
    </w:p>
    <w:p w:rsidR="00B42A69" w:rsidRDefault="00B42A69" w:rsidP="00B42A69">
      <w:pPr>
        <w:spacing w:after="0" w:line="240" w:lineRule="auto"/>
        <w:ind w:left="1440"/>
        <w:jc w:val="both"/>
        <w:rPr>
          <w:rFonts w:ascii="Times New Roman" w:hAnsi="Times New Roman" w:cs="Times New Roman"/>
          <w:sz w:val="24"/>
          <w:szCs w:val="24"/>
        </w:rPr>
      </w:pPr>
    </w:p>
    <w:p w:rsidR="00DC1B76" w:rsidRDefault="00DC1B76" w:rsidP="00B42A69">
      <w:pPr>
        <w:tabs>
          <w:tab w:val="left" w:pos="851"/>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Hence where an accused makes a false representation in order to induce the representee to part with his property and he obtains the property, if the false representation is of such a nature as, in the ordinary course of things, to be likely to prejudice the complainant, the accused cannot successfully contend that the crime of fraud is not established because the State law failed to prove that the false representation induced </w:t>
      </w:r>
      <w:r w:rsidR="00B42A69">
        <w:rPr>
          <w:rFonts w:ascii="Times New Roman" w:hAnsi="Times New Roman" w:cs="Times New Roman"/>
          <w:sz w:val="24"/>
          <w:szCs w:val="24"/>
        </w:rPr>
        <w:t xml:space="preserve">the </w:t>
      </w:r>
      <w:r>
        <w:rPr>
          <w:rFonts w:ascii="Times New Roman" w:hAnsi="Times New Roman" w:cs="Times New Roman"/>
          <w:sz w:val="24"/>
          <w:szCs w:val="24"/>
        </w:rPr>
        <w:t>complainant to part with the property.</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r w:rsidR="00FC7C9B">
        <w:rPr>
          <w:rFonts w:ascii="Times New Roman" w:hAnsi="Times New Roman" w:cs="Times New Roman"/>
          <w:sz w:val="24"/>
          <w:szCs w:val="24"/>
        </w:rPr>
        <w:t>The prejudice suffered by the representee must be the result of the false representation.</w:t>
      </w:r>
      <w:r w:rsidR="00FC7C9B">
        <w:rPr>
          <w:rStyle w:val="FootnoteReference"/>
          <w:rFonts w:ascii="Times New Roman" w:hAnsi="Times New Roman" w:cs="Times New Roman"/>
          <w:sz w:val="24"/>
          <w:szCs w:val="24"/>
        </w:rPr>
        <w:footnoteReference w:id="7"/>
      </w:r>
    </w:p>
    <w:p w:rsidR="00FC7C9B" w:rsidRDefault="00FC7C9B" w:rsidP="00B42A69">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The law on expert evidence has long been emphasized in the matter of </w:t>
      </w:r>
      <w:r w:rsidRPr="00FC7C9B">
        <w:rPr>
          <w:rFonts w:ascii="Times New Roman" w:hAnsi="Times New Roman" w:cs="Times New Roman"/>
          <w:i/>
          <w:sz w:val="24"/>
          <w:szCs w:val="24"/>
        </w:rPr>
        <w:t>R</w:t>
      </w:r>
      <w:r>
        <w:rPr>
          <w:rFonts w:ascii="Times New Roman" w:hAnsi="Times New Roman" w:cs="Times New Roman"/>
          <w:sz w:val="24"/>
          <w:szCs w:val="24"/>
        </w:rPr>
        <w:t xml:space="preserve"> v </w:t>
      </w:r>
      <w:proofErr w:type="spellStart"/>
      <w:r w:rsidRPr="00FC7C9B">
        <w:rPr>
          <w:rFonts w:ascii="Times New Roman" w:hAnsi="Times New Roman" w:cs="Times New Roman"/>
          <w:i/>
          <w:sz w:val="24"/>
          <w:szCs w:val="24"/>
        </w:rPr>
        <w:t>Nyamayaro</w:t>
      </w:r>
      <w:proofErr w:type="spellEnd"/>
      <w:r w:rsidR="00A13761">
        <w:rPr>
          <w:rStyle w:val="FootnoteReference"/>
          <w:rFonts w:ascii="Times New Roman" w:hAnsi="Times New Roman" w:cs="Times New Roman"/>
          <w:i/>
          <w:sz w:val="24"/>
          <w:szCs w:val="24"/>
        </w:rPr>
        <w:footnoteReference w:id="8"/>
      </w:r>
      <w:r>
        <w:rPr>
          <w:rFonts w:ascii="Times New Roman" w:hAnsi="Times New Roman" w:cs="Times New Roman"/>
          <w:i/>
          <w:sz w:val="24"/>
          <w:szCs w:val="24"/>
        </w:rPr>
        <w:t xml:space="preserve"> </w:t>
      </w:r>
    </w:p>
    <w:p w:rsidR="00FC7C9B" w:rsidRDefault="00FC7C9B" w:rsidP="00B42A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FC7C9B">
        <w:rPr>
          <w:rFonts w:ascii="Times New Roman" w:hAnsi="Times New Roman" w:cs="Times New Roman"/>
          <w:smallCaps/>
          <w:sz w:val="24"/>
          <w:szCs w:val="24"/>
        </w:rPr>
        <w:t>Annama</w:t>
      </w:r>
      <w:proofErr w:type="spellEnd"/>
      <w:r>
        <w:rPr>
          <w:rFonts w:ascii="Times New Roman" w:hAnsi="Times New Roman" w:cs="Times New Roman"/>
          <w:sz w:val="24"/>
          <w:szCs w:val="24"/>
        </w:rPr>
        <w:t xml:space="preserve"> 1964 AD 142 </w:t>
      </w:r>
      <w:r w:rsidRPr="00FC7C9B">
        <w:rPr>
          <w:rFonts w:ascii="Times New Roman" w:hAnsi="Times New Roman" w:cs="Times New Roman"/>
          <w:smallCaps/>
          <w:sz w:val="24"/>
          <w:szCs w:val="24"/>
        </w:rPr>
        <w:t xml:space="preserve">Greenberg </w:t>
      </w:r>
      <w:proofErr w:type="spellStart"/>
      <w:r w:rsidRPr="00FC7C9B">
        <w:rPr>
          <w:rFonts w:ascii="Times New Roman" w:hAnsi="Times New Roman" w:cs="Times New Roman"/>
          <w:smallCaps/>
          <w:sz w:val="24"/>
          <w:szCs w:val="24"/>
        </w:rPr>
        <w:t>ja</w:t>
      </w:r>
      <w:proofErr w:type="spellEnd"/>
      <w:r>
        <w:rPr>
          <w:rFonts w:ascii="Times New Roman" w:hAnsi="Times New Roman" w:cs="Times New Roman"/>
          <w:sz w:val="24"/>
          <w:szCs w:val="24"/>
        </w:rPr>
        <w:t xml:space="preserve"> stated:</w:t>
      </w:r>
    </w:p>
    <w:p w:rsidR="009150D1" w:rsidRPr="009150D1" w:rsidRDefault="00FC7C9B" w:rsidP="009150D1">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B655B9">
        <w:rPr>
          <w:rFonts w:ascii="Times New Roman" w:hAnsi="Times New Roman" w:cs="Times New Roman"/>
        </w:rPr>
        <w:t xml:space="preserve">It is clear that expert evidence admissible… and once it is admissible </w:t>
      </w:r>
      <w:r w:rsidR="009150D1">
        <w:rPr>
          <w:rFonts w:ascii="Times New Roman" w:hAnsi="Times New Roman" w:cs="Times New Roman"/>
        </w:rPr>
        <w:t>t</w:t>
      </w:r>
      <w:r w:rsidR="009150D1" w:rsidRPr="005053CE">
        <w:rPr>
          <w:rFonts w:ascii="Times New Roman" w:hAnsi="Times New Roman" w:cs="Times New Roman"/>
        </w:rPr>
        <w:t xml:space="preserve">he question in each case </w:t>
      </w:r>
      <w:r w:rsidR="009150D1">
        <w:rPr>
          <w:rFonts w:ascii="Times New Roman" w:hAnsi="Times New Roman" w:cs="Times New Roman"/>
        </w:rPr>
        <w:t>is …</w:t>
      </w:r>
      <w:r w:rsidR="009150D1" w:rsidRPr="005053CE">
        <w:rPr>
          <w:rFonts w:ascii="Times New Roman" w:hAnsi="Times New Roman" w:cs="Times New Roman"/>
        </w:rPr>
        <w:t xml:space="preserve"> Whether its cogency either alone or with other evidence is suf</w:t>
      </w:r>
      <w:r w:rsidR="00682876">
        <w:rPr>
          <w:rFonts w:ascii="Times New Roman" w:hAnsi="Times New Roman" w:cs="Times New Roman"/>
        </w:rPr>
        <w:t>ficient to carry convictions th</w:t>
      </w:r>
      <w:r w:rsidR="009150D1" w:rsidRPr="005053CE">
        <w:rPr>
          <w:rFonts w:ascii="Times New Roman" w:hAnsi="Times New Roman" w:cs="Times New Roman"/>
        </w:rPr>
        <w:t>ough numerous warnings are to be found in cases as to the earth with which evidence of this kind is to be approached.</w:t>
      </w:r>
    </w:p>
    <w:p w:rsidR="009150D1" w:rsidRDefault="009150D1" w:rsidP="009150D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 xml:space="preserve">R </w:t>
      </w:r>
      <w:r w:rsidRPr="005053CE">
        <w:rPr>
          <w:rFonts w:ascii="Times New Roman" w:hAnsi="Times New Roman" w:cs="Times New Roman"/>
          <w:sz w:val="24"/>
          <w:szCs w:val="24"/>
        </w:rPr>
        <w:t>v</w:t>
      </w:r>
      <w:r w:rsidRPr="002E74E1">
        <w:rPr>
          <w:rFonts w:ascii="Times New Roman" w:hAnsi="Times New Roman" w:cs="Times New Roman"/>
          <w:i/>
          <w:sz w:val="24"/>
          <w:szCs w:val="24"/>
        </w:rPr>
        <w:t xml:space="preserve"> </w:t>
      </w:r>
      <w:proofErr w:type="spellStart"/>
      <w:r w:rsidRPr="002E74E1">
        <w:rPr>
          <w:rFonts w:ascii="Times New Roman" w:hAnsi="Times New Roman" w:cs="Times New Roman"/>
          <w:i/>
          <w:sz w:val="24"/>
          <w:szCs w:val="24"/>
        </w:rPr>
        <w:t>Theunissen</w:t>
      </w:r>
      <w:proofErr w:type="spellEnd"/>
      <w:r w:rsidRPr="002E74E1">
        <w:rPr>
          <w:rFonts w:ascii="Times New Roman" w:hAnsi="Times New Roman" w:cs="Times New Roman"/>
          <w:i/>
          <w:sz w:val="24"/>
          <w:szCs w:val="24"/>
        </w:rPr>
        <w:t xml:space="preserve"> 1948 (4) SA 43</w:t>
      </w:r>
      <w:r>
        <w:rPr>
          <w:rFonts w:ascii="Times New Roman" w:hAnsi="Times New Roman" w:cs="Times New Roman"/>
          <w:sz w:val="24"/>
          <w:szCs w:val="24"/>
        </w:rPr>
        <w:t xml:space="preserve">, at 46 </w:t>
      </w:r>
      <w:r w:rsidRPr="002E74E1">
        <w:rPr>
          <w:rFonts w:ascii="Times New Roman" w:hAnsi="Times New Roman" w:cs="Times New Roman"/>
          <w:smallCaps/>
          <w:sz w:val="24"/>
          <w:szCs w:val="24"/>
        </w:rPr>
        <w:t>DE Villiers AJP</w:t>
      </w:r>
      <w:r>
        <w:rPr>
          <w:rFonts w:ascii="Times New Roman" w:hAnsi="Times New Roman" w:cs="Times New Roman"/>
          <w:sz w:val="24"/>
          <w:szCs w:val="24"/>
        </w:rPr>
        <w:t xml:space="preserve"> stated:</w:t>
      </w:r>
    </w:p>
    <w:p w:rsidR="009150D1" w:rsidRPr="002E74E1" w:rsidRDefault="009150D1" w:rsidP="009150D1">
      <w:pPr>
        <w:spacing w:line="240" w:lineRule="auto"/>
        <w:ind w:left="1440"/>
        <w:jc w:val="both"/>
        <w:rPr>
          <w:rFonts w:ascii="Times New Roman" w:hAnsi="Times New Roman" w:cs="Times New Roman"/>
        </w:rPr>
      </w:pPr>
      <w:r>
        <w:rPr>
          <w:rFonts w:ascii="Times New Roman" w:hAnsi="Times New Roman" w:cs="Times New Roman"/>
          <w:sz w:val="24"/>
          <w:szCs w:val="24"/>
        </w:rPr>
        <w:t>‘In</w:t>
      </w:r>
      <w:r w:rsidRPr="002E74E1">
        <w:rPr>
          <w:rFonts w:ascii="Times New Roman" w:hAnsi="Times New Roman" w:cs="Times New Roman"/>
        </w:rPr>
        <w:t xml:space="preserve"> my opinion, and that is borne out by authority, he could have deposed to the facts which he had found and upon which he relied as the foundation for the opinion but an opinion unaccompanied by the foundation upon which it is based is again of no value to the judicial officer who has to make a finding on it”</w:t>
      </w:r>
    </w:p>
    <w:p w:rsidR="009150D1" w:rsidRDefault="009150D1" w:rsidP="009150D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Pr>
          <w:rFonts w:ascii="Times New Roman" w:hAnsi="Times New Roman" w:cs="Times New Roman"/>
          <w:i/>
          <w:sz w:val="24"/>
          <w:szCs w:val="24"/>
        </w:rPr>
        <w:t>S</w:t>
      </w:r>
      <w:r w:rsidRPr="00B81E90">
        <w:rPr>
          <w:rFonts w:ascii="Times New Roman" w:hAnsi="Times New Roman" w:cs="Times New Roman"/>
          <w:i/>
          <w:sz w:val="24"/>
          <w:szCs w:val="24"/>
        </w:rPr>
        <w:t xml:space="preserve"> v William </w:t>
      </w:r>
      <w:proofErr w:type="spellStart"/>
      <w:r w:rsidRPr="00B81E90">
        <w:rPr>
          <w:rFonts w:ascii="Times New Roman" w:hAnsi="Times New Roman" w:cs="Times New Roman"/>
          <w:i/>
          <w:sz w:val="24"/>
          <w:szCs w:val="24"/>
        </w:rPr>
        <w:t>En</w:t>
      </w:r>
      <w:proofErr w:type="spellEnd"/>
      <w:r w:rsidRPr="00B81E90">
        <w:rPr>
          <w:rFonts w:ascii="Times New Roman" w:hAnsi="Times New Roman" w:cs="Times New Roman"/>
          <w:i/>
          <w:sz w:val="24"/>
          <w:szCs w:val="24"/>
        </w:rPr>
        <w:t xml:space="preserve"> </w:t>
      </w:r>
      <w:proofErr w:type="spellStart"/>
      <w:r w:rsidRPr="00B81E90">
        <w:rPr>
          <w:rFonts w:ascii="Times New Roman" w:hAnsi="Times New Roman" w:cs="Times New Roman"/>
          <w:i/>
          <w:sz w:val="24"/>
          <w:szCs w:val="24"/>
        </w:rPr>
        <w:t>Andere</w:t>
      </w:r>
      <w:proofErr w:type="spellEnd"/>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it was held that:</w:t>
      </w:r>
    </w:p>
    <w:p w:rsidR="009150D1" w:rsidRPr="005053CE" w:rsidRDefault="009150D1" w:rsidP="009150D1">
      <w:pPr>
        <w:spacing w:after="0" w:line="240" w:lineRule="auto"/>
        <w:ind w:left="720"/>
        <w:jc w:val="both"/>
        <w:rPr>
          <w:rFonts w:ascii="Times New Roman" w:hAnsi="Times New Roman" w:cs="Times New Roman"/>
        </w:rPr>
      </w:pPr>
      <w:r>
        <w:rPr>
          <w:rFonts w:ascii="Times New Roman" w:hAnsi="Times New Roman" w:cs="Times New Roman"/>
        </w:rPr>
        <w:t>“</w:t>
      </w:r>
      <w:r w:rsidRPr="005053CE">
        <w:rPr>
          <w:rFonts w:ascii="Times New Roman" w:hAnsi="Times New Roman" w:cs="Times New Roman"/>
        </w:rPr>
        <w:t xml:space="preserve">In the reported decisions of the courts where it was required that reasons for the inferences drawn by expert witnesses should be given, this requirement was not relevant to the admissibility of the evidence, but rather to the weight which should be accorded to the evidence. Where an expert witness who possesses special knowledge, skill and experience, carries out a test requiring the application of such knowledge, skill and experience, and thereafter draws an inference are not mentioned by him.  If the </w:t>
      </w:r>
      <w:r w:rsidRPr="005053CE">
        <w:rPr>
          <w:rFonts w:ascii="Times New Roman" w:hAnsi="Times New Roman" w:cs="Times New Roman"/>
          <w:i/>
        </w:rPr>
        <w:t>prima facie</w:t>
      </w:r>
      <w:r w:rsidRPr="005053CE">
        <w:rPr>
          <w:rFonts w:ascii="Times New Roman" w:hAnsi="Times New Roman" w:cs="Times New Roman"/>
        </w:rPr>
        <w:t xml:space="preserve"> proof is not contested the court is entitled to rely thereon. All that is required is that the court should be satisfied that the expert witness possesses the necessary qualification and competence to carry out the test and to interpret the results thereof</w:t>
      </w:r>
      <w:r w:rsidR="003F48DE">
        <w:rPr>
          <w:rFonts w:ascii="Times New Roman" w:hAnsi="Times New Roman" w:cs="Times New Roman"/>
        </w:rPr>
        <w:t>.</w:t>
      </w:r>
      <w:r w:rsidRPr="005053CE">
        <w:rPr>
          <w:rFonts w:ascii="Times New Roman" w:hAnsi="Times New Roman" w:cs="Times New Roman"/>
        </w:rPr>
        <w:t>”</w:t>
      </w:r>
      <w:r w:rsidRPr="005053CE">
        <w:rPr>
          <w:rStyle w:val="FootnoteReference"/>
          <w:rFonts w:ascii="Times New Roman" w:hAnsi="Times New Roman" w:cs="Times New Roman"/>
        </w:rPr>
        <w:footnoteReference w:id="10"/>
      </w:r>
    </w:p>
    <w:p w:rsidR="009150D1" w:rsidRDefault="009150D1" w:rsidP="009150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Expert witness testimony on an ultimate issue will more readily tend to be relevant when the subject is one which the court is usually quite incapable of forming an unassisted conclusion. Expert testimony must be as influential in the overall decision-making process as it deserves. The weight to be given to exp</w:t>
      </w:r>
      <w:r w:rsidR="00F41873">
        <w:rPr>
          <w:rFonts w:ascii="Times New Roman" w:hAnsi="Times New Roman" w:cs="Times New Roman"/>
          <w:sz w:val="24"/>
          <w:szCs w:val="24"/>
        </w:rPr>
        <w:t>ert evidence will derive from how t</w:t>
      </w:r>
      <w:r>
        <w:rPr>
          <w:rFonts w:ascii="Times New Roman" w:hAnsi="Times New Roman" w:cs="Times New Roman"/>
          <w:sz w:val="24"/>
          <w:szCs w:val="24"/>
        </w:rPr>
        <w:t>hat evidence is assessed in the context of all other evidence</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Hence expert evidence is important evidence more</w:t>
      </w:r>
      <w:r w:rsidR="00F05A67">
        <w:rPr>
          <w:rFonts w:ascii="Times New Roman" w:hAnsi="Times New Roman" w:cs="Times New Roman"/>
          <w:sz w:val="24"/>
          <w:szCs w:val="24"/>
        </w:rPr>
        <w:t xml:space="preserve"> </w:t>
      </w:r>
      <w:r>
        <w:rPr>
          <w:rFonts w:ascii="Times New Roman" w:hAnsi="Times New Roman" w:cs="Times New Roman"/>
          <w:sz w:val="24"/>
          <w:szCs w:val="24"/>
        </w:rPr>
        <w:t>so where an accused is challenging the signature.</w:t>
      </w:r>
    </w:p>
    <w:p w:rsidR="009150D1" w:rsidRDefault="009150D1" w:rsidP="00CA64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also important to deal with the law on circumstantial evidence where the court has to look at the totality of the evidence placed before it to reach a decision. In </w:t>
      </w:r>
      <w:r w:rsidR="00CA640C">
        <w:rPr>
          <w:rFonts w:ascii="Times New Roman" w:hAnsi="Times New Roman" w:cs="Times New Roman"/>
          <w:i/>
          <w:sz w:val="24"/>
          <w:szCs w:val="24"/>
        </w:rPr>
        <w:t>S v Reddy and O</w:t>
      </w:r>
      <w:r w:rsidRPr="001D392B">
        <w:rPr>
          <w:rFonts w:ascii="Times New Roman" w:hAnsi="Times New Roman" w:cs="Times New Roman"/>
          <w:i/>
          <w:sz w:val="24"/>
          <w:szCs w:val="24"/>
        </w:rPr>
        <w:t>thers</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it was held that in assessing circumstantial evidence, one needs to be careful not to approach it upon a piecemeal basis and subject each individual piece of evidence to a consideration of whether it excludes the reasonable possibility that the explanation given by an accused is true. The evidence needs to be considered in its totality. It is on</w:t>
      </w:r>
      <w:r w:rsidR="003559F1">
        <w:rPr>
          <w:rFonts w:ascii="Times New Roman" w:hAnsi="Times New Roman" w:cs="Times New Roman"/>
          <w:sz w:val="24"/>
          <w:szCs w:val="24"/>
        </w:rPr>
        <w:t>ly then that one can apply the o</w:t>
      </w:r>
      <w:r>
        <w:rPr>
          <w:rFonts w:ascii="Times New Roman" w:hAnsi="Times New Roman" w:cs="Times New Roman"/>
          <w:sz w:val="24"/>
          <w:szCs w:val="24"/>
        </w:rPr>
        <w:t xml:space="preserve">ft-quoted </w:t>
      </w:r>
      <w:r w:rsidRPr="001D392B">
        <w:rPr>
          <w:rFonts w:ascii="Times New Roman" w:hAnsi="Times New Roman" w:cs="Times New Roman"/>
          <w:i/>
          <w:sz w:val="24"/>
          <w:szCs w:val="24"/>
        </w:rPr>
        <w:t>dictum</w:t>
      </w:r>
      <w:r>
        <w:rPr>
          <w:rFonts w:ascii="Times New Roman" w:hAnsi="Times New Roman" w:cs="Times New Roman"/>
          <w:sz w:val="24"/>
          <w:szCs w:val="24"/>
        </w:rPr>
        <w:t xml:space="preserve"> in </w:t>
      </w:r>
      <w:r w:rsidRPr="001D392B">
        <w:rPr>
          <w:rFonts w:ascii="Times New Roman" w:hAnsi="Times New Roman" w:cs="Times New Roman"/>
          <w:i/>
          <w:sz w:val="24"/>
          <w:szCs w:val="24"/>
        </w:rPr>
        <w:t xml:space="preserve">R v </w:t>
      </w:r>
      <w:proofErr w:type="spellStart"/>
      <w:r w:rsidRPr="001D392B">
        <w:rPr>
          <w:rFonts w:ascii="Times New Roman" w:hAnsi="Times New Roman" w:cs="Times New Roman"/>
          <w:i/>
          <w:sz w:val="24"/>
          <w:szCs w:val="24"/>
        </w:rPr>
        <w:t>Blom</w:t>
      </w:r>
      <w:proofErr w:type="spellEnd"/>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where reference is made to two cardinal rules of logic: (1) that the inference sought to be drawn must be consistent with all the proved facts. (2)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the proved facts should be such that they exclude every reasonable inference from them save the one sought to be drawn.</w:t>
      </w:r>
    </w:p>
    <w:p w:rsidR="009150D1" w:rsidRDefault="009150D1" w:rsidP="00CA64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 that a number of inferences can be drawn from </w:t>
      </w:r>
      <w:r w:rsidR="00126611">
        <w:rPr>
          <w:rFonts w:ascii="Times New Roman" w:hAnsi="Times New Roman" w:cs="Times New Roman"/>
          <w:sz w:val="24"/>
          <w:szCs w:val="24"/>
        </w:rPr>
        <w:t xml:space="preserve">a </w:t>
      </w:r>
      <w:r>
        <w:rPr>
          <w:rFonts w:ascii="Times New Roman" w:hAnsi="Times New Roman" w:cs="Times New Roman"/>
          <w:sz w:val="24"/>
          <w:szCs w:val="24"/>
        </w:rPr>
        <w:t>certain fact taken in isolation, does not</w:t>
      </w:r>
      <w:r w:rsidR="00126611">
        <w:rPr>
          <w:rFonts w:ascii="Times New Roman" w:hAnsi="Times New Roman" w:cs="Times New Roman"/>
          <w:sz w:val="24"/>
          <w:szCs w:val="24"/>
        </w:rPr>
        <w:t xml:space="preserve"> mean that in every cause, the S</w:t>
      </w:r>
      <w:r>
        <w:rPr>
          <w:rFonts w:ascii="Times New Roman" w:hAnsi="Times New Roman" w:cs="Times New Roman"/>
          <w:sz w:val="24"/>
          <w:szCs w:val="24"/>
        </w:rPr>
        <w:t>tate, in order to discharge the onus which rests upon it, is obliged to indulge in conjecture, and find an answer to every possible inference that ingenuity may suggest any more than the court is called on to seek speculative explanations for conduct which on the face of it is incriminating.</w:t>
      </w:r>
    </w:p>
    <w:p w:rsidR="00B95E83" w:rsidRDefault="009150D1" w:rsidP="009150D1">
      <w:pPr>
        <w:spacing w:line="360" w:lineRule="auto"/>
        <w:jc w:val="both"/>
        <w:rPr>
          <w:rFonts w:ascii="Times New Roman" w:hAnsi="Times New Roman" w:cs="Times New Roman"/>
          <w:sz w:val="24"/>
          <w:szCs w:val="24"/>
          <w:u w:val="single"/>
        </w:rPr>
      </w:pPr>
      <w:r w:rsidRPr="001C5927">
        <w:rPr>
          <w:rFonts w:ascii="Times New Roman" w:hAnsi="Times New Roman" w:cs="Times New Roman"/>
          <w:sz w:val="24"/>
          <w:szCs w:val="24"/>
          <w:u w:val="single"/>
        </w:rPr>
        <w:t>APPLICATION OF THE LAW AND FACTS.</w:t>
      </w:r>
    </w:p>
    <w:p w:rsidR="009150D1" w:rsidRPr="008479D1" w:rsidRDefault="008479D1" w:rsidP="00B95E83">
      <w:pPr>
        <w:spacing w:after="0" w:line="360" w:lineRule="auto"/>
        <w:jc w:val="both"/>
        <w:rPr>
          <w:rFonts w:ascii="Times New Roman" w:hAnsi="Times New Roman" w:cs="Times New Roman"/>
          <w:sz w:val="24"/>
          <w:szCs w:val="24"/>
          <w:u w:val="single"/>
        </w:rPr>
      </w:pPr>
      <w:r w:rsidRPr="008479D1">
        <w:rPr>
          <w:rFonts w:ascii="Times New Roman" w:hAnsi="Times New Roman" w:cs="Times New Roman"/>
          <w:sz w:val="24"/>
          <w:szCs w:val="24"/>
          <w:u w:val="single"/>
        </w:rPr>
        <w:t>First ground of A</w:t>
      </w:r>
      <w:r w:rsidR="009150D1" w:rsidRPr="008479D1">
        <w:rPr>
          <w:rFonts w:ascii="Times New Roman" w:hAnsi="Times New Roman" w:cs="Times New Roman"/>
          <w:sz w:val="24"/>
          <w:szCs w:val="24"/>
          <w:u w:val="single"/>
        </w:rPr>
        <w:t>ppeal</w:t>
      </w:r>
    </w:p>
    <w:p w:rsidR="009150D1" w:rsidRDefault="009150D1" w:rsidP="00B95E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Whether the court </w:t>
      </w:r>
      <w:r w:rsidRPr="009B79E6">
        <w:rPr>
          <w:rFonts w:ascii="Times New Roman" w:hAnsi="Times New Roman" w:cs="Times New Roman"/>
          <w:i/>
          <w:sz w:val="24"/>
          <w:szCs w:val="24"/>
        </w:rPr>
        <w:t>a quo</w:t>
      </w:r>
      <w:r>
        <w:rPr>
          <w:rFonts w:ascii="Times New Roman" w:hAnsi="Times New Roman" w:cs="Times New Roman"/>
          <w:sz w:val="24"/>
          <w:szCs w:val="24"/>
        </w:rPr>
        <w:t>, misdirected itself on facts and the law by c</w:t>
      </w:r>
      <w:r w:rsidR="00553F73">
        <w:rPr>
          <w:rFonts w:ascii="Times New Roman" w:hAnsi="Times New Roman" w:cs="Times New Roman"/>
          <w:sz w:val="24"/>
          <w:szCs w:val="24"/>
        </w:rPr>
        <w:t>onvicting appellant on count 1</w:t>
      </w:r>
      <w:r>
        <w:rPr>
          <w:rFonts w:ascii="Times New Roman" w:hAnsi="Times New Roman" w:cs="Times New Roman"/>
          <w:sz w:val="24"/>
          <w:szCs w:val="24"/>
        </w:rPr>
        <w:t xml:space="preserve"> despite the fact that there was no expert handwriting evidence to show that appellant signed the journal that was used to reverse a transaction to credit Ukuzenzele’s account and debtors confirmation letter?</w:t>
      </w:r>
    </w:p>
    <w:p w:rsidR="009150D1" w:rsidRDefault="009150D1" w:rsidP="009150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court </w:t>
      </w:r>
      <w:r w:rsidRPr="001C5927">
        <w:rPr>
          <w:rFonts w:ascii="Times New Roman" w:hAnsi="Times New Roman" w:cs="Times New Roman"/>
          <w:i/>
          <w:sz w:val="24"/>
          <w:szCs w:val="24"/>
        </w:rPr>
        <w:t>a quo</w:t>
      </w:r>
      <w:r>
        <w:rPr>
          <w:rFonts w:ascii="Times New Roman" w:hAnsi="Times New Roman" w:cs="Times New Roman"/>
          <w:sz w:val="24"/>
          <w:szCs w:val="24"/>
        </w:rPr>
        <w:t xml:space="preserve"> relied on the evidence of Liberty Kanyama to convict the appellant. The evidence of Liberty Kanyama was to the effect that he was familiar with appellant’s regular signature because Liberty Kanyama had worked with the appellant for a considerable period.</w:t>
      </w:r>
    </w:p>
    <w:p w:rsidR="009150D1" w:rsidRDefault="009150D1" w:rsidP="009150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on the other hand in his defence had disputed</w:t>
      </w:r>
      <w:r w:rsidR="007E56CA">
        <w:rPr>
          <w:rFonts w:ascii="Times New Roman" w:hAnsi="Times New Roman" w:cs="Times New Roman"/>
          <w:sz w:val="24"/>
          <w:szCs w:val="24"/>
        </w:rPr>
        <w:t xml:space="preserve"> the signature and had put the S</w:t>
      </w:r>
      <w:r>
        <w:rPr>
          <w:rFonts w:ascii="Times New Roman" w:hAnsi="Times New Roman" w:cs="Times New Roman"/>
          <w:sz w:val="24"/>
          <w:szCs w:val="24"/>
        </w:rPr>
        <w:t>tate to proof specifically to prove that the signatory was the appellant</w:t>
      </w:r>
      <w:r w:rsidR="00F176EF">
        <w:rPr>
          <w:rFonts w:ascii="Times New Roman" w:hAnsi="Times New Roman" w:cs="Times New Roman"/>
          <w:sz w:val="24"/>
          <w:szCs w:val="24"/>
        </w:rPr>
        <w:t>’s.</w:t>
      </w:r>
    </w:p>
    <w:p w:rsidR="009150D1" w:rsidRDefault="009150D1" w:rsidP="009150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learned trial Magistrat</w:t>
      </w:r>
      <w:r w:rsidR="00041062">
        <w:rPr>
          <w:rFonts w:ascii="Times New Roman" w:hAnsi="Times New Roman" w:cs="Times New Roman"/>
          <w:sz w:val="24"/>
          <w:szCs w:val="24"/>
        </w:rPr>
        <w:t>e accepted the evidence of the S</w:t>
      </w:r>
      <w:r w:rsidR="004609B0">
        <w:rPr>
          <w:rFonts w:ascii="Times New Roman" w:hAnsi="Times New Roman" w:cs="Times New Roman"/>
          <w:sz w:val="24"/>
          <w:szCs w:val="24"/>
        </w:rPr>
        <w:t>tate</w:t>
      </w:r>
      <w:r>
        <w:rPr>
          <w:rFonts w:ascii="Times New Roman" w:hAnsi="Times New Roman" w:cs="Times New Roman"/>
          <w:sz w:val="24"/>
          <w:szCs w:val="24"/>
        </w:rPr>
        <w:t xml:space="preserve"> witness and convicted </w:t>
      </w:r>
      <w:r w:rsidR="00CA640C">
        <w:rPr>
          <w:rFonts w:ascii="Times New Roman" w:hAnsi="Times New Roman" w:cs="Times New Roman"/>
          <w:sz w:val="24"/>
          <w:szCs w:val="24"/>
        </w:rPr>
        <w:t>t</w:t>
      </w:r>
      <w:r>
        <w:rPr>
          <w:rFonts w:ascii="Times New Roman" w:hAnsi="Times New Roman" w:cs="Times New Roman"/>
          <w:sz w:val="24"/>
          <w:szCs w:val="24"/>
        </w:rPr>
        <w:t xml:space="preserve">he appellant. Incidentally the evidence of the same witness was regarded as insufficient when </w:t>
      </w:r>
      <w:r w:rsidRPr="009B79E6">
        <w:rPr>
          <w:rFonts w:ascii="Times New Roman" w:hAnsi="Times New Roman" w:cs="Times New Roman"/>
          <w:sz w:val="24"/>
          <w:szCs w:val="24"/>
        </w:rPr>
        <w:t>the court</w:t>
      </w:r>
      <w:r w:rsidRPr="009B79E6">
        <w:rPr>
          <w:rFonts w:ascii="Times New Roman" w:hAnsi="Times New Roman" w:cs="Times New Roman"/>
          <w:i/>
          <w:sz w:val="24"/>
          <w:szCs w:val="24"/>
        </w:rPr>
        <w:t xml:space="preserve"> a quo</w:t>
      </w:r>
      <w:r>
        <w:rPr>
          <w:rFonts w:ascii="Times New Roman" w:hAnsi="Times New Roman" w:cs="Times New Roman"/>
          <w:sz w:val="24"/>
          <w:szCs w:val="24"/>
        </w:rPr>
        <w:t xml:space="preserve"> assessed it in relation to appellant’s co-a</w:t>
      </w:r>
      <w:r w:rsidR="00B8796A">
        <w:rPr>
          <w:rFonts w:ascii="Times New Roman" w:hAnsi="Times New Roman" w:cs="Times New Roman"/>
          <w:sz w:val="24"/>
          <w:szCs w:val="24"/>
        </w:rPr>
        <w:t>ccused facing the same count 1</w:t>
      </w:r>
      <w:r>
        <w:rPr>
          <w:rFonts w:ascii="Times New Roman" w:hAnsi="Times New Roman" w:cs="Times New Roman"/>
          <w:sz w:val="24"/>
          <w:szCs w:val="24"/>
        </w:rPr>
        <w:t>. It is difficult for this court to fathom how a discredited witness’ evide</w:t>
      </w:r>
      <w:r w:rsidR="000C4FEE">
        <w:rPr>
          <w:rFonts w:ascii="Times New Roman" w:hAnsi="Times New Roman" w:cs="Times New Roman"/>
          <w:sz w:val="24"/>
          <w:szCs w:val="24"/>
        </w:rPr>
        <w:t>nce by a court can suddenly beco</w:t>
      </w:r>
      <w:r>
        <w:rPr>
          <w:rFonts w:ascii="Times New Roman" w:hAnsi="Times New Roman" w:cs="Times New Roman"/>
          <w:sz w:val="24"/>
          <w:szCs w:val="24"/>
        </w:rPr>
        <w:t>me credible about the same count. Once a court finds a witness’ evidence incredible against an accused and acquit such an accused</w:t>
      </w:r>
      <w:r w:rsidR="00177CC1">
        <w:rPr>
          <w:rFonts w:ascii="Times New Roman" w:hAnsi="Times New Roman" w:cs="Times New Roman"/>
          <w:sz w:val="24"/>
          <w:szCs w:val="24"/>
        </w:rPr>
        <w:t>,</w:t>
      </w:r>
      <w:r>
        <w:rPr>
          <w:rFonts w:ascii="Times New Roman" w:hAnsi="Times New Roman" w:cs="Times New Roman"/>
          <w:sz w:val="24"/>
          <w:szCs w:val="24"/>
        </w:rPr>
        <w:t xml:space="preserve"> cogent reasons ought to be advanced by the trial court on its change of attitude. This is aptly so where there are jointly tried accused persons. The court </w:t>
      </w:r>
      <w:r w:rsidRPr="00696400">
        <w:rPr>
          <w:rFonts w:ascii="Times New Roman" w:hAnsi="Times New Roman" w:cs="Times New Roman"/>
          <w:i/>
          <w:sz w:val="24"/>
          <w:szCs w:val="24"/>
        </w:rPr>
        <w:t>a quo</w:t>
      </w:r>
      <w:r>
        <w:rPr>
          <w:rFonts w:ascii="Times New Roman" w:hAnsi="Times New Roman" w:cs="Times New Roman"/>
          <w:sz w:val="24"/>
          <w:szCs w:val="24"/>
        </w:rPr>
        <w:t xml:space="preserve"> had concluded that Liberty Kanyama was not an expert and that his evidence against the debtor’s clerk was inadequate, it then detoured into the unknown path in concluding that the same witness’ evidence was validly credible against the appellant that was a gross misdirection.</w:t>
      </w:r>
    </w:p>
    <w:p w:rsidR="009150D1" w:rsidRDefault="009150D1" w:rsidP="009150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once he challenged the signature on </w:t>
      </w:r>
      <w:r w:rsidR="003D60B1">
        <w:rPr>
          <w:rFonts w:ascii="Times New Roman" w:hAnsi="Times New Roman" w:cs="Times New Roman"/>
          <w:sz w:val="24"/>
          <w:szCs w:val="24"/>
        </w:rPr>
        <w:t>the journal had put that</w:t>
      </w:r>
      <w:r>
        <w:rPr>
          <w:rFonts w:ascii="Times New Roman" w:hAnsi="Times New Roman" w:cs="Times New Roman"/>
          <w:sz w:val="24"/>
          <w:szCs w:val="24"/>
        </w:rPr>
        <w:t xml:space="preserve"> aspect int</w:t>
      </w:r>
      <w:r w:rsidR="00716472">
        <w:rPr>
          <w:rFonts w:ascii="Times New Roman" w:hAnsi="Times New Roman" w:cs="Times New Roman"/>
          <w:sz w:val="24"/>
          <w:szCs w:val="24"/>
        </w:rPr>
        <w:t>o dispute. The onus was on the S</w:t>
      </w:r>
      <w:r>
        <w:rPr>
          <w:rFonts w:ascii="Times New Roman" w:hAnsi="Times New Roman" w:cs="Times New Roman"/>
          <w:sz w:val="24"/>
          <w:szCs w:val="24"/>
        </w:rPr>
        <w:t>tate to prove otherwise. The form of evidence to disprove the appellant</w:t>
      </w:r>
      <w:r w:rsidR="007D36D5">
        <w:rPr>
          <w:rFonts w:ascii="Times New Roman" w:hAnsi="Times New Roman" w:cs="Times New Roman"/>
          <w:sz w:val="24"/>
          <w:szCs w:val="24"/>
        </w:rPr>
        <w:t>’s defence was not the</w:t>
      </w:r>
      <w:r>
        <w:rPr>
          <w:rFonts w:ascii="Times New Roman" w:hAnsi="Times New Roman" w:cs="Times New Roman"/>
          <w:sz w:val="24"/>
          <w:szCs w:val="24"/>
        </w:rPr>
        <w:t xml:space="preserve"> evidence of a discredited witness, but one of a handwriting expert. The expert evidence would have among other things proved any reasonable doubt that the signature on the journal was none other than that of the appellant. That evidence would have been sufficient, the court </w:t>
      </w:r>
      <w:r w:rsidRPr="00716472">
        <w:rPr>
          <w:rFonts w:ascii="Times New Roman" w:hAnsi="Times New Roman" w:cs="Times New Roman"/>
          <w:i/>
          <w:sz w:val="24"/>
          <w:szCs w:val="24"/>
        </w:rPr>
        <w:t>a quo</w:t>
      </w:r>
      <w:r>
        <w:rPr>
          <w:rFonts w:ascii="Times New Roman" w:hAnsi="Times New Roman" w:cs="Times New Roman"/>
          <w:sz w:val="24"/>
          <w:szCs w:val="24"/>
        </w:rPr>
        <w:t xml:space="preserve"> would have then be at peace to use that evidence in conjunction with the oral evidence of Mr Liberty </w:t>
      </w:r>
      <w:proofErr w:type="spellStart"/>
      <w:r>
        <w:rPr>
          <w:rFonts w:ascii="Times New Roman" w:hAnsi="Times New Roman" w:cs="Times New Roman"/>
          <w:sz w:val="24"/>
          <w:szCs w:val="24"/>
        </w:rPr>
        <w:t>Kanyanga</w:t>
      </w:r>
      <w:proofErr w:type="spellEnd"/>
      <w:r>
        <w:rPr>
          <w:rFonts w:ascii="Times New Roman" w:hAnsi="Times New Roman" w:cs="Times New Roman"/>
          <w:sz w:val="24"/>
          <w:szCs w:val="24"/>
        </w:rPr>
        <w:t xml:space="preserve"> whose familiarisation with the appellant’s signature would have added more probative value to the totality of the evidence before the court.</w:t>
      </w:r>
    </w:p>
    <w:p w:rsidR="009150D1" w:rsidRDefault="009150D1" w:rsidP="009150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convinced that the first ground of appeal by the appellant is meritorious and it</w:t>
      </w:r>
      <w:r w:rsidR="007F08A8">
        <w:rPr>
          <w:rFonts w:ascii="Times New Roman" w:hAnsi="Times New Roman" w:cs="Times New Roman"/>
          <w:sz w:val="24"/>
          <w:szCs w:val="24"/>
        </w:rPr>
        <w:t xml:space="preserve"> i</w:t>
      </w:r>
      <w:r>
        <w:rPr>
          <w:rFonts w:ascii="Times New Roman" w:hAnsi="Times New Roman" w:cs="Times New Roman"/>
          <w:sz w:val="24"/>
          <w:szCs w:val="24"/>
        </w:rPr>
        <w:t>s upheld.</w:t>
      </w:r>
    </w:p>
    <w:p w:rsidR="00CA640C" w:rsidRPr="00455B52" w:rsidRDefault="009150D1" w:rsidP="00CA640C">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455B52">
        <w:rPr>
          <w:rFonts w:ascii="Times New Roman" w:hAnsi="Times New Roman" w:cs="Times New Roman"/>
          <w:sz w:val="24"/>
          <w:szCs w:val="24"/>
          <w:u w:val="single"/>
        </w:rPr>
        <w:t>Second ground of A</w:t>
      </w:r>
      <w:r w:rsidRPr="00455B52">
        <w:rPr>
          <w:rFonts w:ascii="Times New Roman" w:hAnsi="Times New Roman" w:cs="Times New Roman"/>
          <w:sz w:val="24"/>
          <w:szCs w:val="24"/>
          <w:u w:val="single"/>
        </w:rPr>
        <w:t>ppeal.</w:t>
      </w:r>
    </w:p>
    <w:p w:rsidR="009150D1" w:rsidRDefault="009150D1" w:rsidP="00CA64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Whether the court </w:t>
      </w:r>
      <w:r w:rsidRPr="00C057B7">
        <w:rPr>
          <w:rFonts w:ascii="Times New Roman" w:hAnsi="Times New Roman" w:cs="Times New Roman"/>
          <w:i/>
          <w:sz w:val="24"/>
          <w:szCs w:val="24"/>
        </w:rPr>
        <w:t>a quo</w:t>
      </w:r>
      <w:r>
        <w:rPr>
          <w:rFonts w:ascii="Times New Roman" w:hAnsi="Times New Roman" w:cs="Times New Roman"/>
          <w:sz w:val="24"/>
          <w:szCs w:val="24"/>
        </w:rPr>
        <w:t xml:space="preserve"> grossly misdirecte</w:t>
      </w:r>
      <w:r w:rsidR="00712616">
        <w:rPr>
          <w:rFonts w:ascii="Times New Roman" w:hAnsi="Times New Roman" w:cs="Times New Roman"/>
          <w:sz w:val="24"/>
          <w:szCs w:val="24"/>
        </w:rPr>
        <w:t>d itself both on facts and the l</w:t>
      </w:r>
      <w:r>
        <w:rPr>
          <w:rFonts w:ascii="Times New Roman" w:hAnsi="Times New Roman" w:cs="Times New Roman"/>
          <w:sz w:val="24"/>
          <w:szCs w:val="24"/>
        </w:rPr>
        <w:t>aw when it convicted appellant on count 2 to 14 despite that the jou</w:t>
      </w:r>
      <w:r w:rsidR="008877A9">
        <w:rPr>
          <w:rFonts w:ascii="Times New Roman" w:hAnsi="Times New Roman" w:cs="Times New Roman"/>
          <w:sz w:val="24"/>
          <w:szCs w:val="24"/>
        </w:rPr>
        <w:t>rnals allegedly used were missing</w:t>
      </w:r>
      <w:r>
        <w:rPr>
          <w:rFonts w:ascii="Times New Roman" w:hAnsi="Times New Roman" w:cs="Times New Roman"/>
          <w:sz w:val="24"/>
          <w:szCs w:val="24"/>
        </w:rPr>
        <w:t xml:space="preserve"> and that there was no handwriting expert’s evidence to prove that appellant signed the </w:t>
      </w:r>
      <w:proofErr w:type="gramStart"/>
      <w:r>
        <w:rPr>
          <w:rFonts w:ascii="Times New Roman" w:hAnsi="Times New Roman" w:cs="Times New Roman"/>
          <w:sz w:val="24"/>
          <w:szCs w:val="24"/>
        </w:rPr>
        <w:t>debtors</w:t>
      </w:r>
      <w:proofErr w:type="gramEnd"/>
      <w:r>
        <w:rPr>
          <w:rFonts w:ascii="Times New Roman" w:hAnsi="Times New Roman" w:cs="Times New Roman"/>
          <w:sz w:val="24"/>
          <w:szCs w:val="24"/>
        </w:rPr>
        <w:t xml:space="preserve"> confirmation letters and the journals?</w:t>
      </w:r>
    </w:p>
    <w:p w:rsidR="009150D1" w:rsidRDefault="009150D1" w:rsidP="007F08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order to convict the a</w:t>
      </w:r>
      <w:r w:rsidR="00CA49E7">
        <w:rPr>
          <w:rFonts w:ascii="Times New Roman" w:hAnsi="Times New Roman" w:cs="Times New Roman"/>
          <w:sz w:val="24"/>
          <w:szCs w:val="24"/>
        </w:rPr>
        <w:t>ppellant on counts 2 to 14 the S</w:t>
      </w:r>
      <w:r>
        <w:rPr>
          <w:rFonts w:ascii="Times New Roman" w:hAnsi="Times New Roman" w:cs="Times New Roman"/>
          <w:sz w:val="24"/>
          <w:szCs w:val="24"/>
        </w:rPr>
        <w:t xml:space="preserve">tate was required to produce (a) the journals (b) the </w:t>
      </w:r>
      <w:proofErr w:type="gramStart"/>
      <w:r>
        <w:rPr>
          <w:rFonts w:ascii="Times New Roman" w:hAnsi="Times New Roman" w:cs="Times New Roman"/>
          <w:sz w:val="24"/>
          <w:szCs w:val="24"/>
        </w:rPr>
        <w:t>debtors</w:t>
      </w:r>
      <w:proofErr w:type="gramEnd"/>
      <w:r>
        <w:rPr>
          <w:rFonts w:ascii="Times New Roman" w:hAnsi="Times New Roman" w:cs="Times New Roman"/>
          <w:sz w:val="24"/>
          <w:szCs w:val="24"/>
        </w:rPr>
        <w:t xml:space="preserve"> confirmation and (c) a signed document authored by the ap</w:t>
      </w:r>
      <w:r w:rsidR="00946204">
        <w:rPr>
          <w:rFonts w:ascii="Times New Roman" w:hAnsi="Times New Roman" w:cs="Times New Roman"/>
          <w:sz w:val="24"/>
          <w:szCs w:val="24"/>
        </w:rPr>
        <w:t>pellant. An accurate paper trail</w:t>
      </w:r>
      <w:r>
        <w:rPr>
          <w:rFonts w:ascii="Times New Roman" w:hAnsi="Times New Roman" w:cs="Times New Roman"/>
          <w:sz w:val="24"/>
          <w:szCs w:val="24"/>
        </w:rPr>
        <w:t xml:space="preserve"> outlining all these three essential requirements w</w:t>
      </w:r>
      <w:r w:rsidR="00CA49E7">
        <w:rPr>
          <w:rFonts w:ascii="Times New Roman" w:hAnsi="Times New Roman" w:cs="Times New Roman"/>
          <w:sz w:val="24"/>
          <w:szCs w:val="24"/>
        </w:rPr>
        <w:t>ould have been produced by the S</w:t>
      </w:r>
      <w:r>
        <w:rPr>
          <w:rFonts w:ascii="Times New Roman" w:hAnsi="Times New Roman" w:cs="Times New Roman"/>
          <w:sz w:val="24"/>
          <w:szCs w:val="24"/>
        </w:rPr>
        <w:t>tate to prove that.</w:t>
      </w:r>
    </w:p>
    <w:p w:rsidR="009150D1" w:rsidRPr="00B44327" w:rsidRDefault="00C9558F" w:rsidP="007F08A8">
      <w:pPr>
        <w:pStyle w:val="ListParagraph"/>
        <w:numPr>
          <w:ilvl w:val="0"/>
          <w:numId w:val="3"/>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9150D1">
        <w:rPr>
          <w:rFonts w:ascii="Times New Roman" w:hAnsi="Times New Roman" w:cs="Times New Roman"/>
          <w:sz w:val="24"/>
          <w:szCs w:val="24"/>
        </w:rPr>
        <w:t>he</w:t>
      </w:r>
      <w:proofErr w:type="gramEnd"/>
      <w:r w:rsidR="009150D1">
        <w:rPr>
          <w:rFonts w:ascii="Times New Roman" w:hAnsi="Times New Roman" w:cs="Times New Roman"/>
          <w:sz w:val="24"/>
          <w:szCs w:val="24"/>
        </w:rPr>
        <w:t xml:space="preserve"> appellant </w:t>
      </w:r>
      <w:r w:rsidR="009150D1" w:rsidRPr="00B44327">
        <w:rPr>
          <w:rFonts w:ascii="Times New Roman" w:hAnsi="Times New Roman" w:cs="Times New Roman"/>
          <w:sz w:val="24"/>
          <w:szCs w:val="24"/>
        </w:rPr>
        <w:t>intentionally made a false representation of fact to defraud a particular agent or employee of complainant and that such a false representation actually caused prejudice or potentially prejudiced the complainant.</w:t>
      </w:r>
    </w:p>
    <w:p w:rsidR="009150D1" w:rsidRDefault="009150D1" w:rsidP="009150D1">
      <w:pPr>
        <w:pStyle w:val="ListParagraph"/>
        <w:numPr>
          <w:ilvl w:val="0"/>
          <w:numId w:val="3"/>
        </w:numPr>
        <w:tabs>
          <w:tab w:val="left" w:pos="720"/>
        </w:tabs>
        <w:spacing w:line="360" w:lineRule="auto"/>
        <w:jc w:val="both"/>
        <w:rPr>
          <w:rFonts w:ascii="Times New Roman" w:hAnsi="Times New Roman" w:cs="Times New Roman"/>
          <w:sz w:val="24"/>
          <w:szCs w:val="24"/>
        </w:rPr>
      </w:pPr>
      <w:r w:rsidRPr="00B44327">
        <w:rPr>
          <w:rFonts w:ascii="Times New Roman" w:hAnsi="Times New Roman" w:cs="Times New Roman"/>
          <w:sz w:val="24"/>
          <w:szCs w:val="24"/>
        </w:rPr>
        <w:t xml:space="preserve"> </w:t>
      </w:r>
      <w:r w:rsidR="00C9558F">
        <w:rPr>
          <w:rFonts w:ascii="Times New Roman" w:hAnsi="Times New Roman" w:cs="Times New Roman"/>
          <w:sz w:val="24"/>
          <w:szCs w:val="24"/>
        </w:rPr>
        <w:t>t</w:t>
      </w:r>
      <w:r>
        <w:rPr>
          <w:rFonts w:ascii="Times New Roman" w:hAnsi="Times New Roman" w:cs="Times New Roman"/>
          <w:sz w:val="24"/>
          <w:szCs w:val="24"/>
        </w:rPr>
        <w:t xml:space="preserve">hat the false statement was made with intent or that there was a real risk or possibility of deceiving complainant or that the misrepresentation may be relied upon by the complaint to its prejudice </w:t>
      </w:r>
    </w:p>
    <w:p w:rsidR="009150D1" w:rsidRDefault="00C9558F" w:rsidP="009150D1">
      <w:pPr>
        <w:pStyle w:val="ListParagraph"/>
        <w:numPr>
          <w:ilvl w:val="0"/>
          <w:numId w:val="3"/>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9150D1">
        <w:rPr>
          <w:rFonts w:ascii="Times New Roman" w:hAnsi="Times New Roman" w:cs="Times New Roman"/>
          <w:sz w:val="24"/>
          <w:szCs w:val="24"/>
        </w:rPr>
        <w:t>he</w:t>
      </w:r>
      <w:proofErr w:type="gramEnd"/>
      <w:r w:rsidR="009150D1">
        <w:rPr>
          <w:rFonts w:ascii="Times New Roman" w:hAnsi="Times New Roman" w:cs="Times New Roman"/>
          <w:sz w:val="24"/>
          <w:szCs w:val="24"/>
        </w:rPr>
        <w:t xml:space="preserve"> causative link between any misrepresentation and the actual or potential prejudice is an important element of the offence and a vital as</w:t>
      </w:r>
      <w:r>
        <w:rPr>
          <w:rFonts w:ascii="Times New Roman" w:hAnsi="Times New Roman" w:cs="Times New Roman"/>
          <w:sz w:val="24"/>
          <w:szCs w:val="24"/>
        </w:rPr>
        <w:t>pect of the enquiry by the triar</w:t>
      </w:r>
      <w:r w:rsidR="009150D1">
        <w:rPr>
          <w:rFonts w:ascii="Times New Roman" w:hAnsi="Times New Roman" w:cs="Times New Roman"/>
          <w:sz w:val="24"/>
          <w:szCs w:val="24"/>
        </w:rPr>
        <w:t xml:space="preserve"> of facts.</w:t>
      </w:r>
    </w:p>
    <w:p w:rsidR="009150D1" w:rsidRDefault="00C9558F" w:rsidP="009150D1">
      <w:pPr>
        <w:pStyle w:val="ListParagraph"/>
        <w:numPr>
          <w:ilvl w:val="0"/>
          <w:numId w:val="3"/>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9150D1">
        <w:rPr>
          <w:rFonts w:ascii="Times New Roman" w:hAnsi="Times New Roman" w:cs="Times New Roman"/>
          <w:sz w:val="24"/>
          <w:szCs w:val="24"/>
        </w:rPr>
        <w:t>he</w:t>
      </w:r>
      <w:proofErr w:type="gramEnd"/>
      <w:r w:rsidR="009150D1">
        <w:rPr>
          <w:rFonts w:ascii="Times New Roman" w:hAnsi="Times New Roman" w:cs="Times New Roman"/>
          <w:sz w:val="24"/>
          <w:szCs w:val="24"/>
        </w:rPr>
        <w:t xml:space="preserve"> causative element is implicit in the concept of potential prejudice.</w:t>
      </w:r>
    </w:p>
    <w:p w:rsidR="009150D1" w:rsidRDefault="009150D1" w:rsidP="00920D8E">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central point or quintessence of count 2 to 14 in this appeal is the journal.  The journal is delta of the charges</w:t>
      </w:r>
      <w:r w:rsidR="001E1387">
        <w:rPr>
          <w:rFonts w:ascii="Times New Roman" w:hAnsi="Times New Roman" w:cs="Times New Roman"/>
          <w:sz w:val="24"/>
          <w:szCs w:val="24"/>
        </w:rPr>
        <w:t>,</w:t>
      </w:r>
      <w:r>
        <w:rPr>
          <w:rFonts w:ascii="Times New Roman" w:hAnsi="Times New Roman" w:cs="Times New Roman"/>
          <w:sz w:val="24"/>
          <w:szCs w:val="24"/>
        </w:rPr>
        <w:t xml:space="preserve"> the debtor’s confirmation is a tributary that flows from that fountain. The liability of the appellant must be premised on these documents which must be proved by the state beyond any reasonable doubt that appellant is guilty. The journals are absent from the paper trail</w:t>
      </w:r>
      <w:r w:rsidR="00BA4C9E">
        <w:rPr>
          <w:rFonts w:ascii="Times New Roman" w:hAnsi="Times New Roman" w:cs="Times New Roman"/>
          <w:sz w:val="24"/>
          <w:szCs w:val="24"/>
        </w:rPr>
        <w:t>,</w:t>
      </w:r>
      <w:r>
        <w:rPr>
          <w:rFonts w:ascii="Times New Roman" w:hAnsi="Times New Roman" w:cs="Times New Roman"/>
          <w:sz w:val="24"/>
          <w:szCs w:val="24"/>
        </w:rPr>
        <w:t xml:space="preserve"> they are not part of the r</w:t>
      </w:r>
      <w:r w:rsidR="00920D8E">
        <w:rPr>
          <w:rFonts w:ascii="Times New Roman" w:hAnsi="Times New Roman" w:cs="Times New Roman"/>
          <w:sz w:val="24"/>
          <w:szCs w:val="24"/>
        </w:rPr>
        <w:t>ecord of proceedings at all. It is</w:t>
      </w:r>
      <w:r>
        <w:rPr>
          <w:rFonts w:ascii="Times New Roman" w:hAnsi="Times New Roman" w:cs="Times New Roman"/>
          <w:sz w:val="24"/>
          <w:szCs w:val="24"/>
        </w:rPr>
        <w:t xml:space="preserve"> not clear as to who created these journals an</w:t>
      </w:r>
      <w:r w:rsidR="00B41900">
        <w:rPr>
          <w:rFonts w:ascii="Times New Roman" w:hAnsi="Times New Roman" w:cs="Times New Roman"/>
          <w:sz w:val="24"/>
          <w:szCs w:val="24"/>
        </w:rPr>
        <w:t>d their probative value to the S</w:t>
      </w:r>
      <w:r>
        <w:rPr>
          <w:rFonts w:ascii="Times New Roman" w:hAnsi="Times New Roman" w:cs="Times New Roman"/>
          <w:sz w:val="24"/>
          <w:szCs w:val="24"/>
        </w:rPr>
        <w:t>tate case has not been p</w:t>
      </w:r>
      <w:r w:rsidR="00B41900">
        <w:rPr>
          <w:rFonts w:ascii="Times New Roman" w:hAnsi="Times New Roman" w:cs="Times New Roman"/>
          <w:sz w:val="24"/>
          <w:szCs w:val="24"/>
        </w:rPr>
        <w:t>roved</w:t>
      </w:r>
      <w:r w:rsidR="00610403">
        <w:rPr>
          <w:rFonts w:ascii="Times New Roman" w:hAnsi="Times New Roman" w:cs="Times New Roman"/>
          <w:sz w:val="24"/>
          <w:szCs w:val="24"/>
        </w:rPr>
        <w:t>. W</w:t>
      </w:r>
      <w:r w:rsidR="00B41900">
        <w:rPr>
          <w:rFonts w:ascii="Times New Roman" w:hAnsi="Times New Roman" w:cs="Times New Roman"/>
          <w:sz w:val="24"/>
          <w:szCs w:val="24"/>
        </w:rPr>
        <w:t>hat was produced by the S</w:t>
      </w:r>
      <w:r>
        <w:rPr>
          <w:rFonts w:ascii="Times New Roman" w:hAnsi="Times New Roman" w:cs="Times New Roman"/>
          <w:sz w:val="24"/>
          <w:szCs w:val="24"/>
        </w:rPr>
        <w:t>tate is or were the debtor’s confirmation</w:t>
      </w:r>
      <w:r w:rsidR="005D1F89">
        <w:rPr>
          <w:rFonts w:ascii="Times New Roman" w:hAnsi="Times New Roman" w:cs="Times New Roman"/>
          <w:sz w:val="24"/>
          <w:szCs w:val="24"/>
        </w:rPr>
        <w:t>s</w:t>
      </w:r>
      <w:r>
        <w:rPr>
          <w:rFonts w:ascii="Times New Roman" w:hAnsi="Times New Roman" w:cs="Times New Roman"/>
          <w:sz w:val="24"/>
          <w:szCs w:val="24"/>
        </w:rPr>
        <w:t xml:space="preserve"> whose signatory on the debtor’s confirmation was not scientifically proved to be that of the appellant. The signature could have created a suspicion that it could have been that of appellant but that suspicio</w:t>
      </w:r>
      <w:r w:rsidR="00683C92">
        <w:rPr>
          <w:rFonts w:ascii="Times New Roman" w:hAnsi="Times New Roman" w:cs="Times New Roman"/>
          <w:sz w:val="24"/>
          <w:szCs w:val="24"/>
        </w:rPr>
        <w:t>n could have been removed only i</w:t>
      </w:r>
      <w:r>
        <w:rPr>
          <w:rFonts w:ascii="Times New Roman" w:hAnsi="Times New Roman" w:cs="Times New Roman"/>
          <w:sz w:val="24"/>
          <w:szCs w:val="24"/>
        </w:rPr>
        <w:t>f a handwriting expert could have been called. The testimony of Liberty K</w:t>
      </w:r>
      <w:r w:rsidR="00920D8E">
        <w:rPr>
          <w:rFonts w:ascii="Times New Roman" w:hAnsi="Times New Roman" w:cs="Times New Roman"/>
          <w:sz w:val="24"/>
          <w:szCs w:val="24"/>
        </w:rPr>
        <w:t>anyama can</w:t>
      </w:r>
      <w:r>
        <w:rPr>
          <w:rFonts w:ascii="Times New Roman" w:hAnsi="Times New Roman" w:cs="Times New Roman"/>
          <w:sz w:val="24"/>
          <w:szCs w:val="24"/>
        </w:rPr>
        <w:t>not pass the standard of being reasonable in order for a court to say with conviction that the only reasonable inference from the proved facts was one of guilt. Someone else other than appellant could have created the journals, som</w:t>
      </w:r>
      <w:r w:rsidR="00EB5D21">
        <w:rPr>
          <w:rFonts w:ascii="Times New Roman" w:hAnsi="Times New Roman" w:cs="Times New Roman"/>
          <w:sz w:val="24"/>
          <w:szCs w:val="24"/>
        </w:rPr>
        <w:t>eone else</w:t>
      </w:r>
      <w:r>
        <w:rPr>
          <w:rFonts w:ascii="Times New Roman" w:hAnsi="Times New Roman" w:cs="Times New Roman"/>
          <w:sz w:val="24"/>
          <w:szCs w:val="24"/>
        </w:rPr>
        <w:t xml:space="preserve"> who im</w:t>
      </w:r>
      <w:r w:rsidR="00E6508E">
        <w:rPr>
          <w:rFonts w:ascii="Times New Roman" w:hAnsi="Times New Roman" w:cs="Times New Roman"/>
          <w:sz w:val="24"/>
          <w:szCs w:val="24"/>
        </w:rPr>
        <w:t>itated appellant’s usually known</w:t>
      </w:r>
      <w:r>
        <w:rPr>
          <w:rFonts w:ascii="Times New Roman" w:hAnsi="Times New Roman" w:cs="Times New Roman"/>
          <w:sz w:val="24"/>
          <w:szCs w:val="24"/>
        </w:rPr>
        <w:t xml:space="preserve"> signature could have possibly signed the </w:t>
      </w:r>
      <w:proofErr w:type="gramStart"/>
      <w:r>
        <w:rPr>
          <w:rFonts w:ascii="Times New Roman" w:hAnsi="Times New Roman" w:cs="Times New Roman"/>
          <w:sz w:val="24"/>
          <w:szCs w:val="24"/>
        </w:rPr>
        <w:t>debtors</w:t>
      </w:r>
      <w:proofErr w:type="gramEnd"/>
      <w:r>
        <w:rPr>
          <w:rFonts w:ascii="Times New Roman" w:hAnsi="Times New Roman" w:cs="Times New Roman"/>
          <w:sz w:val="24"/>
          <w:szCs w:val="24"/>
        </w:rPr>
        <w:t xml:space="preserve"> confirmation.</w:t>
      </w:r>
    </w:p>
    <w:p w:rsidR="009150D1" w:rsidRDefault="009150D1" w:rsidP="009150D1">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These possibilities invariably qualify </w:t>
      </w:r>
      <w:r w:rsidR="00DE4E4A">
        <w:rPr>
          <w:rFonts w:ascii="Times New Roman" w:hAnsi="Times New Roman" w:cs="Times New Roman"/>
          <w:sz w:val="24"/>
          <w:szCs w:val="24"/>
        </w:rPr>
        <w:t>to be reasonable doubts to the S</w:t>
      </w:r>
      <w:r>
        <w:rPr>
          <w:rFonts w:ascii="Times New Roman" w:hAnsi="Times New Roman" w:cs="Times New Roman"/>
          <w:sz w:val="24"/>
          <w:szCs w:val="24"/>
        </w:rPr>
        <w:t>tate case and where such patently exist, they ought to benefit the appellant. The convictions of appellant on counts 2 to 14 are not supported by documentary evidence and the ground of appeal has merit and it</w:t>
      </w:r>
      <w:r w:rsidR="00762FE0">
        <w:rPr>
          <w:rFonts w:ascii="Times New Roman" w:hAnsi="Times New Roman" w:cs="Times New Roman"/>
          <w:sz w:val="24"/>
          <w:szCs w:val="24"/>
        </w:rPr>
        <w:t xml:space="preserve"> i</w:t>
      </w:r>
      <w:r>
        <w:rPr>
          <w:rFonts w:ascii="Times New Roman" w:hAnsi="Times New Roman" w:cs="Times New Roman"/>
          <w:sz w:val="24"/>
          <w:szCs w:val="24"/>
        </w:rPr>
        <w:t>s upheld.</w:t>
      </w:r>
    </w:p>
    <w:p w:rsidR="009150D1" w:rsidRDefault="009150D1" w:rsidP="009150D1">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third ground of appeal is that the court </w:t>
      </w:r>
      <w:r w:rsidRPr="004336B0">
        <w:rPr>
          <w:rFonts w:ascii="Times New Roman" w:hAnsi="Times New Roman" w:cs="Times New Roman"/>
          <w:i/>
          <w:sz w:val="24"/>
          <w:szCs w:val="24"/>
        </w:rPr>
        <w:t>a quo</w:t>
      </w:r>
      <w:r>
        <w:rPr>
          <w:rFonts w:ascii="Times New Roman" w:hAnsi="Times New Roman" w:cs="Times New Roman"/>
          <w:sz w:val="24"/>
          <w:szCs w:val="24"/>
        </w:rPr>
        <w:t xml:space="preserve"> misdirected itself both on facts and law when it made a finding that the username that was used to reverse genuine transactions and credit Ukuzenzele’s account belongs to the appellant despite that there was no evidence adduced by IT specialist to that effect.</w:t>
      </w:r>
    </w:p>
    <w:p w:rsidR="009150D1" w:rsidRDefault="009150D1" w:rsidP="009150D1">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35351F">
        <w:rPr>
          <w:rFonts w:ascii="Times New Roman" w:hAnsi="Times New Roman" w:cs="Times New Roman"/>
          <w:i/>
          <w:sz w:val="24"/>
          <w:szCs w:val="24"/>
        </w:rPr>
        <w:t>a quo</w:t>
      </w:r>
      <w:r w:rsidR="0015071E">
        <w:rPr>
          <w:rFonts w:ascii="Times New Roman" w:hAnsi="Times New Roman" w:cs="Times New Roman"/>
          <w:sz w:val="24"/>
          <w:szCs w:val="24"/>
        </w:rPr>
        <w:t xml:space="preserve"> in its judg</w:t>
      </w:r>
      <w:r>
        <w:rPr>
          <w:rFonts w:ascii="Times New Roman" w:hAnsi="Times New Roman" w:cs="Times New Roman"/>
          <w:sz w:val="24"/>
          <w:szCs w:val="24"/>
        </w:rPr>
        <w:t>ment admi</w:t>
      </w:r>
      <w:r w:rsidR="00F01D74">
        <w:rPr>
          <w:rFonts w:ascii="Times New Roman" w:hAnsi="Times New Roman" w:cs="Times New Roman"/>
          <w:sz w:val="24"/>
          <w:szCs w:val="24"/>
        </w:rPr>
        <w:t>ts that no specialist from the I</w:t>
      </w:r>
      <w:r>
        <w:rPr>
          <w:rFonts w:ascii="Times New Roman" w:hAnsi="Times New Roman" w:cs="Times New Roman"/>
          <w:sz w:val="24"/>
          <w:szCs w:val="24"/>
        </w:rPr>
        <w:t xml:space="preserve">nformation Technology Department of the complainant was called to testify. However the </w:t>
      </w:r>
      <w:r w:rsidR="00257862">
        <w:rPr>
          <w:rFonts w:ascii="Times New Roman" w:hAnsi="Times New Roman" w:cs="Times New Roman"/>
          <w:sz w:val="24"/>
          <w:szCs w:val="24"/>
        </w:rPr>
        <w:t>lower court concluded that the S</w:t>
      </w:r>
      <w:r>
        <w:rPr>
          <w:rFonts w:ascii="Times New Roman" w:hAnsi="Times New Roman" w:cs="Times New Roman"/>
          <w:sz w:val="24"/>
          <w:szCs w:val="24"/>
        </w:rPr>
        <w:t xml:space="preserve">tate managed to prove that no one else in complainant’s company used the username T Mpofu, other than the appellant. That conclusion is unfortunately not supported by fact established by the state’s evidence. It could </w:t>
      </w:r>
      <w:r w:rsidR="00452562">
        <w:rPr>
          <w:rFonts w:ascii="Times New Roman" w:hAnsi="Times New Roman" w:cs="Times New Roman"/>
          <w:sz w:val="24"/>
          <w:szCs w:val="24"/>
        </w:rPr>
        <w:t>have been a sound conclusion had</w:t>
      </w:r>
      <w:r w:rsidR="000C0C6F">
        <w:rPr>
          <w:rFonts w:ascii="Times New Roman" w:hAnsi="Times New Roman" w:cs="Times New Roman"/>
          <w:sz w:val="24"/>
          <w:szCs w:val="24"/>
        </w:rPr>
        <w:t xml:space="preserve"> an expert from the Information Technology D</w:t>
      </w:r>
      <w:r>
        <w:rPr>
          <w:rFonts w:ascii="Times New Roman" w:hAnsi="Times New Roman" w:cs="Times New Roman"/>
          <w:sz w:val="24"/>
          <w:szCs w:val="24"/>
        </w:rPr>
        <w:t xml:space="preserve">epartment of the complainant had led such evidence and shown that, the person registered in their equipment, legally authorised to use the username of T. Mpofu was none other than the appellant and </w:t>
      </w:r>
      <w:r w:rsidR="00873A26">
        <w:rPr>
          <w:rFonts w:ascii="Times New Roman" w:hAnsi="Times New Roman" w:cs="Times New Roman"/>
          <w:sz w:val="24"/>
          <w:szCs w:val="24"/>
        </w:rPr>
        <w:t>t</w:t>
      </w:r>
      <w:r>
        <w:rPr>
          <w:rFonts w:ascii="Times New Roman" w:hAnsi="Times New Roman" w:cs="Times New Roman"/>
          <w:sz w:val="24"/>
          <w:szCs w:val="24"/>
        </w:rPr>
        <w:t>hat, evidence supported by hard copies or authorities to authenticate that, the triar of facts would have logically reached at such a conclus</w:t>
      </w:r>
      <w:r w:rsidR="00C07863">
        <w:rPr>
          <w:rFonts w:ascii="Times New Roman" w:hAnsi="Times New Roman" w:cs="Times New Roman"/>
          <w:sz w:val="24"/>
          <w:szCs w:val="24"/>
        </w:rPr>
        <w:t>ion. The court wonders why the S</w:t>
      </w:r>
      <w:r>
        <w:rPr>
          <w:rFonts w:ascii="Times New Roman" w:hAnsi="Times New Roman" w:cs="Times New Roman"/>
          <w:sz w:val="24"/>
          <w:szCs w:val="24"/>
        </w:rPr>
        <w:t>tate was in a hurry to dispens</w:t>
      </w:r>
      <w:r w:rsidR="00DF2851">
        <w:rPr>
          <w:rFonts w:ascii="Times New Roman" w:hAnsi="Times New Roman" w:cs="Times New Roman"/>
          <w:sz w:val="24"/>
          <w:szCs w:val="24"/>
        </w:rPr>
        <w:t xml:space="preserve">e with the trial leaving such salient </w:t>
      </w:r>
      <w:r>
        <w:rPr>
          <w:rFonts w:ascii="Times New Roman" w:hAnsi="Times New Roman" w:cs="Times New Roman"/>
          <w:sz w:val="24"/>
          <w:szCs w:val="24"/>
        </w:rPr>
        <w:t>evidence not covered herein all these lacunae would hav</w:t>
      </w:r>
      <w:r w:rsidR="001C6EAC">
        <w:rPr>
          <w:rFonts w:ascii="Times New Roman" w:hAnsi="Times New Roman" w:cs="Times New Roman"/>
          <w:sz w:val="24"/>
          <w:szCs w:val="24"/>
        </w:rPr>
        <w:t>e sealed all the doubts in the S</w:t>
      </w:r>
      <w:r>
        <w:rPr>
          <w:rFonts w:ascii="Times New Roman" w:hAnsi="Times New Roman" w:cs="Times New Roman"/>
          <w:sz w:val="24"/>
          <w:szCs w:val="24"/>
        </w:rPr>
        <w:t>tate case. More</w:t>
      </w:r>
      <w:r w:rsidR="005B21B5">
        <w:rPr>
          <w:rFonts w:ascii="Times New Roman" w:hAnsi="Times New Roman" w:cs="Times New Roman"/>
          <w:sz w:val="24"/>
          <w:szCs w:val="24"/>
        </w:rPr>
        <w:t xml:space="preserve"> </w:t>
      </w:r>
      <w:r>
        <w:rPr>
          <w:rFonts w:ascii="Times New Roman" w:hAnsi="Times New Roman" w:cs="Times New Roman"/>
          <w:sz w:val="24"/>
          <w:szCs w:val="24"/>
        </w:rPr>
        <w:t>so where it is not established by the state as to what appellant stood to benefit out of the transactions. W</w:t>
      </w:r>
      <w:r w:rsidR="0020478F">
        <w:rPr>
          <w:rFonts w:ascii="Times New Roman" w:hAnsi="Times New Roman" w:cs="Times New Roman"/>
          <w:sz w:val="24"/>
          <w:szCs w:val="24"/>
        </w:rPr>
        <w:t>hat remains problematic in the S</w:t>
      </w:r>
      <w:r>
        <w:rPr>
          <w:rFonts w:ascii="Times New Roman" w:hAnsi="Times New Roman" w:cs="Times New Roman"/>
          <w:sz w:val="24"/>
          <w:szCs w:val="24"/>
        </w:rPr>
        <w:t>tate case was and still remains evidence of experts, in the absence</w:t>
      </w:r>
      <w:r w:rsidR="0020478F">
        <w:rPr>
          <w:rFonts w:ascii="Times New Roman" w:hAnsi="Times New Roman" w:cs="Times New Roman"/>
          <w:sz w:val="24"/>
          <w:szCs w:val="24"/>
        </w:rPr>
        <w:t xml:space="preserve"> of expert evidence led by the S</w:t>
      </w:r>
      <w:r>
        <w:rPr>
          <w:rFonts w:ascii="Times New Roman" w:hAnsi="Times New Roman" w:cs="Times New Roman"/>
          <w:sz w:val="24"/>
          <w:szCs w:val="24"/>
        </w:rPr>
        <w:t>tate, the case against the appellant suffered a still birth. The third ground of appeal is equally meritorious and it is upheld.</w:t>
      </w:r>
    </w:p>
    <w:p w:rsidR="009150D1" w:rsidRDefault="009150D1" w:rsidP="007F08A8">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same conclusio</w:t>
      </w:r>
      <w:r w:rsidR="00F47185">
        <w:rPr>
          <w:rFonts w:ascii="Times New Roman" w:hAnsi="Times New Roman" w:cs="Times New Roman"/>
          <w:sz w:val="24"/>
          <w:szCs w:val="24"/>
        </w:rPr>
        <w:t>n relating to the user name can</w:t>
      </w:r>
      <w:r>
        <w:rPr>
          <w:rFonts w:ascii="Times New Roman" w:hAnsi="Times New Roman" w:cs="Times New Roman"/>
          <w:sz w:val="24"/>
          <w:szCs w:val="24"/>
        </w:rPr>
        <w:t xml:space="preserve"> safely be reached relating to the last and fo</w:t>
      </w:r>
      <w:r w:rsidR="00C72B5B">
        <w:rPr>
          <w:rFonts w:ascii="Times New Roman" w:hAnsi="Times New Roman" w:cs="Times New Roman"/>
          <w:sz w:val="24"/>
          <w:szCs w:val="24"/>
        </w:rPr>
        <w:t>u</w:t>
      </w:r>
      <w:r>
        <w:rPr>
          <w:rFonts w:ascii="Times New Roman" w:hAnsi="Times New Roman" w:cs="Times New Roman"/>
          <w:sz w:val="24"/>
          <w:szCs w:val="24"/>
        </w:rPr>
        <w:t>rth ground of appeal. Someone else other than the appellant could have used the username T. Mpofu in reversing genuine transactions and fraudulently credited Ukuzenzele’s ac</w:t>
      </w:r>
      <w:r w:rsidR="00042552">
        <w:rPr>
          <w:rFonts w:ascii="Times New Roman" w:hAnsi="Times New Roman" w:cs="Times New Roman"/>
          <w:sz w:val="24"/>
          <w:szCs w:val="24"/>
        </w:rPr>
        <w:t>count. The evidence led by the S</w:t>
      </w:r>
      <w:r>
        <w:rPr>
          <w:rFonts w:ascii="Times New Roman" w:hAnsi="Times New Roman" w:cs="Times New Roman"/>
          <w:sz w:val="24"/>
          <w:szCs w:val="24"/>
        </w:rPr>
        <w:t>tate tittered on edges and left a lot of questions unexplored. These unchatted problems cr</w:t>
      </w:r>
      <w:r w:rsidR="00B00070">
        <w:rPr>
          <w:rFonts w:ascii="Times New Roman" w:hAnsi="Times New Roman" w:cs="Times New Roman"/>
          <w:sz w:val="24"/>
          <w:szCs w:val="24"/>
        </w:rPr>
        <w:t>eated doubt on the part of the S</w:t>
      </w:r>
      <w:r>
        <w:rPr>
          <w:rFonts w:ascii="Times New Roman" w:hAnsi="Times New Roman" w:cs="Times New Roman"/>
          <w:sz w:val="24"/>
          <w:szCs w:val="24"/>
        </w:rPr>
        <w:t>tate and such doubt must be in the appellant’s favour. The fo</w:t>
      </w:r>
      <w:r w:rsidR="008F795A">
        <w:rPr>
          <w:rFonts w:ascii="Times New Roman" w:hAnsi="Times New Roman" w:cs="Times New Roman"/>
          <w:sz w:val="24"/>
          <w:szCs w:val="24"/>
        </w:rPr>
        <w:t>u</w:t>
      </w:r>
      <w:r>
        <w:rPr>
          <w:rFonts w:ascii="Times New Roman" w:hAnsi="Times New Roman" w:cs="Times New Roman"/>
          <w:sz w:val="24"/>
          <w:szCs w:val="24"/>
        </w:rPr>
        <w:t>rth ground of appeal has merit and it is upheld.</w:t>
      </w:r>
    </w:p>
    <w:p w:rsidR="009150D1" w:rsidRDefault="009150D1" w:rsidP="009150D1">
      <w:pPr>
        <w:spacing w:line="360" w:lineRule="auto"/>
        <w:jc w:val="both"/>
        <w:rPr>
          <w:rFonts w:ascii="Times New Roman" w:hAnsi="Times New Roman" w:cs="Times New Roman"/>
          <w:sz w:val="24"/>
          <w:szCs w:val="24"/>
          <w:u w:val="single"/>
        </w:rPr>
      </w:pPr>
      <w:r w:rsidRPr="00F76863">
        <w:rPr>
          <w:rFonts w:ascii="Times New Roman" w:hAnsi="Times New Roman" w:cs="Times New Roman"/>
          <w:sz w:val="24"/>
          <w:szCs w:val="24"/>
          <w:u w:val="single"/>
        </w:rPr>
        <w:t xml:space="preserve">DISPOSITION. </w:t>
      </w:r>
    </w:p>
    <w:p w:rsidR="009150D1" w:rsidRDefault="009150D1" w:rsidP="009150D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It is ordered that:</w:t>
      </w:r>
    </w:p>
    <w:p w:rsidR="009150D1" w:rsidRDefault="009150D1" w:rsidP="009150D1">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appeal against conviction be and is hereby allowed.</w:t>
      </w:r>
    </w:p>
    <w:p w:rsidR="009150D1" w:rsidRDefault="009150D1" w:rsidP="009150D1">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appellant’s conviction on all counts be and is hereby set aside and substituted with the following</w:t>
      </w:r>
    </w:p>
    <w:p w:rsidR="009150D1" w:rsidRDefault="009150D1" w:rsidP="009150D1">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“Accused is found not guilty and acquitted on all counts.”</w:t>
      </w:r>
    </w:p>
    <w:p w:rsidR="003C0684" w:rsidRDefault="003C0684" w:rsidP="009150D1">
      <w:pPr>
        <w:spacing w:line="360" w:lineRule="auto"/>
        <w:jc w:val="both"/>
        <w:rPr>
          <w:rFonts w:ascii="Times New Roman" w:hAnsi="Times New Roman" w:cs="Times New Roman"/>
          <w:sz w:val="24"/>
          <w:szCs w:val="24"/>
        </w:rPr>
      </w:pPr>
      <w:bookmarkStart w:id="0" w:name="_GoBack"/>
      <w:bookmarkEnd w:id="0"/>
    </w:p>
    <w:p w:rsidR="00726455" w:rsidRDefault="00726455" w:rsidP="00726455">
      <w:pPr>
        <w:spacing w:line="240" w:lineRule="auto"/>
        <w:jc w:val="both"/>
        <w:rPr>
          <w:rFonts w:ascii="Times New Roman" w:hAnsi="Times New Roman" w:cs="Times New Roman"/>
        </w:rPr>
      </w:pPr>
      <w:r>
        <w:rPr>
          <w:rFonts w:ascii="Times New Roman" w:hAnsi="Times New Roman" w:cs="Times New Roman"/>
        </w:rPr>
        <w:t>MWAYERA J agrees__________________________</w:t>
      </w:r>
    </w:p>
    <w:p w:rsidR="00726455" w:rsidRDefault="00726455" w:rsidP="00726455">
      <w:pPr>
        <w:spacing w:line="240" w:lineRule="auto"/>
        <w:jc w:val="both"/>
        <w:rPr>
          <w:rFonts w:ascii="Times New Roman" w:hAnsi="Times New Roman" w:cs="Times New Roman"/>
        </w:rPr>
      </w:pPr>
    </w:p>
    <w:p w:rsidR="003C0684" w:rsidRDefault="003C0684" w:rsidP="009150D1">
      <w:pPr>
        <w:spacing w:after="0" w:line="240" w:lineRule="auto"/>
        <w:jc w:val="both"/>
        <w:rPr>
          <w:rFonts w:ascii="Times New Roman" w:hAnsi="Times New Roman" w:cs="Times New Roman"/>
          <w:sz w:val="24"/>
          <w:szCs w:val="24"/>
        </w:rPr>
      </w:pPr>
    </w:p>
    <w:p w:rsidR="009150D1" w:rsidRDefault="009150D1" w:rsidP="009150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Messrs </w:t>
      </w:r>
      <w:proofErr w:type="spellStart"/>
      <w:r w:rsidRPr="00F76863">
        <w:rPr>
          <w:rFonts w:ascii="Times New Roman" w:hAnsi="Times New Roman" w:cs="Times New Roman"/>
          <w:i/>
          <w:sz w:val="24"/>
          <w:szCs w:val="24"/>
        </w:rPr>
        <w:t>Chibaya</w:t>
      </w:r>
      <w:proofErr w:type="spellEnd"/>
      <w:r w:rsidRPr="00F76863">
        <w:rPr>
          <w:rFonts w:ascii="Times New Roman" w:hAnsi="Times New Roman" w:cs="Times New Roman"/>
          <w:i/>
          <w:sz w:val="24"/>
          <w:szCs w:val="24"/>
        </w:rPr>
        <w:t xml:space="preserve"> and Partners</w:t>
      </w:r>
      <w:r>
        <w:rPr>
          <w:rFonts w:ascii="Times New Roman" w:hAnsi="Times New Roman" w:cs="Times New Roman"/>
          <w:sz w:val="24"/>
          <w:szCs w:val="24"/>
        </w:rPr>
        <w:t>, Appellant’s Legal Practitioners</w:t>
      </w:r>
    </w:p>
    <w:p w:rsidR="009150D1" w:rsidRPr="00F76863" w:rsidRDefault="009150D1" w:rsidP="009150D1">
      <w:pPr>
        <w:spacing w:after="0" w:line="240" w:lineRule="auto"/>
        <w:jc w:val="both"/>
        <w:rPr>
          <w:rFonts w:ascii="Times New Roman" w:hAnsi="Times New Roman" w:cs="Times New Roman"/>
          <w:sz w:val="24"/>
          <w:szCs w:val="24"/>
        </w:rPr>
      </w:pPr>
      <w:r w:rsidRPr="00F76863">
        <w:rPr>
          <w:rFonts w:ascii="Times New Roman" w:hAnsi="Times New Roman" w:cs="Times New Roman"/>
          <w:i/>
          <w:sz w:val="24"/>
          <w:szCs w:val="24"/>
        </w:rPr>
        <w:t>National Prosecuting Authority</w:t>
      </w:r>
      <w:r>
        <w:rPr>
          <w:rFonts w:ascii="Times New Roman" w:hAnsi="Times New Roman" w:cs="Times New Roman"/>
          <w:i/>
          <w:sz w:val="24"/>
          <w:szCs w:val="24"/>
        </w:rPr>
        <w:t>,</w:t>
      </w:r>
      <w:r>
        <w:rPr>
          <w:rFonts w:ascii="Times New Roman" w:hAnsi="Times New Roman" w:cs="Times New Roman"/>
          <w:sz w:val="24"/>
          <w:szCs w:val="24"/>
        </w:rPr>
        <w:t xml:space="preserve"> for the State</w:t>
      </w:r>
    </w:p>
    <w:p w:rsidR="009150D1" w:rsidRDefault="009150D1" w:rsidP="000968D8">
      <w:pPr>
        <w:spacing w:after="0" w:line="240" w:lineRule="auto"/>
        <w:jc w:val="both"/>
        <w:rPr>
          <w:rFonts w:ascii="Times New Roman" w:hAnsi="Times New Roman" w:cs="Times New Roman"/>
          <w:sz w:val="24"/>
          <w:szCs w:val="24"/>
        </w:rPr>
      </w:pPr>
    </w:p>
    <w:sectPr w:rsidR="009150D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E21" w:rsidRDefault="00494E21" w:rsidP="005D5F26">
      <w:pPr>
        <w:spacing w:after="0" w:line="240" w:lineRule="auto"/>
      </w:pPr>
      <w:r>
        <w:separator/>
      </w:r>
    </w:p>
  </w:endnote>
  <w:endnote w:type="continuationSeparator" w:id="0">
    <w:p w:rsidR="00494E21" w:rsidRDefault="00494E21" w:rsidP="005D5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E21" w:rsidRDefault="00494E21" w:rsidP="005D5F26">
      <w:pPr>
        <w:spacing w:after="0" w:line="240" w:lineRule="auto"/>
      </w:pPr>
      <w:r>
        <w:separator/>
      </w:r>
    </w:p>
  </w:footnote>
  <w:footnote w:type="continuationSeparator" w:id="0">
    <w:p w:rsidR="00494E21" w:rsidRDefault="00494E21" w:rsidP="005D5F26">
      <w:pPr>
        <w:spacing w:after="0" w:line="240" w:lineRule="auto"/>
      </w:pPr>
      <w:r>
        <w:continuationSeparator/>
      </w:r>
    </w:p>
  </w:footnote>
  <w:footnote w:id="1">
    <w:p w:rsidR="0076334D" w:rsidRDefault="0076334D">
      <w:pPr>
        <w:pStyle w:val="FootnoteText"/>
      </w:pPr>
      <w:r>
        <w:rPr>
          <w:rStyle w:val="FootnoteReference"/>
        </w:rPr>
        <w:footnoteRef/>
      </w:r>
      <w:r>
        <w:t xml:space="preserve"> HH 73/11.</w:t>
      </w:r>
    </w:p>
  </w:footnote>
  <w:footnote w:id="2">
    <w:p w:rsidR="00961FDA" w:rsidRDefault="00961FDA">
      <w:pPr>
        <w:pStyle w:val="FootnoteText"/>
      </w:pPr>
      <w:r>
        <w:rPr>
          <w:rStyle w:val="FootnoteReference"/>
        </w:rPr>
        <w:footnoteRef/>
      </w:r>
      <w:r>
        <w:t xml:space="preserve"> </w:t>
      </w:r>
      <w:proofErr w:type="spellStart"/>
      <w:r>
        <w:t>Itai</w:t>
      </w:r>
      <w:proofErr w:type="spellEnd"/>
      <w:r>
        <w:t xml:space="preserve"> </w:t>
      </w:r>
      <w:proofErr w:type="spellStart"/>
      <w:r>
        <w:t>Motsi</w:t>
      </w:r>
      <w:proofErr w:type="spellEnd"/>
      <w:r>
        <w:t xml:space="preserve"> v The State HH 185/15 per </w:t>
      </w:r>
      <w:proofErr w:type="spellStart"/>
      <w:r w:rsidRPr="00961FDA">
        <w:rPr>
          <w:smallCaps/>
        </w:rPr>
        <w:t>Hung</w:t>
      </w:r>
      <w:r>
        <w:rPr>
          <w:smallCaps/>
        </w:rPr>
        <w:t>we</w:t>
      </w:r>
      <w:proofErr w:type="spellEnd"/>
      <w:r w:rsidRPr="00961FDA">
        <w:rPr>
          <w:smallCaps/>
        </w:rPr>
        <w:t xml:space="preserve"> j</w:t>
      </w:r>
      <w:r>
        <w:t xml:space="preserve"> (as he then was)</w:t>
      </w:r>
    </w:p>
  </w:footnote>
  <w:footnote w:id="3">
    <w:p w:rsidR="00B15923" w:rsidRDefault="00B15923">
      <w:pPr>
        <w:pStyle w:val="FootnoteText"/>
      </w:pPr>
      <w:r>
        <w:rPr>
          <w:rStyle w:val="FootnoteReference"/>
        </w:rPr>
        <w:footnoteRef/>
      </w:r>
      <w:r>
        <w:t xml:space="preserve"> See the matter </w:t>
      </w:r>
      <w:r w:rsidR="00E67022">
        <w:rPr>
          <w:i/>
        </w:rPr>
        <w:t xml:space="preserve">of </w:t>
      </w:r>
      <w:proofErr w:type="spellStart"/>
      <w:r w:rsidR="00E67022">
        <w:rPr>
          <w:i/>
        </w:rPr>
        <w:t>Mat</w:t>
      </w:r>
      <w:r w:rsidRPr="00B15923">
        <w:rPr>
          <w:i/>
        </w:rPr>
        <w:t>unga</w:t>
      </w:r>
      <w:proofErr w:type="spellEnd"/>
      <w:r w:rsidRPr="00B15923">
        <w:rPr>
          <w:i/>
        </w:rPr>
        <w:t xml:space="preserve"> and Another</w:t>
      </w:r>
      <w:r>
        <w:t xml:space="preserve"> v </w:t>
      </w:r>
      <w:proofErr w:type="spellStart"/>
      <w:r>
        <w:rPr>
          <w:i/>
        </w:rPr>
        <w:t>Munemo</w:t>
      </w:r>
      <w:proofErr w:type="spellEnd"/>
      <w:r>
        <w:rPr>
          <w:i/>
        </w:rPr>
        <w:t xml:space="preserve"> and 3 O</w:t>
      </w:r>
      <w:r w:rsidRPr="00B15923">
        <w:rPr>
          <w:i/>
        </w:rPr>
        <w:t>thers</w:t>
      </w:r>
      <w:r>
        <w:t xml:space="preserve"> HH 1</w:t>
      </w:r>
      <w:r w:rsidR="00E67022">
        <w:t>1</w:t>
      </w:r>
      <w:r>
        <w:t>1/18</w:t>
      </w:r>
    </w:p>
  </w:footnote>
  <w:footnote w:id="4">
    <w:p w:rsidR="003F54F9" w:rsidRDefault="003F54F9">
      <w:pPr>
        <w:pStyle w:val="FootnoteText"/>
      </w:pPr>
      <w:r>
        <w:rPr>
          <w:rStyle w:val="FootnoteReference"/>
        </w:rPr>
        <w:footnoteRef/>
      </w:r>
      <w:r>
        <w:t xml:space="preserve"> Per </w:t>
      </w:r>
      <w:proofErr w:type="spellStart"/>
      <w:r w:rsidRPr="003F54F9">
        <w:rPr>
          <w:smallCaps/>
        </w:rPr>
        <w:t>Korsah</w:t>
      </w:r>
      <w:proofErr w:type="spellEnd"/>
      <w:r w:rsidRPr="003F54F9">
        <w:rPr>
          <w:smallCaps/>
        </w:rPr>
        <w:t xml:space="preserve"> </w:t>
      </w:r>
      <w:proofErr w:type="spellStart"/>
      <w:r w:rsidRPr="003F54F9">
        <w:rPr>
          <w:smallCaps/>
        </w:rPr>
        <w:t>ja</w:t>
      </w:r>
      <w:proofErr w:type="spellEnd"/>
      <w:r>
        <w:t xml:space="preserve"> in </w:t>
      </w:r>
      <w:r w:rsidRPr="003F54F9">
        <w:rPr>
          <w:i/>
        </w:rPr>
        <w:t>AG</w:t>
      </w:r>
      <w:r>
        <w:t xml:space="preserve"> v </w:t>
      </w:r>
      <w:proofErr w:type="spellStart"/>
      <w:r w:rsidRPr="003F54F9">
        <w:rPr>
          <w:i/>
        </w:rPr>
        <w:t>Paweni</w:t>
      </w:r>
      <w:proofErr w:type="spellEnd"/>
      <w:r w:rsidRPr="003F54F9">
        <w:rPr>
          <w:i/>
        </w:rPr>
        <w:t xml:space="preserve"> Corporation (Private) Limited and Others</w:t>
      </w:r>
      <w:r>
        <w:t xml:space="preserve"> 1990 (1) ZLR 24.27G</w:t>
      </w:r>
    </w:p>
  </w:footnote>
  <w:footnote w:id="5">
    <w:p w:rsidR="00DC1B76" w:rsidRDefault="00DC1B76">
      <w:pPr>
        <w:pStyle w:val="FootnoteText"/>
      </w:pPr>
      <w:r>
        <w:rPr>
          <w:rStyle w:val="FootnoteReference"/>
        </w:rPr>
        <w:footnoteRef/>
      </w:r>
      <w:r>
        <w:t xml:space="preserve"> </w:t>
      </w:r>
      <w:r w:rsidRPr="00FC7C9B">
        <w:rPr>
          <w:i/>
        </w:rPr>
        <w:t>S</w:t>
      </w:r>
      <w:r>
        <w:t xml:space="preserve"> v </w:t>
      </w:r>
      <w:proofErr w:type="spellStart"/>
      <w:r w:rsidRPr="00FC7C9B">
        <w:rPr>
          <w:i/>
        </w:rPr>
        <w:t>Ostilly</w:t>
      </w:r>
      <w:proofErr w:type="spellEnd"/>
      <w:r w:rsidRPr="00FC7C9B">
        <w:rPr>
          <w:i/>
        </w:rPr>
        <w:t xml:space="preserve"> and Others</w:t>
      </w:r>
      <w:r>
        <w:t xml:space="preserve"> 1977 (2) SA 104. 115H-116</w:t>
      </w:r>
      <w:r w:rsidR="00FC7C9B">
        <w:t xml:space="preserve">B cited in </w:t>
      </w:r>
      <w:proofErr w:type="spellStart"/>
      <w:r w:rsidR="00FC7C9B">
        <w:t>Paweni</w:t>
      </w:r>
      <w:proofErr w:type="spellEnd"/>
      <w:r w:rsidR="00FC7C9B">
        <w:t xml:space="preserve"> T</w:t>
      </w:r>
      <w:r>
        <w:t xml:space="preserve">rade Corp (Pvt) Ltd </w:t>
      </w:r>
      <w:r w:rsidRPr="00FC7C9B">
        <w:rPr>
          <w:i/>
        </w:rPr>
        <w:t>supra</w:t>
      </w:r>
      <w:r>
        <w:t xml:space="preserve"> at 28-C-D.</w:t>
      </w:r>
    </w:p>
  </w:footnote>
  <w:footnote w:id="6">
    <w:p w:rsidR="00DC1B76" w:rsidRDefault="00DC1B76">
      <w:pPr>
        <w:pStyle w:val="FootnoteText"/>
      </w:pPr>
      <w:r>
        <w:rPr>
          <w:rStyle w:val="FootnoteReference"/>
        </w:rPr>
        <w:footnoteRef/>
      </w:r>
      <w:r>
        <w:t xml:space="preserve"> R v Kruse 1964 AD 524 cited in </w:t>
      </w:r>
      <w:proofErr w:type="spellStart"/>
      <w:r>
        <w:t>Paweni</w:t>
      </w:r>
      <w:proofErr w:type="spellEnd"/>
      <w:r>
        <w:t xml:space="preserve"> trade Corp </w:t>
      </w:r>
      <w:r w:rsidRPr="00DC1B76">
        <w:rPr>
          <w:i/>
        </w:rPr>
        <w:t>supra</w:t>
      </w:r>
      <w:r>
        <w:t xml:space="preserve"> at p 29 F.</w:t>
      </w:r>
    </w:p>
  </w:footnote>
  <w:footnote w:id="7">
    <w:p w:rsidR="00FC7C9B" w:rsidRDefault="00FC7C9B">
      <w:pPr>
        <w:pStyle w:val="FootnoteText"/>
      </w:pPr>
      <w:r>
        <w:rPr>
          <w:rStyle w:val="FootnoteReference"/>
        </w:rPr>
        <w:footnoteRef/>
      </w:r>
      <w:r>
        <w:t xml:space="preserve"> </w:t>
      </w:r>
      <w:r w:rsidRPr="00FC7C9B">
        <w:rPr>
          <w:i/>
        </w:rPr>
        <w:t xml:space="preserve">Felix Munyaradzi </w:t>
      </w:r>
      <w:proofErr w:type="spellStart"/>
      <w:r w:rsidRPr="00FC7C9B">
        <w:rPr>
          <w:i/>
        </w:rPr>
        <w:t>Vambe</w:t>
      </w:r>
      <w:proofErr w:type="spellEnd"/>
      <w:r>
        <w:t xml:space="preserve"> v </w:t>
      </w:r>
      <w:r w:rsidRPr="00FC7C9B">
        <w:rPr>
          <w:i/>
        </w:rPr>
        <w:t>S</w:t>
      </w:r>
      <w:r>
        <w:t xml:space="preserve"> SC 61/86</w:t>
      </w:r>
    </w:p>
  </w:footnote>
  <w:footnote w:id="8">
    <w:p w:rsidR="00A13761" w:rsidRDefault="00A13761">
      <w:pPr>
        <w:pStyle w:val="FootnoteText"/>
      </w:pPr>
      <w:r>
        <w:rPr>
          <w:rStyle w:val="FootnoteReference"/>
        </w:rPr>
        <w:footnoteRef/>
      </w:r>
      <w:r>
        <w:t xml:space="preserve"> </w:t>
      </w:r>
      <w:r w:rsidR="00BC0C85">
        <w:t>1967 (4) SA 263 (RAD)</w:t>
      </w:r>
    </w:p>
  </w:footnote>
  <w:footnote w:id="9">
    <w:p w:rsidR="009150D1" w:rsidRDefault="009150D1" w:rsidP="009150D1">
      <w:pPr>
        <w:pStyle w:val="FootnoteText"/>
        <w:tabs>
          <w:tab w:val="center" w:pos="4513"/>
        </w:tabs>
      </w:pPr>
      <w:r>
        <w:rPr>
          <w:rStyle w:val="FootnoteReference"/>
        </w:rPr>
        <w:footnoteRef/>
      </w:r>
      <w:r>
        <w:t xml:space="preserve"> 1967 (4) SA 263 (RAD) per </w:t>
      </w:r>
      <w:r w:rsidRPr="002E74E1">
        <w:rPr>
          <w:smallCaps/>
        </w:rPr>
        <w:t>Beadle C J</w:t>
      </w:r>
      <w:r>
        <w:t xml:space="preserve"> at 264 E</w:t>
      </w:r>
    </w:p>
  </w:footnote>
  <w:footnote w:id="10">
    <w:p w:rsidR="009150D1" w:rsidRDefault="009150D1" w:rsidP="009150D1">
      <w:pPr>
        <w:pStyle w:val="FootnoteText"/>
      </w:pPr>
      <w:r>
        <w:rPr>
          <w:rStyle w:val="FootnoteReference"/>
        </w:rPr>
        <w:footnoteRef/>
      </w:r>
      <w:r>
        <w:t xml:space="preserve"> See also the matter of </w:t>
      </w:r>
      <w:proofErr w:type="spellStart"/>
      <w:r w:rsidRPr="001C5927">
        <w:rPr>
          <w:i/>
        </w:rPr>
        <w:t>Itai</w:t>
      </w:r>
      <w:proofErr w:type="spellEnd"/>
      <w:r w:rsidRPr="001C5927">
        <w:rPr>
          <w:i/>
        </w:rPr>
        <w:t xml:space="preserve"> </w:t>
      </w:r>
      <w:proofErr w:type="spellStart"/>
      <w:r w:rsidRPr="001C5927">
        <w:rPr>
          <w:i/>
        </w:rPr>
        <w:t>Motsi</w:t>
      </w:r>
      <w:proofErr w:type="spellEnd"/>
      <w:r w:rsidRPr="001C5927">
        <w:rPr>
          <w:i/>
        </w:rPr>
        <w:t xml:space="preserve"> v The state</w:t>
      </w:r>
      <w:r>
        <w:t xml:space="preserve"> HH185/15</w:t>
      </w:r>
    </w:p>
  </w:footnote>
  <w:footnote w:id="11">
    <w:p w:rsidR="009150D1" w:rsidRDefault="009150D1" w:rsidP="009150D1">
      <w:pPr>
        <w:pStyle w:val="FootnoteText"/>
      </w:pPr>
      <w:r>
        <w:rPr>
          <w:rStyle w:val="FootnoteReference"/>
        </w:rPr>
        <w:footnoteRef/>
      </w:r>
      <w:r>
        <w:t xml:space="preserve"> </w:t>
      </w:r>
      <w:proofErr w:type="spellStart"/>
      <w:r>
        <w:t>Glemstery</w:t>
      </w:r>
      <w:proofErr w:type="spellEnd"/>
      <w:r>
        <w:t xml:space="preserve"> President of the Republic of South Africa &amp; Others (CCT 28/13) cited in </w:t>
      </w:r>
      <w:proofErr w:type="spellStart"/>
      <w:r w:rsidRPr="004304FF">
        <w:rPr>
          <w:i/>
        </w:rPr>
        <w:t>Itai</w:t>
      </w:r>
      <w:proofErr w:type="spellEnd"/>
      <w:r w:rsidRPr="004304FF">
        <w:rPr>
          <w:i/>
        </w:rPr>
        <w:t xml:space="preserve"> </w:t>
      </w:r>
      <w:proofErr w:type="spellStart"/>
      <w:r w:rsidRPr="004304FF">
        <w:rPr>
          <w:i/>
        </w:rPr>
        <w:t>Motsi</w:t>
      </w:r>
      <w:proofErr w:type="spellEnd"/>
      <w:r w:rsidRPr="004304FF">
        <w:rPr>
          <w:i/>
        </w:rPr>
        <w:t xml:space="preserve"> v State</w:t>
      </w:r>
      <w:r>
        <w:t xml:space="preserve"> (</w:t>
      </w:r>
      <w:r w:rsidRPr="004304FF">
        <w:rPr>
          <w:i/>
        </w:rPr>
        <w:t>supra</w:t>
      </w:r>
      <w:r>
        <w:t>)</w:t>
      </w:r>
    </w:p>
  </w:footnote>
  <w:footnote w:id="12">
    <w:p w:rsidR="009150D1" w:rsidRDefault="009150D1" w:rsidP="009150D1">
      <w:pPr>
        <w:pStyle w:val="FootnoteText"/>
      </w:pPr>
      <w:r>
        <w:rPr>
          <w:rStyle w:val="FootnoteReference"/>
        </w:rPr>
        <w:footnoteRef/>
      </w:r>
      <w:r>
        <w:t xml:space="preserve"> 1996 (2) SACR (1) A</w:t>
      </w:r>
    </w:p>
  </w:footnote>
  <w:footnote w:id="13">
    <w:p w:rsidR="009150D1" w:rsidRDefault="009150D1" w:rsidP="009150D1">
      <w:pPr>
        <w:pStyle w:val="FootnoteText"/>
      </w:pPr>
      <w:r>
        <w:rPr>
          <w:rStyle w:val="FootnoteReference"/>
        </w:rPr>
        <w:footnoteRef/>
      </w:r>
      <w:r>
        <w:t xml:space="preserve"> 1939 AD 188: 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510683"/>
      <w:docPartObj>
        <w:docPartGallery w:val="Page Numbers (Top of Page)"/>
        <w:docPartUnique/>
      </w:docPartObj>
    </w:sdtPr>
    <w:sdtEndPr>
      <w:rPr>
        <w:noProof/>
      </w:rPr>
    </w:sdtEndPr>
    <w:sdtContent>
      <w:p w:rsidR="00307DAE" w:rsidRDefault="00307DAE">
        <w:pPr>
          <w:pStyle w:val="Header"/>
          <w:jc w:val="right"/>
          <w:rPr>
            <w:noProof/>
          </w:rPr>
        </w:pPr>
        <w:r>
          <w:fldChar w:fldCharType="begin"/>
        </w:r>
        <w:r>
          <w:instrText xml:space="preserve"> PAGE   \* MERGEFORMAT </w:instrText>
        </w:r>
        <w:r>
          <w:fldChar w:fldCharType="separate"/>
        </w:r>
        <w:r w:rsidR="00726455">
          <w:rPr>
            <w:noProof/>
          </w:rPr>
          <w:t>11</w:t>
        </w:r>
        <w:r>
          <w:rPr>
            <w:noProof/>
          </w:rPr>
          <w:fldChar w:fldCharType="end"/>
        </w:r>
      </w:p>
      <w:p w:rsidR="00307DAE" w:rsidRDefault="00C1342E">
        <w:pPr>
          <w:pStyle w:val="Header"/>
          <w:jc w:val="right"/>
          <w:rPr>
            <w:noProof/>
          </w:rPr>
        </w:pPr>
        <w:r>
          <w:rPr>
            <w:noProof/>
          </w:rPr>
          <w:t>HMT 73</w:t>
        </w:r>
        <w:r w:rsidR="00307DAE">
          <w:rPr>
            <w:noProof/>
          </w:rPr>
          <w:t>-20</w:t>
        </w:r>
      </w:p>
      <w:p w:rsidR="00307DAE" w:rsidRDefault="00307DAE">
        <w:pPr>
          <w:pStyle w:val="Header"/>
          <w:jc w:val="right"/>
          <w:rPr>
            <w:noProof/>
          </w:rPr>
        </w:pPr>
        <w:r>
          <w:rPr>
            <w:noProof/>
          </w:rPr>
          <w:t>CA 19/20</w:t>
        </w:r>
      </w:p>
      <w:p w:rsidR="00307DAE" w:rsidRDefault="00307DAE">
        <w:pPr>
          <w:pStyle w:val="Header"/>
          <w:jc w:val="right"/>
        </w:pPr>
        <w:r>
          <w:rPr>
            <w:noProof/>
          </w:rPr>
          <w:t>REF MTR 2021/18</w:t>
        </w:r>
      </w:p>
    </w:sdtContent>
  </w:sdt>
  <w:p w:rsidR="00307DAE" w:rsidRDefault="00307D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059AC"/>
    <w:multiLevelType w:val="hybridMultilevel"/>
    <w:tmpl w:val="C2BC1AE2"/>
    <w:lvl w:ilvl="0" w:tplc="7026CC8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EAE2D45"/>
    <w:multiLevelType w:val="hybridMultilevel"/>
    <w:tmpl w:val="0F06AB6A"/>
    <w:lvl w:ilvl="0" w:tplc="CF6E6B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B4C1B8D"/>
    <w:multiLevelType w:val="hybridMultilevel"/>
    <w:tmpl w:val="4D3A146E"/>
    <w:lvl w:ilvl="0" w:tplc="C9BCBF24">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95124AE"/>
    <w:multiLevelType w:val="hybridMultilevel"/>
    <w:tmpl w:val="E1168494"/>
    <w:lvl w:ilvl="0" w:tplc="C5061916">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F26"/>
    <w:rsid w:val="000078EE"/>
    <w:rsid w:val="00032967"/>
    <w:rsid w:val="00041062"/>
    <w:rsid w:val="00042552"/>
    <w:rsid w:val="00050D7D"/>
    <w:rsid w:val="00093B01"/>
    <w:rsid w:val="000968D8"/>
    <w:rsid w:val="000B6E6B"/>
    <w:rsid w:val="000C0C6F"/>
    <w:rsid w:val="000C4FEE"/>
    <w:rsid w:val="0010119C"/>
    <w:rsid w:val="00111403"/>
    <w:rsid w:val="00126611"/>
    <w:rsid w:val="001269C3"/>
    <w:rsid w:val="00142A9D"/>
    <w:rsid w:val="0015071E"/>
    <w:rsid w:val="00177CC1"/>
    <w:rsid w:val="0018280D"/>
    <w:rsid w:val="001B0DEB"/>
    <w:rsid w:val="001C6EAC"/>
    <w:rsid w:val="001D141E"/>
    <w:rsid w:val="001E1387"/>
    <w:rsid w:val="001E708E"/>
    <w:rsid w:val="0020478F"/>
    <w:rsid w:val="0021638C"/>
    <w:rsid w:val="00231AED"/>
    <w:rsid w:val="00255308"/>
    <w:rsid w:val="00255D23"/>
    <w:rsid w:val="00257862"/>
    <w:rsid w:val="002D251C"/>
    <w:rsid w:val="002D37CD"/>
    <w:rsid w:val="003011C4"/>
    <w:rsid w:val="003015DC"/>
    <w:rsid w:val="00307DAE"/>
    <w:rsid w:val="00323EE0"/>
    <w:rsid w:val="00325D8E"/>
    <w:rsid w:val="00355766"/>
    <w:rsid w:val="003559F1"/>
    <w:rsid w:val="00363CC7"/>
    <w:rsid w:val="0038691D"/>
    <w:rsid w:val="003C0684"/>
    <w:rsid w:val="003D60B1"/>
    <w:rsid w:val="003D7F80"/>
    <w:rsid w:val="003F48DE"/>
    <w:rsid w:val="003F54F9"/>
    <w:rsid w:val="00452562"/>
    <w:rsid w:val="00455B52"/>
    <w:rsid w:val="004609B0"/>
    <w:rsid w:val="00477BCD"/>
    <w:rsid w:val="00494E21"/>
    <w:rsid w:val="004D1CDB"/>
    <w:rsid w:val="004F1103"/>
    <w:rsid w:val="00511D60"/>
    <w:rsid w:val="005362CC"/>
    <w:rsid w:val="00553F73"/>
    <w:rsid w:val="005B0659"/>
    <w:rsid w:val="005B21B5"/>
    <w:rsid w:val="005C1448"/>
    <w:rsid w:val="005D1F89"/>
    <w:rsid w:val="005D5307"/>
    <w:rsid w:val="005D5F26"/>
    <w:rsid w:val="00610403"/>
    <w:rsid w:val="00644FC9"/>
    <w:rsid w:val="006572E7"/>
    <w:rsid w:val="006607A9"/>
    <w:rsid w:val="00672B4D"/>
    <w:rsid w:val="00682876"/>
    <w:rsid w:val="00683C92"/>
    <w:rsid w:val="006E5857"/>
    <w:rsid w:val="006F3A1B"/>
    <w:rsid w:val="00712616"/>
    <w:rsid w:val="00716472"/>
    <w:rsid w:val="00726455"/>
    <w:rsid w:val="00727C54"/>
    <w:rsid w:val="00762FE0"/>
    <w:rsid w:val="0076334D"/>
    <w:rsid w:val="0079550D"/>
    <w:rsid w:val="007B639E"/>
    <w:rsid w:val="007C5CC7"/>
    <w:rsid w:val="007D36D5"/>
    <w:rsid w:val="007E56CA"/>
    <w:rsid w:val="007E61FE"/>
    <w:rsid w:val="007F08A8"/>
    <w:rsid w:val="00800F45"/>
    <w:rsid w:val="00835C17"/>
    <w:rsid w:val="008461F5"/>
    <w:rsid w:val="008479D1"/>
    <w:rsid w:val="008505A7"/>
    <w:rsid w:val="00873A26"/>
    <w:rsid w:val="008877A9"/>
    <w:rsid w:val="008D5467"/>
    <w:rsid w:val="008F1994"/>
    <w:rsid w:val="008F5E20"/>
    <w:rsid w:val="008F795A"/>
    <w:rsid w:val="009150D1"/>
    <w:rsid w:val="00917F7D"/>
    <w:rsid w:val="00920D8E"/>
    <w:rsid w:val="0092549C"/>
    <w:rsid w:val="00946204"/>
    <w:rsid w:val="00961FDA"/>
    <w:rsid w:val="009B01FC"/>
    <w:rsid w:val="009D775B"/>
    <w:rsid w:val="009E4C38"/>
    <w:rsid w:val="00A131BA"/>
    <w:rsid w:val="00A13761"/>
    <w:rsid w:val="00A32592"/>
    <w:rsid w:val="00A47A4F"/>
    <w:rsid w:val="00A72B55"/>
    <w:rsid w:val="00AA6010"/>
    <w:rsid w:val="00AC51E8"/>
    <w:rsid w:val="00AF31B2"/>
    <w:rsid w:val="00B00070"/>
    <w:rsid w:val="00B07A88"/>
    <w:rsid w:val="00B15923"/>
    <w:rsid w:val="00B31ADA"/>
    <w:rsid w:val="00B41900"/>
    <w:rsid w:val="00B41BBF"/>
    <w:rsid w:val="00B42A69"/>
    <w:rsid w:val="00B655B9"/>
    <w:rsid w:val="00B8796A"/>
    <w:rsid w:val="00B95E83"/>
    <w:rsid w:val="00BA4C9E"/>
    <w:rsid w:val="00BA5939"/>
    <w:rsid w:val="00BC0C85"/>
    <w:rsid w:val="00C03F60"/>
    <w:rsid w:val="00C057B7"/>
    <w:rsid w:val="00C07863"/>
    <w:rsid w:val="00C1321D"/>
    <w:rsid w:val="00C1342E"/>
    <w:rsid w:val="00C34F06"/>
    <w:rsid w:val="00C72B5B"/>
    <w:rsid w:val="00C9558F"/>
    <w:rsid w:val="00CA1EB2"/>
    <w:rsid w:val="00CA25D8"/>
    <w:rsid w:val="00CA49E7"/>
    <w:rsid w:val="00CA640C"/>
    <w:rsid w:val="00CD5D66"/>
    <w:rsid w:val="00D84827"/>
    <w:rsid w:val="00DA2100"/>
    <w:rsid w:val="00DC1B76"/>
    <w:rsid w:val="00DD15B1"/>
    <w:rsid w:val="00DE4E4A"/>
    <w:rsid w:val="00DF2851"/>
    <w:rsid w:val="00E13164"/>
    <w:rsid w:val="00E46DBE"/>
    <w:rsid w:val="00E5799B"/>
    <w:rsid w:val="00E62402"/>
    <w:rsid w:val="00E6508E"/>
    <w:rsid w:val="00E67022"/>
    <w:rsid w:val="00EA65C4"/>
    <w:rsid w:val="00EB5D21"/>
    <w:rsid w:val="00EF09A9"/>
    <w:rsid w:val="00F01D74"/>
    <w:rsid w:val="00F05A67"/>
    <w:rsid w:val="00F176EF"/>
    <w:rsid w:val="00F41873"/>
    <w:rsid w:val="00F47185"/>
    <w:rsid w:val="00F47295"/>
    <w:rsid w:val="00F955D7"/>
    <w:rsid w:val="00FA20FE"/>
    <w:rsid w:val="00FB44B8"/>
    <w:rsid w:val="00FC29A5"/>
    <w:rsid w:val="00FC7C9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9006F1-481B-41FE-A024-C1A6E9C0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F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F26"/>
    <w:pPr>
      <w:ind w:left="720"/>
      <w:contextualSpacing/>
    </w:pPr>
  </w:style>
  <w:style w:type="paragraph" w:styleId="FootnoteText">
    <w:name w:val="footnote text"/>
    <w:basedOn w:val="Normal"/>
    <w:link w:val="FootnoteTextChar"/>
    <w:uiPriority w:val="99"/>
    <w:semiHidden/>
    <w:unhideWhenUsed/>
    <w:rsid w:val="005D5F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5F26"/>
    <w:rPr>
      <w:sz w:val="20"/>
      <w:szCs w:val="20"/>
    </w:rPr>
  </w:style>
  <w:style w:type="character" w:styleId="FootnoteReference">
    <w:name w:val="footnote reference"/>
    <w:basedOn w:val="DefaultParagraphFont"/>
    <w:uiPriority w:val="99"/>
    <w:semiHidden/>
    <w:unhideWhenUsed/>
    <w:rsid w:val="005D5F26"/>
    <w:rPr>
      <w:vertAlign w:val="superscript"/>
    </w:rPr>
  </w:style>
  <w:style w:type="paragraph" w:styleId="Header">
    <w:name w:val="header"/>
    <w:basedOn w:val="Normal"/>
    <w:link w:val="HeaderChar"/>
    <w:uiPriority w:val="99"/>
    <w:unhideWhenUsed/>
    <w:rsid w:val="00307D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DAE"/>
  </w:style>
  <w:style w:type="paragraph" w:styleId="Footer">
    <w:name w:val="footer"/>
    <w:basedOn w:val="Normal"/>
    <w:link w:val="FooterChar"/>
    <w:uiPriority w:val="99"/>
    <w:unhideWhenUsed/>
    <w:rsid w:val="00307D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DAE"/>
  </w:style>
  <w:style w:type="paragraph" w:styleId="BalloonText">
    <w:name w:val="Balloon Text"/>
    <w:basedOn w:val="Normal"/>
    <w:link w:val="BalloonTextChar"/>
    <w:uiPriority w:val="99"/>
    <w:semiHidden/>
    <w:unhideWhenUsed/>
    <w:rsid w:val="00231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A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F9ED8-06C8-4F8F-B585-B521484CB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3034</TotalTime>
  <Pages>12</Pages>
  <Words>4080</Words>
  <Characters>23262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237</cp:revision>
  <cp:lastPrinted>2020-10-21T09:07:00Z</cp:lastPrinted>
  <dcterms:created xsi:type="dcterms:W3CDTF">2020-10-20T07:16:00Z</dcterms:created>
  <dcterms:modified xsi:type="dcterms:W3CDTF">2020-10-29T05:57:00Z</dcterms:modified>
</cp:coreProperties>
</file>