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348DEE" w14:textId="11C2BFF0" w:rsidR="007E766C" w:rsidRDefault="00AE2C6D" w:rsidP="007B4DA8">
      <w:pPr>
        <w:spacing w:after="0" w:line="240" w:lineRule="auto"/>
        <w:rPr>
          <w:rFonts w:ascii="Times New Roman" w:eastAsia="SimSun" w:hAnsi="Times New Roman" w:cs="Times New Roman"/>
          <w:sz w:val="24"/>
        </w:rPr>
      </w:pPr>
      <w:bookmarkStart w:id="0" w:name="_GoBack"/>
      <w:bookmarkEnd w:id="0"/>
      <w:r w:rsidRPr="00AE2C6D">
        <w:rPr>
          <w:rFonts w:ascii="Times New Roman" w:eastAsia="SimSun" w:hAnsi="Times New Roman" w:cs="Times New Roman"/>
          <w:sz w:val="24"/>
        </w:rPr>
        <w:t>TEVIOT TRUST (PRIVATE) LIMITED</w:t>
      </w:r>
      <w:r w:rsidR="007B4DA8">
        <w:rPr>
          <w:rFonts w:ascii="Times New Roman" w:eastAsia="SimSun" w:hAnsi="Times New Roman" w:cs="Times New Roman"/>
          <w:sz w:val="24"/>
        </w:rPr>
        <w:t xml:space="preserve">               </w:t>
      </w:r>
    </w:p>
    <w:p w14:paraId="440E1491" w14:textId="237E10D6" w:rsidR="00AE2C6D" w:rsidRPr="00AE2C6D" w:rsidRDefault="007E766C" w:rsidP="007B4DA8">
      <w:pPr>
        <w:spacing w:after="0" w:line="240" w:lineRule="auto"/>
        <w:rPr>
          <w:rFonts w:ascii="Times New Roman" w:eastAsia="SimSun" w:hAnsi="Times New Roman" w:cs="Times New Roman"/>
          <w:sz w:val="24"/>
        </w:rPr>
      </w:pPr>
      <w:r>
        <w:rPr>
          <w:rFonts w:ascii="Times New Roman" w:eastAsia="SimSun" w:hAnsi="Times New Roman" w:cs="Times New Roman"/>
          <w:sz w:val="24"/>
        </w:rPr>
        <w:t>v</w:t>
      </w:r>
      <w:r w:rsidR="00AE2C6D" w:rsidRPr="00AE2C6D">
        <w:rPr>
          <w:rFonts w:ascii="Times New Roman" w:eastAsia="SimSun" w:hAnsi="Times New Roman" w:cs="Times New Roman"/>
          <w:sz w:val="24"/>
        </w:rPr>
        <w:t>ersus</w:t>
      </w:r>
    </w:p>
    <w:p w14:paraId="6B37C9D4" w14:textId="413858B1" w:rsidR="00AE2C6D" w:rsidRPr="00AE2C6D" w:rsidRDefault="00AE2C6D" w:rsidP="007B4DA8">
      <w:pPr>
        <w:spacing w:after="0" w:line="240" w:lineRule="auto"/>
        <w:rPr>
          <w:rFonts w:ascii="Times New Roman" w:eastAsia="SimSun" w:hAnsi="Times New Roman" w:cs="Times New Roman"/>
          <w:sz w:val="24"/>
        </w:rPr>
      </w:pPr>
      <w:r w:rsidRPr="00AE2C6D">
        <w:rPr>
          <w:rFonts w:ascii="Times New Roman" w:eastAsia="SimSun" w:hAnsi="Times New Roman" w:cs="Times New Roman"/>
          <w:sz w:val="24"/>
        </w:rPr>
        <w:t>MINIST</w:t>
      </w:r>
      <w:r w:rsidR="00786D6E">
        <w:rPr>
          <w:rFonts w:ascii="Times New Roman" w:eastAsia="SimSun" w:hAnsi="Times New Roman" w:cs="Times New Roman"/>
          <w:sz w:val="24"/>
        </w:rPr>
        <w:t>ER</w:t>
      </w:r>
      <w:r w:rsidRPr="00AE2C6D">
        <w:rPr>
          <w:rFonts w:ascii="Times New Roman" w:eastAsia="SimSun" w:hAnsi="Times New Roman" w:cs="Times New Roman"/>
          <w:sz w:val="24"/>
        </w:rPr>
        <w:t xml:space="preserve"> OF LANDS, AGRICULTURE, WATER, CLIMATE AND RURAL RESETTLEMENT NO</w:t>
      </w:r>
    </w:p>
    <w:p w14:paraId="5646AAF9" w14:textId="49FB945F" w:rsidR="00AE2C6D" w:rsidRPr="00AE2C6D" w:rsidRDefault="007B4DA8" w:rsidP="007B4DA8">
      <w:pPr>
        <w:spacing w:after="0" w:line="240" w:lineRule="auto"/>
        <w:rPr>
          <w:rFonts w:ascii="Times New Roman" w:eastAsia="SimSun" w:hAnsi="Times New Roman" w:cs="Times New Roman"/>
          <w:sz w:val="24"/>
        </w:rPr>
      </w:pPr>
      <w:r>
        <w:rPr>
          <w:rFonts w:ascii="Times New Roman" w:eastAsia="SimSun" w:hAnsi="Times New Roman" w:cs="Times New Roman"/>
          <w:sz w:val="24"/>
        </w:rPr>
        <w:t>a</w:t>
      </w:r>
      <w:r w:rsidR="00AE2C6D" w:rsidRPr="00AE2C6D">
        <w:rPr>
          <w:rFonts w:ascii="Times New Roman" w:eastAsia="SimSun" w:hAnsi="Times New Roman" w:cs="Times New Roman"/>
          <w:sz w:val="24"/>
        </w:rPr>
        <w:t>nd</w:t>
      </w:r>
    </w:p>
    <w:p w14:paraId="0E17DB13" w14:textId="5579321C" w:rsidR="00AE2C6D" w:rsidRDefault="00AE2C6D" w:rsidP="007B4DA8">
      <w:pPr>
        <w:spacing w:after="0" w:line="240" w:lineRule="auto"/>
        <w:rPr>
          <w:rFonts w:ascii="Times New Roman" w:eastAsia="SimSun" w:hAnsi="Times New Roman" w:cs="Times New Roman"/>
          <w:sz w:val="24"/>
        </w:rPr>
      </w:pPr>
      <w:r w:rsidRPr="00AE2C6D">
        <w:rPr>
          <w:rFonts w:ascii="Times New Roman" w:eastAsia="SimSun" w:hAnsi="Times New Roman" w:cs="Times New Roman"/>
          <w:sz w:val="24"/>
        </w:rPr>
        <w:t>KASEPLAN GRAND INDUSTRIES (PRIVATE) LIMITED</w:t>
      </w:r>
    </w:p>
    <w:p w14:paraId="5377D900" w14:textId="77777777" w:rsidR="007B4DA8" w:rsidRDefault="007B4DA8" w:rsidP="007B4DA8">
      <w:pPr>
        <w:spacing w:after="0" w:line="240" w:lineRule="auto"/>
        <w:rPr>
          <w:rFonts w:ascii="Times New Roman" w:eastAsia="SimSun" w:hAnsi="Times New Roman" w:cs="Times New Roman"/>
          <w:sz w:val="24"/>
        </w:rPr>
      </w:pPr>
    </w:p>
    <w:p w14:paraId="25842D65" w14:textId="287F7303" w:rsidR="00CA128D" w:rsidRDefault="00CA128D" w:rsidP="007B4DA8">
      <w:pPr>
        <w:spacing w:after="0" w:line="240" w:lineRule="auto"/>
        <w:rPr>
          <w:rFonts w:ascii="Times New Roman" w:eastAsia="SimSun" w:hAnsi="Times New Roman" w:cs="Times New Roman"/>
          <w:sz w:val="24"/>
        </w:rPr>
      </w:pPr>
      <w:r>
        <w:rPr>
          <w:rFonts w:ascii="Times New Roman" w:eastAsia="SimSun" w:hAnsi="Times New Roman" w:cs="Times New Roman"/>
          <w:sz w:val="24"/>
        </w:rPr>
        <w:t>HIGH COURT OF ZIMBABWE,</w:t>
      </w:r>
    </w:p>
    <w:p w14:paraId="155E4CA2" w14:textId="7FA7BC29" w:rsidR="00CA128D" w:rsidRDefault="00CA128D" w:rsidP="007B4DA8">
      <w:pPr>
        <w:spacing w:after="0" w:line="240" w:lineRule="auto"/>
        <w:rPr>
          <w:rFonts w:ascii="Times New Roman" w:eastAsia="SimSun" w:hAnsi="Times New Roman" w:cs="Times New Roman"/>
          <w:b/>
          <w:bCs/>
          <w:sz w:val="24"/>
        </w:rPr>
      </w:pPr>
      <w:r w:rsidRPr="00CA128D">
        <w:rPr>
          <w:rFonts w:ascii="Times New Roman" w:eastAsia="SimSun" w:hAnsi="Times New Roman" w:cs="Times New Roman"/>
          <w:b/>
          <w:bCs/>
          <w:sz w:val="24"/>
        </w:rPr>
        <w:t>MHURI J</w:t>
      </w:r>
    </w:p>
    <w:p w14:paraId="27BB4AA1" w14:textId="4A1E37EF" w:rsidR="00786D6E" w:rsidRPr="00AE2C6D" w:rsidRDefault="006A1A33" w:rsidP="007B4DA8">
      <w:pPr>
        <w:spacing w:after="0" w:line="240" w:lineRule="auto"/>
        <w:rPr>
          <w:rFonts w:ascii="Times New Roman" w:eastAsia="SimSun" w:hAnsi="Times New Roman" w:cs="Times New Roman"/>
          <w:sz w:val="24"/>
        </w:rPr>
      </w:pPr>
      <w:r>
        <w:rPr>
          <w:rFonts w:ascii="Times New Roman" w:eastAsia="SimSun" w:hAnsi="Times New Roman" w:cs="Times New Roman"/>
          <w:sz w:val="24"/>
        </w:rPr>
        <w:t>HARARE</w:t>
      </w:r>
      <w:r w:rsidR="00816A93">
        <w:rPr>
          <w:rFonts w:ascii="Times New Roman" w:eastAsia="SimSun" w:hAnsi="Times New Roman" w:cs="Times New Roman"/>
          <w:sz w:val="24"/>
        </w:rPr>
        <w:t xml:space="preserve"> </w:t>
      </w:r>
      <w:r w:rsidR="00786D6E">
        <w:rPr>
          <w:rFonts w:ascii="Times New Roman" w:eastAsia="SimSun" w:hAnsi="Times New Roman" w:cs="Times New Roman"/>
          <w:sz w:val="24"/>
        </w:rPr>
        <w:t>15 A</w:t>
      </w:r>
      <w:r w:rsidR="00816A93">
        <w:rPr>
          <w:rFonts w:ascii="Times New Roman" w:eastAsia="SimSun" w:hAnsi="Times New Roman" w:cs="Times New Roman"/>
          <w:sz w:val="24"/>
        </w:rPr>
        <w:t>ugust</w:t>
      </w:r>
      <w:r w:rsidR="00786D6E">
        <w:rPr>
          <w:rFonts w:ascii="Times New Roman" w:eastAsia="SimSun" w:hAnsi="Times New Roman" w:cs="Times New Roman"/>
          <w:sz w:val="24"/>
        </w:rPr>
        <w:t xml:space="preserve"> &amp;</w:t>
      </w:r>
      <w:r w:rsidR="00816A93">
        <w:rPr>
          <w:rFonts w:ascii="Times New Roman" w:eastAsia="SimSun" w:hAnsi="Times New Roman" w:cs="Times New Roman"/>
          <w:sz w:val="24"/>
        </w:rPr>
        <w:t xml:space="preserve"> 2</w:t>
      </w:r>
      <w:r w:rsidR="007A3DD8">
        <w:rPr>
          <w:rFonts w:ascii="Times New Roman" w:eastAsia="SimSun" w:hAnsi="Times New Roman" w:cs="Times New Roman"/>
          <w:sz w:val="24"/>
        </w:rPr>
        <w:t>3</w:t>
      </w:r>
      <w:r w:rsidR="00816A93">
        <w:rPr>
          <w:rFonts w:ascii="Times New Roman" w:eastAsia="SimSun" w:hAnsi="Times New Roman" w:cs="Times New Roman"/>
          <w:sz w:val="24"/>
        </w:rPr>
        <w:t xml:space="preserve"> October 202</w:t>
      </w:r>
      <w:r w:rsidR="007A3DD8">
        <w:rPr>
          <w:rFonts w:ascii="Times New Roman" w:eastAsia="SimSun" w:hAnsi="Times New Roman" w:cs="Times New Roman"/>
          <w:sz w:val="24"/>
        </w:rPr>
        <w:t>5</w:t>
      </w:r>
    </w:p>
    <w:p w14:paraId="6A88534D" w14:textId="77777777" w:rsidR="007B4DA8" w:rsidRDefault="007B4DA8" w:rsidP="007B4DA8">
      <w:pPr>
        <w:pStyle w:val="NormalWeb"/>
        <w:spacing w:beforeAutospacing="0" w:afterAutospacing="0" w:line="240" w:lineRule="auto"/>
        <w:jc w:val="both"/>
        <w:rPr>
          <w:rFonts w:eastAsia="system-ui"/>
          <w:b/>
          <w:color w:val="212529"/>
        </w:rPr>
      </w:pPr>
    </w:p>
    <w:p w14:paraId="2AA19310" w14:textId="77777777" w:rsidR="002D7ED2" w:rsidRPr="00115D5A" w:rsidRDefault="004F430D" w:rsidP="007B4DA8">
      <w:pPr>
        <w:pStyle w:val="NormalWeb"/>
        <w:spacing w:beforeAutospacing="0" w:afterAutospacing="0" w:line="240" w:lineRule="auto"/>
        <w:jc w:val="both"/>
        <w:rPr>
          <w:rFonts w:eastAsia="system-ui"/>
          <w:color w:val="212529"/>
          <w:lang w:val="zh-CN"/>
        </w:rPr>
      </w:pPr>
      <w:r w:rsidRPr="00115D5A">
        <w:rPr>
          <w:rFonts w:eastAsia="system-ui"/>
          <w:b/>
          <w:color w:val="212529"/>
        </w:rPr>
        <w:t>Opposed Application</w:t>
      </w:r>
    </w:p>
    <w:p w14:paraId="22AC637F" w14:textId="77777777" w:rsidR="002D7ED2" w:rsidRPr="00115D5A" w:rsidRDefault="002D7ED2" w:rsidP="00717B0E">
      <w:pPr>
        <w:pStyle w:val="NormalWeb"/>
        <w:spacing w:beforeAutospacing="0" w:afterAutospacing="0" w:line="360" w:lineRule="auto"/>
        <w:jc w:val="both"/>
        <w:rPr>
          <w:rFonts w:eastAsia="system-ui"/>
          <w:color w:val="212529"/>
        </w:rPr>
      </w:pPr>
    </w:p>
    <w:p w14:paraId="49EF5255" w14:textId="7F87477F" w:rsidR="00786D6E" w:rsidRDefault="00D73EBB" w:rsidP="00600E54">
      <w:pPr>
        <w:pStyle w:val="NormalWeb"/>
        <w:spacing w:beforeAutospacing="0" w:afterAutospacing="0" w:line="240" w:lineRule="auto"/>
        <w:jc w:val="both"/>
        <w:rPr>
          <w:rFonts w:eastAsiaTheme="minorEastAsia"/>
          <w:color w:val="212529"/>
          <w:lang w:val="zh-CN"/>
        </w:rPr>
      </w:pPr>
      <w:r w:rsidRPr="00115D5A">
        <w:rPr>
          <w:rFonts w:eastAsia="system-ui"/>
          <w:i/>
          <w:color w:val="212529"/>
        </w:rPr>
        <w:t>GRG Sithole with A Kadye</w:t>
      </w:r>
      <w:r w:rsidR="00786D6E">
        <w:rPr>
          <w:rFonts w:eastAsia="system-ui"/>
          <w:i/>
          <w:color w:val="212529"/>
        </w:rPr>
        <w:t>,</w:t>
      </w:r>
      <w:r w:rsidR="004F430D" w:rsidRPr="00115D5A">
        <w:rPr>
          <w:rFonts w:eastAsia="system-ui"/>
          <w:color w:val="212529"/>
        </w:rPr>
        <w:t xml:space="preserve"> for the applicant</w:t>
      </w:r>
    </w:p>
    <w:p w14:paraId="0A75D954" w14:textId="29AF4C9A" w:rsidR="002D7ED2" w:rsidRDefault="00D73EBB" w:rsidP="00600E54">
      <w:pPr>
        <w:pStyle w:val="NormalWeb"/>
        <w:spacing w:beforeAutospacing="0" w:afterAutospacing="0" w:line="240" w:lineRule="auto"/>
        <w:jc w:val="both"/>
        <w:rPr>
          <w:rFonts w:eastAsia="system-ui"/>
          <w:color w:val="212529"/>
        </w:rPr>
      </w:pPr>
      <w:r w:rsidRPr="00115D5A">
        <w:rPr>
          <w:rFonts w:eastAsia="system-ui"/>
          <w:i/>
          <w:color w:val="212529"/>
        </w:rPr>
        <w:t>G Madzoka with T Mubhemi</w:t>
      </w:r>
      <w:r w:rsidR="004F430D" w:rsidRPr="00115D5A">
        <w:rPr>
          <w:rFonts w:eastAsia="system-ui"/>
          <w:color w:val="212529"/>
        </w:rPr>
        <w:t xml:space="preserve">, for </w:t>
      </w:r>
      <w:r w:rsidR="00786D6E">
        <w:rPr>
          <w:rFonts w:eastAsia="system-ui"/>
          <w:color w:val="212529"/>
        </w:rPr>
        <w:t>the second r</w:t>
      </w:r>
      <w:r w:rsidR="004F430D" w:rsidRPr="00115D5A">
        <w:rPr>
          <w:rFonts w:eastAsia="system-ui"/>
          <w:color w:val="212529"/>
        </w:rPr>
        <w:t>espondent</w:t>
      </w:r>
    </w:p>
    <w:p w14:paraId="1447CEF2" w14:textId="17C4BF9B" w:rsidR="00786D6E" w:rsidRPr="00115D5A" w:rsidRDefault="00786D6E" w:rsidP="00600E54">
      <w:pPr>
        <w:pStyle w:val="NormalWeb"/>
        <w:spacing w:beforeAutospacing="0" w:afterAutospacing="0" w:line="240" w:lineRule="auto"/>
        <w:jc w:val="both"/>
        <w:rPr>
          <w:rFonts w:eastAsia="system-ui"/>
          <w:color w:val="212529"/>
          <w:lang w:val="zh-CN"/>
        </w:rPr>
      </w:pPr>
      <w:r>
        <w:rPr>
          <w:rFonts w:eastAsia="system-ui"/>
          <w:color w:val="212529"/>
        </w:rPr>
        <w:t>No appearance for the first respondent</w:t>
      </w:r>
    </w:p>
    <w:p w14:paraId="661F1027" w14:textId="77777777" w:rsidR="002D7ED2" w:rsidRPr="00115D5A" w:rsidRDefault="002D7ED2" w:rsidP="00717B0E">
      <w:pPr>
        <w:pStyle w:val="NormalWeb"/>
        <w:spacing w:beforeAutospacing="0" w:after="158" w:afterAutospacing="0" w:line="360" w:lineRule="auto"/>
        <w:jc w:val="both"/>
        <w:rPr>
          <w:rFonts w:eastAsia="system-ui"/>
          <w:color w:val="212529"/>
        </w:rPr>
      </w:pPr>
    </w:p>
    <w:p w14:paraId="60B8DAB2" w14:textId="77777777" w:rsidR="00816A93" w:rsidRDefault="004F430D" w:rsidP="007E766C">
      <w:pPr>
        <w:pStyle w:val="NormalWeb"/>
        <w:spacing w:beforeAutospacing="0" w:after="158" w:afterAutospacing="0" w:line="360" w:lineRule="auto"/>
        <w:jc w:val="both"/>
        <w:rPr>
          <w:rFonts w:eastAsia="system-ui"/>
          <w:b/>
          <w:color w:val="212529"/>
        </w:rPr>
      </w:pPr>
      <w:r w:rsidRPr="007E766C">
        <w:rPr>
          <w:rFonts w:eastAsia="system-ui"/>
          <w:bCs/>
          <w:color w:val="212529"/>
        </w:rPr>
        <w:t>MHURI J</w:t>
      </w:r>
      <w:r w:rsidRPr="00115D5A">
        <w:rPr>
          <w:rFonts w:eastAsia="system-ui"/>
          <w:b/>
          <w:color w:val="212529"/>
        </w:rPr>
        <w:t> </w:t>
      </w:r>
    </w:p>
    <w:p w14:paraId="50BBA18D" w14:textId="57C2A175" w:rsidR="002D7ED2" w:rsidRPr="00115D5A" w:rsidRDefault="004F430D" w:rsidP="00842830">
      <w:pPr>
        <w:pStyle w:val="NormalWeb"/>
        <w:spacing w:beforeAutospacing="0" w:afterAutospacing="0" w:line="360" w:lineRule="auto"/>
        <w:ind w:firstLine="420"/>
        <w:jc w:val="both"/>
        <w:rPr>
          <w:rFonts w:eastAsia="system-ui"/>
          <w:color w:val="212529"/>
        </w:rPr>
      </w:pPr>
      <w:r w:rsidRPr="00115D5A">
        <w:rPr>
          <w:rFonts w:eastAsia="system-ui"/>
          <w:color w:val="212529"/>
        </w:rPr>
        <w:t>Applicant filed this application seeking a declaratur to the effect that:</w:t>
      </w:r>
    </w:p>
    <w:p w14:paraId="20A8EA2B" w14:textId="4FE7ECF1" w:rsidR="00CE20A3" w:rsidRPr="00CE20A3" w:rsidRDefault="00CE20A3" w:rsidP="007027C1">
      <w:pPr>
        <w:pStyle w:val="NormalWeb"/>
        <w:spacing w:beforeAutospacing="0" w:afterAutospacing="0" w:line="360" w:lineRule="auto"/>
        <w:ind w:firstLine="420"/>
        <w:jc w:val="both"/>
        <w:rPr>
          <w:rFonts w:eastAsia="system-ui"/>
          <w:color w:val="212529"/>
          <w:lang w:val="en-ZW"/>
        </w:rPr>
      </w:pPr>
      <w:r w:rsidRPr="00115D5A">
        <w:rPr>
          <w:rFonts w:eastAsia="system-ui"/>
          <w:color w:val="212529"/>
          <w:lang w:val="en-ZW"/>
        </w:rPr>
        <w:t xml:space="preserve">1. </w:t>
      </w:r>
      <w:r w:rsidRPr="00CE20A3">
        <w:rPr>
          <w:rFonts w:eastAsia="system-ui"/>
          <w:color w:val="212529"/>
          <w:lang w:val="en-ZW"/>
        </w:rPr>
        <w:t>Application for a declaratory order be and is hereby granted</w:t>
      </w:r>
      <w:r w:rsidR="00AE2C6D">
        <w:rPr>
          <w:rFonts w:eastAsia="system-ui"/>
          <w:color w:val="212529"/>
          <w:lang w:val="en-ZW"/>
        </w:rPr>
        <w:t>.</w:t>
      </w:r>
    </w:p>
    <w:p w14:paraId="00A237B8" w14:textId="3C9DA005" w:rsidR="00CE20A3" w:rsidRPr="00CE20A3" w:rsidRDefault="00CE20A3" w:rsidP="007027C1">
      <w:pPr>
        <w:pStyle w:val="NormalWeb"/>
        <w:spacing w:beforeAutospacing="0" w:afterAutospacing="0" w:line="360" w:lineRule="auto"/>
        <w:ind w:left="420"/>
        <w:jc w:val="both"/>
        <w:rPr>
          <w:rFonts w:eastAsia="system-ui"/>
          <w:color w:val="212529"/>
          <w:lang w:val="en-ZW"/>
        </w:rPr>
      </w:pPr>
      <w:r w:rsidRPr="00CE20A3">
        <w:rPr>
          <w:rFonts w:eastAsia="system-ui"/>
          <w:color w:val="212529"/>
          <w:lang w:val="en-ZW"/>
        </w:rPr>
        <w:t xml:space="preserve">2. It is declared that the Certificate of Title Number 3873/56 held by Teviot </w:t>
      </w:r>
      <w:r w:rsidR="00B07E86">
        <w:rPr>
          <w:rFonts w:eastAsia="system-ui"/>
          <w:color w:val="212529"/>
          <w:lang w:val="en-ZW"/>
        </w:rPr>
        <w:t xml:space="preserve">     </w:t>
      </w:r>
      <w:r w:rsidRPr="00CE20A3">
        <w:rPr>
          <w:rFonts w:eastAsia="system-ui"/>
          <w:color w:val="212529"/>
          <w:lang w:val="en-ZW"/>
        </w:rPr>
        <w:t>Trust</w:t>
      </w:r>
      <w:r w:rsidRPr="00115D5A">
        <w:rPr>
          <w:rFonts w:eastAsia="system-ui"/>
          <w:color w:val="212529"/>
          <w:lang w:val="en-ZW"/>
        </w:rPr>
        <w:t xml:space="preserve"> </w:t>
      </w:r>
      <w:r w:rsidRPr="00CE20A3">
        <w:rPr>
          <w:rFonts w:eastAsia="system-ui"/>
          <w:color w:val="212529"/>
          <w:lang w:val="en-ZW"/>
        </w:rPr>
        <w:t>(Private) Limited over a certain piece of land situate in the District of Salisbury,</w:t>
      </w:r>
      <w:r w:rsidRPr="00115D5A">
        <w:rPr>
          <w:rFonts w:eastAsia="system-ui"/>
          <w:color w:val="212529"/>
          <w:lang w:val="en-ZW"/>
        </w:rPr>
        <w:t xml:space="preserve"> </w:t>
      </w:r>
      <w:r w:rsidRPr="00CE20A3">
        <w:rPr>
          <w:rFonts w:eastAsia="system-ui"/>
          <w:color w:val="212529"/>
          <w:lang w:val="en-ZW"/>
        </w:rPr>
        <w:t>being Lot 1A of Teviotdale, measuring 147, 1169 Morgen is valid and effectual</w:t>
      </w:r>
      <w:r w:rsidRPr="00115D5A">
        <w:rPr>
          <w:rFonts w:eastAsia="system-ui"/>
          <w:color w:val="212529"/>
          <w:lang w:val="en-ZW"/>
        </w:rPr>
        <w:t xml:space="preserve"> </w:t>
      </w:r>
      <w:r w:rsidRPr="00CE20A3">
        <w:rPr>
          <w:rFonts w:eastAsia="system-ui"/>
          <w:color w:val="212529"/>
          <w:lang w:val="en-ZW"/>
        </w:rPr>
        <w:t>for all intents and purposes.</w:t>
      </w:r>
    </w:p>
    <w:p w14:paraId="7EDD495C" w14:textId="0EEED6C7" w:rsidR="00CE20A3" w:rsidRPr="00CE20A3" w:rsidRDefault="00CE20A3" w:rsidP="00842830">
      <w:pPr>
        <w:pStyle w:val="NormalWeb"/>
        <w:spacing w:beforeAutospacing="0" w:afterAutospacing="0" w:line="360" w:lineRule="auto"/>
        <w:ind w:left="420"/>
        <w:jc w:val="both"/>
        <w:rPr>
          <w:rFonts w:eastAsia="system-ui"/>
          <w:color w:val="212529"/>
          <w:lang w:val="en-ZW"/>
        </w:rPr>
      </w:pPr>
      <w:r w:rsidRPr="00CE20A3">
        <w:rPr>
          <w:rFonts w:eastAsia="system-ui"/>
          <w:color w:val="212529"/>
          <w:lang w:val="en-ZW"/>
        </w:rPr>
        <w:t xml:space="preserve">3. </w:t>
      </w:r>
      <w:bookmarkStart w:id="1" w:name="_Hlk209621955"/>
      <w:r w:rsidRPr="00CE20A3">
        <w:rPr>
          <w:rFonts w:eastAsia="system-ui"/>
          <w:color w:val="212529"/>
          <w:lang w:val="en-ZW"/>
        </w:rPr>
        <w:t>It is declared that the acquisition of Lot 1A of Teviotdale in terms of Gazette</w:t>
      </w:r>
      <w:r w:rsidRPr="00115D5A">
        <w:rPr>
          <w:rFonts w:eastAsia="system-ui"/>
          <w:color w:val="212529"/>
          <w:lang w:val="en-ZW"/>
        </w:rPr>
        <w:t xml:space="preserve"> </w:t>
      </w:r>
      <w:r w:rsidRPr="00CE20A3">
        <w:rPr>
          <w:rFonts w:eastAsia="system-ui"/>
          <w:color w:val="212529"/>
          <w:lang w:val="en-ZW"/>
        </w:rPr>
        <w:t>No. 330 published on 18 June 2004 and 25 June 2004 was outside the</w:t>
      </w:r>
      <w:r w:rsidRPr="00115D5A">
        <w:rPr>
          <w:rFonts w:eastAsia="system-ui"/>
          <w:color w:val="212529"/>
          <w:lang w:val="en-ZW"/>
        </w:rPr>
        <w:t xml:space="preserve"> </w:t>
      </w:r>
      <w:r w:rsidRPr="00CE20A3">
        <w:rPr>
          <w:rFonts w:eastAsia="system-ui"/>
          <w:color w:val="212529"/>
          <w:lang w:val="en-ZW"/>
        </w:rPr>
        <w:t>provisions of the law, more particularly section 16B (2) (a) and 16A of the</w:t>
      </w:r>
      <w:r w:rsidRPr="00115D5A">
        <w:rPr>
          <w:rFonts w:eastAsia="system-ui"/>
          <w:color w:val="212529"/>
          <w:lang w:val="en-ZW"/>
        </w:rPr>
        <w:t xml:space="preserve"> </w:t>
      </w:r>
      <w:r w:rsidRPr="00CE20A3">
        <w:rPr>
          <w:rFonts w:eastAsia="system-ui"/>
          <w:color w:val="212529"/>
          <w:lang w:val="en-ZW"/>
        </w:rPr>
        <w:t>Constitution of Zimbabwe and is therefore invalid and is accordingly set aside</w:t>
      </w:r>
      <w:bookmarkEnd w:id="1"/>
      <w:r w:rsidRPr="00CE20A3">
        <w:rPr>
          <w:rFonts w:eastAsia="system-ui"/>
          <w:color w:val="212529"/>
          <w:lang w:val="en-ZW"/>
        </w:rPr>
        <w:t>.</w:t>
      </w:r>
    </w:p>
    <w:p w14:paraId="60BAB20A" w14:textId="7FE1B99E" w:rsidR="00CE20A3" w:rsidRPr="00CE20A3" w:rsidRDefault="00CE20A3" w:rsidP="00842830">
      <w:pPr>
        <w:pStyle w:val="NormalWeb"/>
        <w:spacing w:beforeAutospacing="0" w:afterAutospacing="0" w:line="360" w:lineRule="auto"/>
        <w:ind w:left="420"/>
        <w:jc w:val="both"/>
        <w:rPr>
          <w:rFonts w:eastAsia="system-ui"/>
          <w:color w:val="212529"/>
          <w:lang w:val="en-ZW"/>
        </w:rPr>
      </w:pPr>
      <w:r w:rsidRPr="00CE20A3">
        <w:rPr>
          <w:rFonts w:eastAsia="system-ui"/>
          <w:color w:val="212529"/>
          <w:lang w:val="en-ZW"/>
        </w:rPr>
        <w:t>4. The consequential endorsement of Applicant’s Deed of Transfer is equally set</w:t>
      </w:r>
      <w:r w:rsidRPr="00115D5A">
        <w:rPr>
          <w:rFonts w:eastAsia="system-ui"/>
          <w:color w:val="212529"/>
          <w:lang w:val="en-ZW"/>
        </w:rPr>
        <w:t xml:space="preserve"> </w:t>
      </w:r>
      <w:r w:rsidRPr="00CE20A3">
        <w:rPr>
          <w:rFonts w:eastAsia="system-ui"/>
          <w:color w:val="212529"/>
          <w:lang w:val="en-ZW"/>
        </w:rPr>
        <w:t>aside</w:t>
      </w:r>
      <w:r w:rsidRPr="00115D5A">
        <w:rPr>
          <w:rFonts w:eastAsia="system-ui"/>
          <w:color w:val="212529"/>
          <w:lang w:val="en-ZW"/>
        </w:rPr>
        <w:t xml:space="preserve"> </w:t>
      </w:r>
      <w:r w:rsidRPr="00CE20A3">
        <w:rPr>
          <w:rFonts w:eastAsia="system-ui"/>
          <w:color w:val="212529"/>
          <w:lang w:val="en-ZW"/>
        </w:rPr>
        <w:t>and Applicant’s Deed of Title is therefore restored.</w:t>
      </w:r>
    </w:p>
    <w:p w14:paraId="27572173" w14:textId="7AC3A46B" w:rsidR="00CE20A3" w:rsidRPr="00CE20A3" w:rsidRDefault="00CE20A3" w:rsidP="00842830">
      <w:pPr>
        <w:pStyle w:val="NormalWeb"/>
        <w:spacing w:beforeAutospacing="0" w:afterAutospacing="0" w:line="360" w:lineRule="auto"/>
        <w:ind w:left="420"/>
        <w:jc w:val="both"/>
        <w:rPr>
          <w:rFonts w:eastAsia="system-ui"/>
          <w:color w:val="212529"/>
          <w:lang w:val="en-ZW"/>
        </w:rPr>
      </w:pPr>
      <w:r w:rsidRPr="00CE20A3">
        <w:rPr>
          <w:rFonts w:eastAsia="system-ui"/>
          <w:color w:val="212529"/>
          <w:lang w:val="en-ZW"/>
        </w:rPr>
        <w:t>5. Any offer letters issued by the Respondent after18 June 2004 in respect of the</w:t>
      </w:r>
      <w:r w:rsidRPr="00115D5A">
        <w:rPr>
          <w:rFonts w:eastAsia="system-ui"/>
          <w:color w:val="212529"/>
          <w:lang w:val="en-ZW"/>
        </w:rPr>
        <w:t xml:space="preserve"> </w:t>
      </w:r>
      <w:r w:rsidRPr="00CE20A3">
        <w:rPr>
          <w:rFonts w:eastAsia="system-ui"/>
          <w:color w:val="212529"/>
          <w:lang w:val="en-ZW"/>
        </w:rPr>
        <w:t>aforesaid property declared invalid and therefore set aside.</w:t>
      </w:r>
    </w:p>
    <w:p w14:paraId="2CAFDEFD" w14:textId="2E11B68D" w:rsidR="00CE20A3" w:rsidRDefault="00CE20A3" w:rsidP="00842830">
      <w:pPr>
        <w:pStyle w:val="NormalWeb"/>
        <w:spacing w:beforeAutospacing="0" w:after="158" w:afterAutospacing="0" w:line="360" w:lineRule="auto"/>
        <w:ind w:firstLine="420"/>
        <w:jc w:val="both"/>
        <w:rPr>
          <w:rFonts w:eastAsia="system-ui"/>
          <w:color w:val="212529"/>
          <w:lang w:val="en-ZW"/>
        </w:rPr>
      </w:pPr>
      <w:r w:rsidRPr="00115D5A">
        <w:rPr>
          <w:rFonts w:eastAsia="system-ui"/>
          <w:color w:val="212529"/>
          <w:lang w:val="en-ZW"/>
        </w:rPr>
        <w:t>6. Each party bear its own costs</w:t>
      </w:r>
    </w:p>
    <w:p w14:paraId="28A9C75B" w14:textId="4E932649" w:rsidR="00AE2C6D" w:rsidRPr="00AE2C6D" w:rsidRDefault="00AE2C6D" w:rsidP="00842830">
      <w:pPr>
        <w:pStyle w:val="NormalWeb"/>
        <w:spacing w:afterAutospacing="0" w:line="360" w:lineRule="auto"/>
        <w:ind w:firstLine="420"/>
        <w:jc w:val="both"/>
        <w:rPr>
          <w:rFonts w:eastAsia="system-ui"/>
          <w:color w:val="212529"/>
        </w:rPr>
      </w:pPr>
      <w:r w:rsidRPr="00AE2C6D">
        <w:rPr>
          <w:rFonts w:eastAsia="system-ui"/>
          <w:color w:val="212529"/>
        </w:rPr>
        <w:lastRenderedPageBreak/>
        <w:t>The facts of the matter are that the applicant is a registered owner of a piece of land situate in Salisbury called Lot 1A Teviotdale measuring 362,653 square meters and held under Certificate of Title Number</w:t>
      </w:r>
      <w:r w:rsidR="00B07E86">
        <w:rPr>
          <w:rFonts w:eastAsia="system-ui"/>
          <w:color w:val="212529"/>
        </w:rPr>
        <w:t xml:space="preserve"> </w:t>
      </w:r>
      <w:r w:rsidRPr="00AE2C6D">
        <w:rPr>
          <w:rFonts w:eastAsia="system-ui"/>
          <w:color w:val="212529"/>
        </w:rPr>
        <w:t>3873/56. Sometime in 2001, the Applicant made an application to the City of Harare to have the remainder of the Teviotdale</w:t>
      </w:r>
      <w:r w:rsidR="007A3DD8">
        <w:rPr>
          <w:rFonts w:eastAsia="system-ui"/>
          <w:color w:val="212529"/>
        </w:rPr>
        <w:t xml:space="preserve"> inco</w:t>
      </w:r>
      <w:r w:rsidR="006C75E0">
        <w:rPr>
          <w:rFonts w:eastAsia="system-ui"/>
          <w:color w:val="212529"/>
        </w:rPr>
        <w:t>r</w:t>
      </w:r>
      <w:r w:rsidR="007A3DD8">
        <w:rPr>
          <w:rFonts w:eastAsia="system-ui"/>
          <w:color w:val="212529"/>
        </w:rPr>
        <w:t>p</w:t>
      </w:r>
      <w:r w:rsidR="006C75E0">
        <w:rPr>
          <w:rFonts w:eastAsia="system-ui"/>
          <w:color w:val="212529"/>
        </w:rPr>
        <w:t>a</w:t>
      </w:r>
      <w:r w:rsidR="007A3DD8">
        <w:rPr>
          <w:rFonts w:eastAsia="system-ui"/>
          <w:color w:val="212529"/>
        </w:rPr>
        <w:t>rated</w:t>
      </w:r>
      <w:r w:rsidRPr="00AE2C6D">
        <w:rPr>
          <w:rFonts w:eastAsia="system-ui"/>
          <w:color w:val="212529"/>
        </w:rPr>
        <w:t xml:space="preserve"> into the City of Harare, such that the Farm is incorporated within Harare Municipal Boundaries. The application was approved in January 2004 and the same was advertised for </w:t>
      </w:r>
      <w:r w:rsidR="006C75E0">
        <w:rPr>
          <w:rFonts w:eastAsia="system-ui"/>
          <w:color w:val="212529"/>
        </w:rPr>
        <w:t>i</w:t>
      </w:r>
      <w:r w:rsidRPr="00AE2C6D">
        <w:rPr>
          <w:rFonts w:eastAsia="system-ui"/>
          <w:color w:val="212529"/>
        </w:rPr>
        <w:t>ncorporation. However, on the 18</w:t>
      </w:r>
      <w:r w:rsidRPr="00AE2C6D">
        <w:rPr>
          <w:rFonts w:eastAsia="system-ui"/>
          <w:color w:val="212529"/>
          <w:vertAlign w:val="superscript"/>
        </w:rPr>
        <w:t>th</w:t>
      </w:r>
      <w:r w:rsidRPr="00AE2C6D">
        <w:rPr>
          <w:rFonts w:eastAsia="system-ui"/>
          <w:color w:val="212529"/>
        </w:rPr>
        <w:t xml:space="preserve"> and 24</w:t>
      </w:r>
      <w:r w:rsidRPr="00AE2C6D">
        <w:rPr>
          <w:rFonts w:eastAsia="system-ui"/>
          <w:color w:val="212529"/>
          <w:vertAlign w:val="superscript"/>
        </w:rPr>
        <w:t>th</w:t>
      </w:r>
      <w:r w:rsidRPr="00AE2C6D">
        <w:rPr>
          <w:rFonts w:eastAsia="system-ui"/>
          <w:color w:val="212529"/>
        </w:rPr>
        <w:t xml:space="preserve"> of June 2004, the first Respondent proceeded to gazette a notice of the Government’s intention to acquire Lot 1A OF Tevio</w:t>
      </w:r>
      <w:r w:rsidR="006C75E0">
        <w:rPr>
          <w:rFonts w:eastAsia="system-ui"/>
          <w:color w:val="212529"/>
        </w:rPr>
        <w:t>t</w:t>
      </w:r>
      <w:r w:rsidRPr="00AE2C6D">
        <w:rPr>
          <w:rFonts w:eastAsia="system-ui"/>
          <w:color w:val="212529"/>
        </w:rPr>
        <w:t>dale in the Government Gazette. The Land regardless of the</w:t>
      </w:r>
      <w:r>
        <w:rPr>
          <w:rFonts w:eastAsia="system-ui"/>
          <w:color w:val="212529"/>
        </w:rPr>
        <w:t xml:space="preserve"> written </w:t>
      </w:r>
      <w:r w:rsidRPr="00AE2C6D">
        <w:rPr>
          <w:rFonts w:eastAsia="system-ui"/>
          <w:color w:val="212529"/>
        </w:rPr>
        <w:t>objection</w:t>
      </w:r>
      <w:r>
        <w:rPr>
          <w:rFonts w:eastAsia="system-ui"/>
          <w:color w:val="212529"/>
        </w:rPr>
        <w:t xml:space="preserve"> that was lodged by the Applicant</w:t>
      </w:r>
      <w:r w:rsidRPr="00AE2C6D">
        <w:rPr>
          <w:rFonts w:eastAsia="system-ui"/>
          <w:color w:val="212529"/>
        </w:rPr>
        <w:t xml:space="preserve"> was however acquired leading to the application for a declaratory order that was filed in 2020.</w:t>
      </w:r>
    </w:p>
    <w:p w14:paraId="52F023C2" w14:textId="1BD6647A" w:rsidR="00786D6E" w:rsidRDefault="00CE20A3" w:rsidP="007027C1">
      <w:pPr>
        <w:pStyle w:val="NormalWeb"/>
        <w:spacing w:beforeAutospacing="0" w:afterAutospacing="0" w:line="360" w:lineRule="auto"/>
        <w:ind w:firstLine="420"/>
        <w:jc w:val="both"/>
        <w:rPr>
          <w:rFonts w:eastAsia="system-ui"/>
          <w:color w:val="212529"/>
          <w:lang w:val="en-ZW"/>
        </w:rPr>
      </w:pPr>
      <w:r w:rsidRPr="00115D5A">
        <w:rPr>
          <w:rFonts w:eastAsia="system-ui"/>
          <w:color w:val="212529"/>
          <w:lang w:val="en-ZW"/>
        </w:rPr>
        <w:t xml:space="preserve">The application was not opposed by the </w:t>
      </w:r>
      <w:r w:rsidR="00786D6E">
        <w:rPr>
          <w:rFonts w:eastAsia="system-ui"/>
          <w:color w:val="212529"/>
          <w:lang w:val="en-ZW"/>
        </w:rPr>
        <w:t>first r</w:t>
      </w:r>
      <w:r w:rsidRPr="00115D5A">
        <w:rPr>
          <w:rFonts w:eastAsia="system-ui"/>
          <w:color w:val="212529"/>
          <w:lang w:val="en-ZW"/>
        </w:rPr>
        <w:t xml:space="preserve">espondent and a default judgment was granted in favour of the </w:t>
      </w:r>
      <w:r w:rsidR="00786D6E">
        <w:rPr>
          <w:rFonts w:eastAsia="system-ui"/>
          <w:color w:val="212529"/>
          <w:lang w:val="en-ZW"/>
        </w:rPr>
        <w:t>a</w:t>
      </w:r>
      <w:r w:rsidRPr="00115D5A">
        <w:rPr>
          <w:rFonts w:eastAsia="system-ui"/>
          <w:color w:val="212529"/>
          <w:lang w:val="en-ZW"/>
        </w:rPr>
        <w:t>pplicant.</w:t>
      </w:r>
      <w:r w:rsidR="00AC7BF8">
        <w:rPr>
          <w:rFonts w:eastAsia="system-ui"/>
          <w:color w:val="212529"/>
          <w:lang w:val="en-ZW"/>
        </w:rPr>
        <w:t xml:space="preserve"> Later</w:t>
      </w:r>
      <w:r w:rsidRPr="00115D5A">
        <w:rPr>
          <w:rFonts w:eastAsia="system-ui"/>
          <w:color w:val="212529"/>
          <w:lang w:val="en-ZW"/>
        </w:rPr>
        <w:t xml:space="preserve"> the </w:t>
      </w:r>
      <w:r w:rsidR="00786D6E">
        <w:rPr>
          <w:rFonts w:eastAsia="system-ui"/>
          <w:color w:val="212529"/>
          <w:lang w:val="en-ZW"/>
        </w:rPr>
        <w:t>second r</w:t>
      </w:r>
      <w:r w:rsidRPr="00115D5A">
        <w:rPr>
          <w:rFonts w:eastAsia="system-ui"/>
          <w:color w:val="212529"/>
          <w:lang w:val="en-ZW"/>
        </w:rPr>
        <w:t>espondent then sought to have the order rescinded on</w:t>
      </w:r>
      <w:r w:rsidR="00786D6E">
        <w:rPr>
          <w:rFonts w:eastAsia="system-ui"/>
          <w:color w:val="212529"/>
          <w:lang w:val="en-ZW"/>
        </w:rPr>
        <w:t xml:space="preserve"> the</w:t>
      </w:r>
      <w:r w:rsidRPr="00115D5A">
        <w:rPr>
          <w:rFonts w:eastAsia="system-ui"/>
          <w:color w:val="212529"/>
          <w:lang w:val="en-ZW"/>
        </w:rPr>
        <w:t xml:space="preserve"> basis that</w:t>
      </w:r>
      <w:r w:rsidR="00786D6E">
        <w:rPr>
          <w:rFonts w:eastAsia="system-ui"/>
          <w:color w:val="212529"/>
          <w:lang w:val="en-ZW"/>
        </w:rPr>
        <w:t xml:space="preserve"> as a holder of an offer letter in respect of the Farm, he is an interested person who should have been cited as a party.</w:t>
      </w:r>
      <w:r w:rsidRPr="00115D5A">
        <w:rPr>
          <w:rFonts w:eastAsia="system-ui"/>
          <w:color w:val="212529"/>
          <w:lang w:val="en-ZW"/>
        </w:rPr>
        <w:t xml:space="preserve"> </w:t>
      </w:r>
      <w:r w:rsidR="00A37EBC" w:rsidRPr="00115D5A">
        <w:rPr>
          <w:rFonts w:eastAsia="system-ui"/>
          <w:color w:val="212529"/>
          <w:lang w:val="en-ZW"/>
        </w:rPr>
        <w:t xml:space="preserve">The order was </w:t>
      </w:r>
      <w:r w:rsidR="00AB4279" w:rsidRPr="00115D5A">
        <w:rPr>
          <w:rFonts w:eastAsia="system-ui"/>
          <w:color w:val="212529"/>
          <w:lang w:val="en-ZW"/>
        </w:rPr>
        <w:t>rescinded</w:t>
      </w:r>
      <w:r w:rsidR="00786D6E">
        <w:rPr>
          <w:rFonts w:eastAsia="system-ui"/>
          <w:color w:val="212529"/>
          <w:lang w:val="en-ZW"/>
        </w:rPr>
        <w:t>.</w:t>
      </w:r>
    </w:p>
    <w:p w14:paraId="58758E90" w14:textId="56BC935B" w:rsidR="00CE20A3" w:rsidRPr="00115D5A" w:rsidRDefault="00786D6E" w:rsidP="007027C1">
      <w:pPr>
        <w:pStyle w:val="NormalWeb"/>
        <w:spacing w:beforeAutospacing="0" w:after="158" w:afterAutospacing="0" w:line="360" w:lineRule="auto"/>
        <w:ind w:firstLine="420"/>
        <w:jc w:val="both"/>
        <w:rPr>
          <w:rFonts w:eastAsia="system-ui"/>
          <w:color w:val="212529"/>
          <w:lang w:val="en-ZW"/>
        </w:rPr>
      </w:pPr>
      <w:r>
        <w:rPr>
          <w:rFonts w:eastAsia="system-ui"/>
          <w:color w:val="212529"/>
          <w:lang w:val="en-ZW"/>
        </w:rPr>
        <w:t>T</w:t>
      </w:r>
      <w:r w:rsidR="00A37EBC" w:rsidRPr="00115D5A">
        <w:rPr>
          <w:rFonts w:eastAsia="system-ui"/>
          <w:color w:val="212529"/>
          <w:lang w:val="en-ZW"/>
        </w:rPr>
        <w:t xml:space="preserve">he present application was strongly opposed. Advocate </w:t>
      </w:r>
      <w:r w:rsidR="00A37EBC" w:rsidRPr="00786D6E">
        <w:rPr>
          <w:rFonts w:eastAsia="system-ui"/>
          <w:i/>
          <w:iCs/>
          <w:color w:val="212529"/>
          <w:lang w:val="en-ZW"/>
        </w:rPr>
        <w:t>Madzoka</w:t>
      </w:r>
      <w:r>
        <w:rPr>
          <w:rFonts w:eastAsia="system-ui"/>
          <w:i/>
          <w:iCs/>
          <w:color w:val="212529"/>
          <w:lang w:val="en-ZW"/>
        </w:rPr>
        <w:t xml:space="preserve"> for second respondent</w:t>
      </w:r>
      <w:r w:rsidR="00A37EBC" w:rsidRPr="00115D5A">
        <w:rPr>
          <w:rFonts w:eastAsia="system-ui"/>
          <w:color w:val="212529"/>
          <w:lang w:val="en-ZW"/>
        </w:rPr>
        <w:t xml:space="preserve"> raised f</w:t>
      </w:r>
      <w:r w:rsidR="00736CA8" w:rsidRPr="00115D5A">
        <w:rPr>
          <w:rFonts w:eastAsia="system-ui"/>
          <w:color w:val="212529"/>
          <w:lang w:val="en-ZW"/>
        </w:rPr>
        <w:t>our preliminary points. The first one on wasted cost</w:t>
      </w:r>
      <w:r w:rsidR="006C75E0">
        <w:rPr>
          <w:rFonts w:eastAsia="system-ui"/>
          <w:color w:val="212529"/>
          <w:lang w:val="en-ZW"/>
        </w:rPr>
        <w:t>s</w:t>
      </w:r>
      <w:r w:rsidR="00736CA8" w:rsidRPr="00115D5A">
        <w:rPr>
          <w:rFonts w:eastAsia="system-ui"/>
          <w:color w:val="212529"/>
          <w:lang w:val="en-ZW"/>
        </w:rPr>
        <w:t xml:space="preserve"> was </w:t>
      </w:r>
      <w:r w:rsidR="00F82963">
        <w:rPr>
          <w:rFonts w:eastAsia="system-ui"/>
          <w:color w:val="212529"/>
          <w:lang w:val="en-ZW"/>
        </w:rPr>
        <w:t xml:space="preserve">settled </w:t>
      </w:r>
      <w:r w:rsidR="00736CA8" w:rsidRPr="00115D5A">
        <w:rPr>
          <w:rFonts w:eastAsia="system-ui"/>
          <w:color w:val="212529"/>
          <w:lang w:val="en-ZW"/>
        </w:rPr>
        <w:t>at the date of hearing leaving three</w:t>
      </w:r>
      <w:r w:rsidR="00A37EBC" w:rsidRPr="00115D5A">
        <w:rPr>
          <w:rFonts w:eastAsia="system-ui"/>
          <w:color w:val="212529"/>
          <w:lang w:val="en-ZW"/>
        </w:rPr>
        <w:t xml:space="preserve"> preliminary points to wit-</w:t>
      </w:r>
      <w:r w:rsidR="00CE20A3" w:rsidRPr="00115D5A">
        <w:rPr>
          <w:rFonts w:eastAsia="system-ui"/>
          <w:color w:val="212529"/>
          <w:lang w:val="en-ZW"/>
        </w:rPr>
        <w:t xml:space="preserve"> </w:t>
      </w:r>
    </w:p>
    <w:p w14:paraId="6B896F2A" w14:textId="48F297AB" w:rsidR="00A37EBC" w:rsidRPr="00115D5A" w:rsidRDefault="00736CA8" w:rsidP="00717B0E">
      <w:pPr>
        <w:pStyle w:val="NormalWeb"/>
        <w:spacing w:beforeAutospacing="0" w:after="158" w:afterAutospacing="0" w:line="360" w:lineRule="auto"/>
        <w:jc w:val="both"/>
        <w:rPr>
          <w:rFonts w:eastAsia="system-ui"/>
          <w:color w:val="212529"/>
          <w:lang w:val="en-ZW"/>
        </w:rPr>
      </w:pPr>
      <w:r w:rsidRPr="00115D5A">
        <w:rPr>
          <w:rFonts w:eastAsia="system-ui"/>
          <w:color w:val="212529"/>
          <w:lang w:val="en-ZW"/>
        </w:rPr>
        <w:t>1</w:t>
      </w:r>
      <w:r w:rsidR="00A37EBC" w:rsidRPr="00115D5A">
        <w:rPr>
          <w:rFonts w:eastAsia="system-ui"/>
          <w:color w:val="212529"/>
          <w:lang w:val="en-ZW"/>
        </w:rPr>
        <w:t>. T</w:t>
      </w:r>
      <w:r w:rsidR="003A6A37" w:rsidRPr="00115D5A">
        <w:rPr>
          <w:rFonts w:eastAsia="system-ui"/>
          <w:color w:val="212529"/>
          <w:lang w:val="en-ZW"/>
        </w:rPr>
        <w:t>hat the founding affidavit to the application is invalid as it has a computer-generated date.</w:t>
      </w:r>
    </w:p>
    <w:p w14:paraId="69DFDFB0" w14:textId="36885960" w:rsidR="003A6A37" w:rsidRPr="00115D5A" w:rsidRDefault="00736CA8" w:rsidP="00717B0E">
      <w:pPr>
        <w:pStyle w:val="NormalWeb"/>
        <w:spacing w:beforeAutospacing="0" w:after="158" w:afterAutospacing="0" w:line="360" w:lineRule="auto"/>
        <w:jc w:val="both"/>
        <w:rPr>
          <w:rFonts w:eastAsia="system-ui"/>
          <w:color w:val="212529"/>
          <w:lang w:val="en-ZW"/>
        </w:rPr>
      </w:pPr>
      <w:r w:rsidRPr="00115D5A">
        <w:rPr>
          <w:rFonts w:eastAsia="system-ui"/>
          <w:color w:val="212529"/>
          <w:lang w:val="en-ZW"/>
        </w:rPr>
        <w:t>2</w:t>
      </w:r>
      <w:r w:rsidR="003A6A37" w:rsidRPr="00115D5A">
        <w:rPr>
          <w:rFonts w:eastAsia="system-ui"/>
          <w:color w:val="212529"/>
          <w:lang w:val="en-ZW"/>
        </w:rPr>
        <w:t>. That the Court does not have jurisdiction to hear the matter.</w:t>
      </w:r>
    </w:p>
    <w:p w14:paraId="0D71D21B" w14:textId="622ABA78" w:rsidR="003A6A37" w:rsidRPr="00115D5A" w:rsidRDefault="00736CA8" w:rsidP="00717B0E">
      <w:pPr>
        <w:pStyle w:val="NormalWeb"/>
        <w:spacing w:beforeAutospacing="0" w:after="158" w:afterAutospacing="0" w:line="360" w:lineRule="auto"/>
        <w:jc w:val="both"/>
        <w:rPr>
          <w:rFonts w:eastAsia="system-ui"/>
          <w:color w:val="212529"/>
          <w:lang w:val="en-ZW"/>
        </w:rPr>
      </w:pPr>
      <w:r w:rsidRPr="00115D5A">
        <w:rPr>
          <w:rFonts w:eastAsia="system-ui"/>
          <w:color w:val="212529"/>
          <w:lang w:val="en-ZW"/>
        </w:rPr>
        <w:t>3</w:t>
      </w:r>
      <w:r w:rsidR="003A6A37" w:rsidRPr="00115D5A">
        <w:rPr>
          <w:rFonts w:eastAsia="system-ui"/>
          <w:color w:val="212529"/>
          <w:lang w:val="en-ZW"/>
        </w:rPr>
        <w:t>. That the matter has prescribed.</w:t>
      </w:r>
    </w:p>
    <w:p w14:paraId="0E364F0E" w14:textId="1937B76C" w:rsidR="00587DF8" w:rsidRDefault="004F430D" w:rsidP="007027C1">
      <w:pPr>
        <w:pStyle w:val="NormalWeb"/>
        <w:spacing w:beforeAutospacing="0" w:afterAutospacing="0" w:line="360" w:lineRule="auto"/>
        <w:ind w:firstLine="420"/>
        <w:jc w:val="both"/>
        <w:rPr>
          <w:rFonts w:eastAsia="system-ui"/>
          <w:color w:val="212529"/>
        </w:rPr>
      </w:pPr>
      <w:r w:rsidRPr="00115D5A">
        <w:rPr>
          <w:rFonts w:eastAsia="system-ui"/>
          <w:color w:val="212529"/>
        </w:rPr>
        <w:t xml:space="preserve">To substantiate the </w:t>
      </w:r>
      <w:r w:rsidR="00786D6E">
        <w:rPr>
          <w:rFonts w:eastAsia="system-ui"/>
          <w:color w:val="212529"/>
        </w:rPr>
        <w:t xml:space="preserve">first </w:t>
      </w:r>
      <w:r w:rsidRPr="00115D5A">
        <w:rPr>
          <w:rFonts w:eastAsia="system-ui"/>
          <w:color w:val="212529"/>
        </w:rPr>
        <w:t xml:space="preserve">preliminary point, it was submitted that </w:t>
      </w:r>
      <w:r w:rsidR="00653803" w:rsidRPr="00115D5A">
        <w:rPr>
          <w:rFonts w:eastAsia="system-ui"/>
          <w:color w:val="212529"/>
        </w:rPr>
        <w:t xml:space="preserve">in the case of </w:t>
      </w:r>
      <w:r w:rsidR="00653803" w:rsidRPr="00786D6E">
        <w:rPr>
          <w:rFonts w:eastAsia="system-ui"/>
          <w:i/>
          <w:iCs/>
          <w:color w:val="212529"/>
        </w:rPr>
        <w:t>Ariston Management Services</w:t>
      </w:r>
      <w:r w:rsidR="00653803" w:rsidRPr="00115D5A">
        <w:rPr>
          <w:rFonts w:eastAsia="system-ui"/>
          <w:color w:val="212529"/>
        </w:rPr>
        <w:t xml:space="preserve"> v </w:t>
      </w:r>
      <w:r w:rsidR="00653803" w:rsidRPr="00786D6E">
        <w:rPr>
          <w:rFonts w:eastAsia="system-ui"/>
          <w:i/>
          <w:iCs/>
          <w:color w:val="212529"/>
        </w:rPr>
        <w:t>Econet Wireless Zimbabwe</w:t>
      </w:r>
      <w:r w:rsidR="00F82963" w:rsidRPr="00786D6E">
        <w:rPr>
          <w:rFonts w:eastAsia="system-ui"/>
          <w:i/>
          <w:iCs/>
          <w:color w:val="212529"/>
        </w:rPr>
        <w:t xml:space="preserve"> Pvt </w:t>
      </w:r>
      <w:r w:rsidR="00653803" w:rsidRPr="00786D6E">
        <w:rPr>
          <w:rFonts w:eastAsia="system-ui"/>
          <w:i/>
          <w:iCs/>
          <w:color w:val="212529"/>
        </w:rPr>
        <w:t>Ltd</w:t>
      </w:r>
      <w:r w:rsidR="00653803" w:rsidRPr="00115D5A">
        <w:rPr>
          <w:rFonts w:eastAsia="system-ui"/>
          <w:color w:val="212529"/>
        </w:rPr>
        <w:t> </w:t>
      </w:r>
      <w:r w:rsidR="00653803" w:rsidRPr="00786D6E">
        <w:rPr>
          <w:rFonts w:eastAsia="system-ui"/>
          <w:color w:val="212529"/>
        </w:rPr>
        <w:t>SC 123/ 23</w:t>
      </w:r>
      <w:r w:rsidR="00653803" w:rsidRPr="00115D5A">
        <w:rPr>
          <w:rFonts w:eastAsia="system-ui"/>
          <w:color w:val="212529"/>
        </w:rPr>
        <w:t xml:space="preserve"> </w:t>
      </w:r>
      <w:r w:rsidR="007027C1" w:rsidRPr="007027C1">
        <w:rPr>
          <w:rFonts w:eastAsia="system-ui"/>
          <w:smallCaps/>
          <w:color w:val="212529"/>
        </w:rPr>
        <w:t>Mathonsi</w:t>
      </w:r>
      <w:r w:rsidR="007027C1" w:rsidRPr="00786D6E">
        <w:rPr>
          <w:rFonts w:eastAsia="system-ui"/>
          <w:color w:val="212529"/>
        </w:rPr>
        <w:t xml:space="preserve"> </w:t>
      </w:r>
      <w:r w:rsidR="00653803" w:rsidRPr="00786D6E">
        <w:rPr>
          <w:rFonts w:eastAsia="system-ui"/>
          <w:color w:val="212529"/>
        </w:rPr>
        <w:t>JA</w:t>
      </w:r>
      <w:r w:rsidR="00653803" w:rsidRPr="00115D5A">
        <w:rPr>
          <w:rFonts w:eastAsia="system-ui"/>
          <w:color w:val="212529"/>
        </w:rPr>
        <w:t xml:space="preserve"> </w:t>
      </w:r>
      <w:r w:rsidR="00587DF8">
        <w:rPr>
          <w:rFonts w:eastAsia="system-ui"/>
          <w:color w:val="212529"/>
        </w:rPr>
        <w:t>sta</w:t>
      </w:r>
      <w:r w:rsidR="00653803" w:rsidRPr="00115D5A">
        <w:rPr>
          <w:rFonts w:eastAsia="system-ui"/>
          <w:color w:val="212529"/>
        </w:rPr>
        <w:t>ted that, when commissioning an affidavit, the Commissioner of Oaths must sign</w:t>
      </w:r>
      <w:r w:rsidR="00587DF8">
        <w:rPr>
          <w:rFonts w:eastAsia="system-ui"/>
          <w:color w:val="212529"/>
        </w:rPr>
        <w:t xml:space="preserve"> and endorse</w:t>
      </w:r>
      <w:r w:rsidR="00653803" w:rsidRPr="00115D5A">
        <w:rPr>
          <w:rFonts w:eastAsia="system-ui"/>
          <w:color w:val="212529"/>
        </w:rPr>
        <w:t xml:space="preserve"> a date on the affidavit.</w:t>
      </w:r>
      <w:r w:rsidR="00736CA8" w:rsidRPr="00115D5A">
        <w:rPr>
          <w:rFonts w:eastAsia="system-ui"/>
          <w:color w:val="212529"/>
        </w:rPr>
        <w:t xml:space="preserve"> On that note</w:t>
      </w:r>
      <w:r w:rsidR="00587DF8">
        <w:rPr>
          <w:rFonts w:eastAsia="system-ui"/>
          <w:color w:val="212529"/>
        </w:rPr>
        <w:t>,</w:t>
      </w:r>
      <w:r w:rsidR="00736CA8" w:rsidRPr="00115D5A">
        <w:rPr>
          <w:rFonts w:eastAsia="system-ui"/>
          <w:color w:val="212529"/>
        </w:rPr>
        <w:t xml:space="preserve"> it was the </w:t>
      </w:r>
      <w:r w:rsidR="00587DF8">
        <w:rPr>
          <w:rFonts w:eastAsia="system-ui"/>
          <w:color w:val="212529"/>
        </w:rPr>
        <w:t xml:space="preserve">second </w:t>
      </w:r>
      <w:r w:rsidR="00587DF8">
        <w:rPr>
          <w:rFonts w:eastAsia="system-ui"/>
          <w:color w:val="212529"/>
        </w:rPr>
        <w:lastRenderedPageBreak/>
        <w:t>r</w:t>
      </w:r>
      <w:r w:rsidR="00736CA8" w:rsidRPr="00115D5A">
        <w:rPr>
          <w:rFonts w:eastAsia="system-ui"/>
          <w:color w:val="212529"/>
        </w:rPr>
        <w:t>espondent’s submission that</w:t>
      </w:r>
      <w:r w:rsidR="00653803" w:rsidRPr="00115D5A">
        <w:rPr>
          <w:rFonts w:eastAsia="system-ui"/>
          <w:color w:val="212529"/>
        </w:rPr>
        <w:t xml:space="preserve"> </w:t>
      </w:r>
      <w:r w:rsidR="00736CA8" w:rsidRPr="00115D5A">
        <w:rPr>
          <w:rFonts w:eastAsia="system-ui"/>
          <w:color w:val="212529"/>
        </w:rPr>
        <w:t>t</w:t>
      </w:r>
      <w:r w:rsidR="00653803" w:rsidRPr="00115D5A">
        <w:rPr>
          <w:rFonts w:eastAsia="system-ui"/>
          <w:color w:val="212529"/>
        </w:rPr>
        <w:t>he founding affidavit</w:t>
      </w:r>
      <w:r w:rsidR="00736CA8" w:rsidRPr="00115D5A">
        <w:rPr>
          <w:rFonts w:eastAsia="system-ui"/>
          <w:color w:val="212529"/>
        </w:rPr>
        <w:t xml:space="preserve"> is defective</w:t>
      </w:r>
      <w:r w:rsidR="00587DF8">
        <w:rPr>
          <w:rFonts w:eastAsia="system-ui"/>
          <w:color w:val="212529"/>
        </w:rPr>
        <w:t xml:space="preserve"> for bearing</w:t>
      </w:r>
      <w:r w:rsidR="00653803" w:rsidRPr="00115D5A">
        <w:rPr>
          <w:rFonts w:eastAsia="system-ui"/>
          <w:color w:val="212529"/>
        </w:rPr>
        <w:t xml:space="preserve"> a computer-generated date</w:t>
      </w:r>
      <w:r w:rsidR="00587DF8">
        <w:rPr>
          <w:rFonts w:eastAsia="system-ui"/>
          <w:color w:val="212529"/>
        </w:rPr>
        <w:t xml:space="preserve">. As such </w:t>
      </w:r>
      <w:r w:rsidR="00653803" w:rsidRPr="00115D5A">
        <w:rPr>
          <w:rFonts w:eastAsia="system-ui"/>
          <w:color w:val="212529"/>
        </w:rPr>
        <w:t>there is no valid affidavit before the Court and consequently no application before the Court</w:t>
      </w:r>
      <w:r w:rsidR="00F82963">
        <w:rPr>
          <w:rFonts w:eastAsia="system-ui"/>
          <w:color w:val="212529"/>
        </w:rPr>
        <w:t xml:space="preserve">. </w:t>
      </w:r>
      <w:r w:rsidR="00587DF8">
        <w:rPr>
          <w:rFonts w:eastAsia="system-ui"/>
          <w:color w:val="212529"/>
        </w:rPr>
        <w:t>On that point, t</w:t>
      </w:r>
      <w:r w:rsidR="00F82963">
        <w:rPr>
          <w:rFonts w:eastAsia="system-ui"/>
          <w:color w:val="212529"/>
        </w:rPr>
        <w:t xml:space="preserve">he </w:t>
      </w:r>
      <w:r w:rsidR="00587DF8">
        <w:rPr>
          <w:rFonts w:eastAsia="system-ui"/>
          <w:color w:val="212529"/>
        </w:rPr>
        <w:t>second r</w:t>
      </w:r>
      <w:r w:rsidRPr="00115D5A">
        <w:rPr>
          <w:rFonts w:eastAsia="system-ui"/>
          <w:color w:val="212529"/>
        </w:rPr>
        <w:t>espondent moved that the</w:t>
      </w:r>
      <w:r w:rsidR="00736CA8" w:rsidRPr="00115D5A">
        <w:rPr>
          <w:rFonts w:eastAsia="system-ui"/>
          <w:color w:val="212529"/>
        </w:rPr>
        <w:t xml:space="preserve"> matter be struck off the roll.</w:t>
      </w:r>
      <w:r w:rsidR="00F82963">
        <w:rPr>
          <w:rFonts w:eastAsia="system-ui"/>
          <w:color w:val="212529"/>
        </w:rPr>
        <w:t xml:space="preserve"> </w:t>
      </w:r>
    </w:p>
    <w:p w14:paraId="57C19A71" w14:textId="77777777" w:rsidR="005F6E32" w:rsidRDefault="004F430D" w:rsidP="00FF5107">
      <w:pPr>
        <w:pStyle w:val="NormalWeb"/>
        <w:spacing w:beforeAutospacing="0" w:afterAutospacing="0" w:line="360" w:lineRule="auto"/>
        <w:ind w:firstLine="420"/>
        <w:jc w:val="both"/>
        <w:rPr>
          <w:lang w:val="en-ZW" w:eastAsia="en-ZW"/>
        </w:rPr>
      </w:pPr>
      <w:r w:rsidRPr="00115D5A">
        <w:rPr>
          <w:rFonts w:eastAsia="system-ui"/>
          <w:color w:val="212529"/>
        </w:rPr>
        <w:t>On the second point, it was</w:t>
      </w:r>
      <w:r w:rsidR="00587DF8">
        <w:rPr>
          <w:rFonts w:eastAsia="system-ui"/>
          <w:color w:val="212529"/>
        </w:rPr>
        <w:t xml:space="preserve"> second</w:t>
      </w:r>
      <w:r w:rsidRPr="00115D5A">
        <w:rPr>
          <w:rFonts w:eastAsia="system-ui"/>
          <w:color w:val="212529"/>
        </w:rPr>
        <w:t xml:space="preserve"> respondent’s submission that </w:t>
      </w:r>
      <w:r w:rsidR="009166E9" w:rsidRPr="00115D5A">
        <w:rPr>
          <w:rFonts w:eastAsia="system-ui"/>
          <w:color w:val="212529"/>
        </w:rPr>
        <w:t xml:space="preserve">this Court does not have jurisdiction to preside over </w:t>
      </w:r>
      <w:r w:rsidR="00587DF8">
        <w:rPr>
          <w:rFonts w:eastAsia="system-ui"/>
          <w:color w:val="212529"/>
        </w:rPr>
        <w:t>l</w:t>
      </w:r>
      <w:r w:rsidR="009166E9" w:rsidRPr="00115D5A">
        <w:rPr>
          <w:rFonts w:eastAsia="system-ui"/>
          <w:color w:val="212529"/>
        </w:rPr>
        <w:t xml:space="preserve">and </w:t>
      </w:r>
      <w:r w:rsidR="00587DF8">
        <w:rPr>
          <w:rFonts w:eastAsia="system-ui"/>
          <w:color w:val="212529"/>
        </w:rPr>
        <w:t>a</w:t>
      </w:r>
      <w:r w:rsidR="009166E9" w:rsidRPr="00115D5A">
        <w:rPr>
          <w:rFonts w:eastAsia="system-ui"/>
          <w:color w:val="212529"/>
        </w:rPr>
        <w:t>cquisition matters that</w:t>
      </w:r>
      <w:r w:rsidR="00AB4279" w:rsidRPr="00115D5A">
        <w:rPr>
          <w:rFonts w:eastAsia="system-ui"/>
          <w:color w:val="212529"/>
        </w:rPr>
        <w:t xml:space="preserve"> are subject to </w:t>
      </w:r>
      <w:r w:rsidR="00AB4279" w:rsidRPr="00115D5A">
        <w:rPr>
          <w:lang w:val="en-ZW" w:eastAsia="en-ZW"/>
        </w:rPr>
        <w:t>compulsory acquisition by the President in</w:t>
      </w:r>
      <w:r w:rsidR="00F82963">
        <w:rPr>
          <w:lang w:val="en-ZW" w:eastAsia="en-ZW"/>
        </w:rPr>
        <w:t xml:space="preserve"> </w:t>
      </w:r>
      <w:r w:rsidR="00AB4279" w:rsidRPr="00115D5A">
        <w:rPr>
          <w:lang w:val="en-ZW" w:eastAsia="en-ZW"/>
        </w:rPr>
        <w:t xml:space="preserve">terms of section </w:t>
      </w:r>
      <w:r w:rsidR="00AB4279" w:rsidRPr="00717B0E">
        <w:rPr>
          <w:lang w:val="en-ZW" w:eastAsia="en-ZW"/>
        </w:rPr>
        <w:t>16B</w:t>
      </w:r>
      <w:r w:rsidR="00F82963" w:rsidRPr="00717B0E">
        <w:rPr>
          <w:lang w:val="en-ZW" w:eastAsia="en-ZW"/>
        </w:rPr>
        <w:t xml:space="preserve"> </w:t>
      </w:r>
      <w:r w:rsidR="00AB4279" w:rsidRPr="00717B0E">
        <w:rPr>
          <w:lang w:val="en-ZW" w:eastAsia="en-ZW"/>
        </w:rPr>
        <w:t>(2)</w:t>
      </w:r>
      <w:r w:rsidR="00F82963" w:rsidRPr="00717B0E">
        <w:rPr>
          <w:lang w:val="en-ZW" w:eastAsia="en-ZW"/>
        </w:rPr>
        <w:t xml:space="preserve"> </w:t>
      </w:r>
      <w:r w:rsidR="00717B0E" w:rsidRPr="00717B0E">
        <w:rPr>
          <w:lang w:val="en-ZW" w:eastAsia="en-ZW"/>
        </w:rPr>
        <w:t>and</w:t>
      </w:r>
      <w:r w:rsidR="004E5346">
        <w:rPr>
          <w:lang w:val="en-ZW" w:eastAsia="en-ZW"/>
        </w:rPr>
        <w:t xml:space="preserve"> (3) </w:t>
      </w:r>
      <w:r w:rsidR="00717B0E" w:rsidRPr="00717B0E">
        <w:rPr>
          <w:lang w:val="en-ZW" w:eastAsia="en-ZW"/>
        </w:rPr>
        <w:t>of the</w:t>
      </w:r>
      <w:r w:rsidR="00717B0E" w:rsidRPr="00717B0E">
        <w:rPr>
          <w:rFonts w:asciiTheme="minorHAnsi" w:eastAsiaTheme="minorEastAsia" w:hAnsiTheme="minorHAnsi" w:cstheme="minorBidi"/>
          <w:kern w:val="2"/>
          <w:sz w:val="21"/>
        </w:rPr>
        <w:t xml:space="preserve"> </w:t>
      </w:r>
      <w:r w:rsidR="00717B0E" w:rsidRPr="00717B0E">
        <w:rPr>
          <w:lang w:eastAsia="en-ZW"/>
        </w:rPr>
        <w:t xml:space="preserve">Constitution of Zimbabwe </w:t>
      </w:r>
      <w:r w:rsidR="00FE060B">
        <w:rPr>
          <w:lang w:eastAsia="en-ZW"/>
        </w:rPr>
        <w:t>a</w:t>
      </w:r>
      <w:r w:rsidR="00717B0E" w:rsidRPr="00717B0E">
        <w:rPr>
          <w:lang w:eastAsia="en-ZW"/>
        </w:rPr>
        <w:t xml:space="preserve">s amended </w:t>
      </w:r>
      <w:r w:rsidR="00FE060B">
        <w:rPr>
          <w:lang w:eastAsia="en-ZW"/>
        </w:rPr>
        <w:t xml:space="preserve">by </w:t>
      </w:r>
      <w:r w:rsidR="005F6E32">
        <w:rPr>
          <w:lang w:eastAsia="en-ZW"/>
        </w:rPr>
        <w:t>A</w:t>
      </w:r>
      <w:r w:rsidR="00FE060B">
        <w:rPr>
          <w:lang w:eastAsia="en-ZW"/>
        </w:rPr>
        <w:t>mendment No 17 Act, 2005 (Act No 5/2005</w:t>
      </w:r>
      <w:r w:rsidR="00CB39DA">
        <w:rPr>
          <w:lang w:eastAsia="en-ZW"/>
        </w:rPr>
        <w:t>)</w:t>
      </w:r>
      <w:r w:rsidR="00611AB2">
        <w:rPr>
          <w:lang w:val="en-ZW" w:eastAsia="en-ZW"/>
        </w:rPr>
        <w:t xml:space="preserve">. </w:t>
      </w:r>
    </w:p>
    <w:p w14:paraId="76F02C45" w14:textId="74435FDD" w:rsidR="00717B0E" w:rsidRPr="00611AB2" w:rsidRDefault="004F430D" w:rsidP="00FF5107">
      <w:pPr>
        <w:pStyle w:val="NormalWeb"/>
        <w:spacing w:beforeAutospacing="0" w:afterAutospacing="0" w:line="360" w:lineRule="auto"/>
        <w:ind w:firstLine="420"/>
        <w:jc w:val="both"/>
        <w:rPr>
          <w:sz w:val="22"/>
          <w:szCs w:val="22"/>
          <w:lang w:eastAsia="en-ZW"/>
        </w:rPr>
      </w:pPr>
      <w:r w:rsidRPr="00115D5A">
        <w:rPr>
          <w:rFonts w:eastAsia="system-ui"/>
          <w:color w:val="212529"/>
        </w:rPr>
        <w:t>He summed up this submission by stating that the</w:t>
      </w:r>
      <w:r w:rsidR="00A548C7" w:rsidRPr="00115D5A">
        <w:rPr>
          <w:rFonts w:eastAsia="system-ui"/>
          <w:color w:val="212529"/>
        </w:rPr>
        <w:t xml:space="preserve"> Farm was part of agricultural land and therefore the provisions of section 16B</w:t>
      </w:r>
      <w:r w:rsidR="00F82963">
        <w:rPr>
          <w:rFonts w:eastAsia="system-ui"/>
          <w:color w:val="212529"/>
        </w:rPr>
        <w:t xml:space="preserve"> </w:t>
      </w:r>
      <w:r w:rsidR="001B4572" w:rsidRPr="00115D5A">
        <w:rPr>
          <w:rFonts w:eastAsia="system-ui"/>
          <w:color w:val="212529"/>
        </w:rPr>
        <w:t>(2)</w:t>
      </w:r>
      <w:r w:rsidR="00F82963">
        <w:rPr>
          <w:rFonts w:eastAsia="system-ui"/>
          <w:color w:val="212529"/>
        </w:rPr>
        <w:t xml:space="preserve"> </w:t>
      </w:r>
      <w:r w:rsidR="001B4572" w:rsidRPr="00115D5A">
        <w:rPr>
          <w:rFonts w:eastAsia="system-ui"/>
          <w:color w:val="212529"/>
        </w:rPr>
        <w:t>(a)</w:t>
      </w:r>
      <w:r w:rsidR="00F82963">
        <w:rPr>
          <w:rFonts w:eastAsia="system-ui"/>
          <w:color w:val="212529"/>
        </w:rPr>
        <w:t xml:space="preserve"> </w:t>
      </w:r>
      <w:r w:rsidR="001B4572" w:rsidRPr="00115D5A">
        <w:rPr>
          <w:rFonts w:eastAsia="system-ui"/>
          <w:color w:val="212529"/>
        </w:rPr>
        <w:t>(</w:t>
      </w:r>
      <w:r w:rsidR="00F82963">
        <w:rPr>
          <w:rFonts w:eastAsia="system-ui"/>
          <w:color w:val="212529"/>
        </w:rPr>
        <w:t>i</w:t>
      </w:r>
      <w:r w:rsidR="001B4572" w:rsidRPr="00115D5A">
        <w:rPr>
          <w:rFonts w:eastAsia="system-ui"/>
          <w:color w:val="212529"/>
        </w:rPr>
        <w:t xml:space="preserve">) </w:t>
      </w:r>
      <w:r w:rsidR="00241681">
        <w:rPr>
          <w:rFonts w:eastAsia="system-ui"/>
          <w:color w:val="212529"/>
        </w:rPr>
        <w:t xml:space="preserve">and (3) </w:t>
      </w:r>
      <w:r w:rsidR="00A548C7" w:rsidRPr="00115D5A">
        <w:rPr>
          <w:rFonts w:eastAsia="system-ui"/>
          <w:color w:val="212529"/>
        </w:rPr>
        <w:t>apply to it</w:t>
      </w:r>
      <w:r w:rsidR="008954EC">
        <w:rPr>
          <w:rFonts w:eastAsia="system-ui"/>
          <w:color w:val="212529"/>
        </w:rPr>
        <w:t>.</w:t>
      </w:r>
    </w:p>
    <w:p w14:paraId="39651490" w14:textId="48EF26EB" w:rsidR="00FB7190" w:rsidRPr="00717B0E" w:rsidRDefault="004F430D" w:rsidP="00842830">
      <w:pPr>
        <w:pStyle w:val="NormalWeb"/>
        <w:spacing w:beforeAutospacing="0" w:afterAutospacing="0" w:line="360" w:lineRule="auto"/>
        <w:ind w:firstLine="420"/>
        <w:jc w:val="both"/>
        <w:rPr>
          <w:rFonts w:eastAsia="system-ui"/>
          <w:color w:val="212529"/>
        </w:rPr>
      </w:pPr>
      <w:r w:rsidRPr="00717B0E">
        <w:rPr>
          <w:rFonts w:eastAsia="system-ui"/>
          <w:color w:val="212529"/>
        </w:rPr>
        <w:t xml:space="preserve">On the third issue, </w:t>
      </w:r>
      <w:r w:rsidR="00587DF8" w:rsidRPr="00717B0E">
        <w:rPr>
          <w:rFonts w:eastAsia="system-ui"/>
          <w:color w:val="212529"/>
        </w:rPr>
        <w:t xml:space="preserve">second </w:t>
      </w:r>
      <w:r w:rsidRPr="00717B0E">
        <w:rPr>
          <w:rFonts w:eastAsia="system-ui"/>
          <w:color w:val="212529"/>
        </w:rPr>
        <w:t xml:space="preserve">respondent submitted that if </w:t>
      </w:r>
      <w:r w:rsidR="00587DF8" w:rsidRPr="00717B0E">
        <w:rPr>
          <w:rFonts w:eastAsia="system-ui"/>
          <w:color w:val="212529"/>
        </w:rPr>
        <w:t>a</w:t>
      </w:r>
      <w:r w:rsidRPr="00717B0E">
        <w:rPr>
          <w:rFonts w:eastAsia="system-ui"/>
          <w:color w:val="212529"/>
        </w:rPr>
        <w:t xml:space="preserve">pplicant wants to debate the </w:t>
      </w:r>
      <w:r w:rsidR="001B4572" w:rsidRPr="00717B0E">
        <w:rPr>
          <w:rFonts w:eastAsia="system-ui"/>
          <w:color w:val="212529"/>
        </w:rPr>
        <w:t xml:space="preserve">legality of the </w:t>
      </w:r>
      <w:r w:rsidR="00F82963" w:rsidRPr="00717B0E">
        <w:rPr>
          <w:rFonts w:eastAsia="system-ui"/>
          <w:color w:val="212529"/>
        </w:rPr>
        <w:t>A</w:t>
      </w:r>
      <w:r w:rsidR="001B4572" w:rsidRPr="00717B0E">
        <w:rPr>
          <w:rFonts w:eastAsia="system-ui"/>
          <w:color w:val="212529"/>
        </w:rPr>
        <w:t xml:space="preserve">cquisition of </w:t>
      </w:r>
      <w:r w:rsidR="001B4572" w:rsidRPr="00717B0E">
        <w:rPr>
          <w:rFonts w:eastAsia="system-ui"/>
          <w:color w:val="212529"/>
          <w:lang w:val="en-ZW"/>
        </w:rPr>
        <w:t>Lot 1A of Teviotdale</w:t>
      </w:r>
      <w:r w:rsidR="001B4572" w:rsidRPr="00717B0E">
        <w:rPr>
          <w:rFonts w:eastAsia="system-ui"/>
          <w:color w:val="212529"/>
        </w:rPr>
        <w:t xml:space="preserve">, then </w:t>
      </w:r>
      <w:r w:rsidRPr="00717B0E">
        <w:rPr>
          <w:rFonts w:eastAsia="system-ui"/>
          <w:color w:val="212529"/>
        </w:rPr>
        <w:t xml:space="preserve">there is no basis, as that right has been extinguished </w:t>
      </w:r>
      <w:r w:rsidR="00FB7190" w:rsidRPr="00717B0E">
        <w:rPr>
          <w:rFonts w:eastAsia="system-ui"/>
          <w:color w:val="212529"/>
        </w:rPr>
        <w:t xml:space="preserve">by prescription. </w:t>
      </w:r>
      <w:r w:rsidR="00FB7190" w:rsidRPr="00717B0E">
        <w:rPr>
          <w:rFonts w:eastAsia="system-ui"/>
          <w:color w:val="212529"/>
          <w:lang w:val="en-ZW"/>
        </w:rPr>
        <w:t>The Applicant became aware of the identity of the 1st Respondent and the President as the acquiring authority and the alleged irregularity in the acquisition process in 2004, The present proceedings for the setting aside of the acquisition of the farm were instituted in 2020, outside the three-year prescription period stated in section 15(d) of the Prescription Act</w:t>
      </w:r>
      <w:r w:rsidR="00F82963" w:rsidRPr="00717B0E">
        <w:rPr>
          <w:rFonts w:eastAsia="system-ui"/>
          <w:i/>
          <w:iCs/>
          <w:color w:val="212529"/>
          <w:lang w:val="en-ZW"/>
        </w:rPr>
        <w:t xml:space="preserve"> </w:t>
      </w:r>
      <w:r w:rsidR="00F82963" w:rsidRPr="00717B0E">
        <w:rPr>
          <w:rFonts w:eastAsia="system-ui"/>
          <w:color w:val="212529"/>
          <w:lang w:val="en-ZW"/>
        </w:rPr>
        <w:t>[</w:t>
      </w:r>
      <w:r w:rsidR="00F82963" w:rsidRPr="007027C1">
        <w:rPr>
          <w:rFonts w:eastAsia="system-ui"/>
          <w:i/>
          <w:color w:val="212529"/>
          <w:lang w:val="en-ZW"/>
        </w:rPr>
        <w:t xml:space="preserve">Chapter </w:t>
      </w:r>
      <w:r w:rsidR="00F82963" w:rsidRPr="00717B0E">
        <w:rPr>
          <w:rFonts w:eastAsia="system-ui"/>
          <w:color w:val="212529"/>
          <w:lang w:val="en-ZW"/>
        </w:rPr>
        <w:t xml:space="preserve">8.11] </w:t>
      </w:r>
      <w:r w:rsidR="00587DF8" w:rsidRPr="00717B0E">
        <w:rPr>
          <w:rFonts w:eastAsia="system-ui"/>
          <w:color w:val="212529"/>
          <w:lang w:val="en-ZW"/>
        </w:rPr>
        <w:t>(</w:t>
      </w:r>
      <w:r w:rsidR="00F82963" w:rsidRPr="00717B0E">
        <w:rPr>
          <w:rFonts w:eastAsia="system-ui"/>
          <w:color w:val="212529"/>
          <w:lang w:val="en-ZW"/>
        </w:rPr>
        <w:t>THE ACT</w:t>
      </w:r>
      <w:r w:rsidR="00587DF8" w:rsidRPr="00717B0E">
        <w:rPr>
          <w:rFonts w:eastAsia="system-ui"/>
          <w:color w:val="212529"/>
          <w:lang w:val="en-ZW"/>
        </w:rPr>
        <w:t>)</w:t>
      </w:r>
      <w:r w:rsidR="00FB7190" w:rsidRPr="00717B0E">
        <w:rPr>
          <w:rFonts w:eastAsia="system-ui"/>
          <w:color w:val="212529"/>
          <w:lang w:val="en-ZW"/>
        </w:rPr>
        <w:t>. The claims by the Applicant have accordingly prescribed and must be dismissed.</w:t>
      </w:r>
      <w:r w:rsidR="00FB7190" w:rsidRPr="00717B0E">
        <w:t xml:space="preserve"> </w:t>
      </w:r>
      <w:r w:rsidR="00FB7190" w:rsidRPr="00717B0E">
        <w:rPr>
          <w:rFonts w:eastAsia="system-ui"/>
          <w:color w:val="212529"/>
          <w:lang w:val="en-ZW"/>
        </w:rPr>
        <w:t xml:space="preserve">The claim for the setting aside of the offer letters is subsidiary to that for the setting aside of the compulsory acquisition of the farm. The two are inseparable. Accordingly, the claim for the setting aside of the offer letters prescribed in terms of section 15d of the Prescription Act as read together with section 14 of the same </w:t>
      </w:r>
      <w:r w:rsidR="00587DF8" w:rsidRPr="00717B0E">
        <w:rPr>
          <w:rFonts w:eastAsia="system-ui"/>
          <w:color w:val="212529"/>
          <w:lang w:val="en-ZW"/>
        </w:rPr>
        <w:t>A</w:t>
      </w:r>
      <w:r w:rsidR="00FB7190" w:rsidRPr="00717B0E">
        <w:rPr>
          <w:rFonts w:eastAsia="system-ui"/>
          <w:color w:val="212529"/>
          <w:lang w:val="en-ZW"/>
        </w:rPr>
        <w:t>ct. The offer letter issued to the 2nd Respondent was issued to it in 2011. The Applicant could easily have obtained knowledge of the offer letter by exercising reasonable care</w:t>
      </w:r>
      <w:r w:rsidR="005F6E32">
        <w:rPr>
          <w:rFonts w:eastAsia="system-ui"/>
          <w:color w:val="212529"/>
          <w:lang w:val="en-ZW"/>
        </w:rPr>
        <w:t xml:space="preserve">, </w:t>
      </w:r>
      <w:r w:rsidR="00587DF8" w:rsidRPr="00717B0E">
        <w:rPr>
          <w:rFonts w:eastAsia="system-ui"/>
          <w:color w:val="212529"/>
          <w:lang w:val="en-ZW"/>
        </w:rPr>
        <w:t>as per the</w:t>
      </w:r>
      <w:r w:rsidR="00FB7190" w:rsidRPr="00717B0E">
        <w:rPr>
          <w:rFonts w:eastAsia="system-ui"/>
          <w:color w:val="212529"/>
          <w:lang w:val="en-ZW"/>
        </w:rPr>
        <w:t xml:space="preserve"> proviso to section 16(3) of the Prescription Act</w:t>
      </w:r>
      <w:r w:rsidR="005F6E32">
        <w:rPr>
          <w:rFonts w:eastAsia="system-ui"/>
          <w:color w:val="212529"/>
          <w:lang w:val="en-ZW"/>
        </w:rPr>
        <w:t>,</w:t>
      </w:r>
      <w:r w:rsidR="00587DF8" w:rsidRPr="00717B0E">
        <w:rPr>
          <w:rFonts w:eastAsia="system-ui"/>
          <w:color w:val="212529"/>
          <w:lang w:val="en-ZW"/>
        </w:rPr>
        <w:t xml:space="preserve"> </w:t>
      </w:r>
      <w:r w:rsidR="0068203C" w:rsidRPr="00717B0E">
        <w:rPr>
          <w:rFonts w:eastAsia="system-ui"/>
          <w:color w:val="212529"/>
          <w:lang w:val="en-ZW"/>
        </w:rPr>
        <w:t>so</w:t>
      </w:r>
      <w:r w:rsidR="00587DF8" w:rsidRPr="00717B0E">
        <w:rPr>
          <w:rFonts w:eastAsia="system-ui"/>
          <w:color w:val="212529"/>
          <w:lang w:val="en-ZW"/>
        </w:rPr>
        <w:t xml:space="preserve"> it was submitted</w:t>
      </w:r>
      <w:r w:rsidR="0068203C" w:rsidRPr="00717B0E">
        <w:rPr>
          <w:rFonts w:eastAsia="system-ui"/>
          <w:color w:val="212529"/>
          <w:lang w:val="en-ZW"/>
        </w:rPr>
        <w:t>.</w:t>
      </w:r>
    </w:p>
    <w:p w14:paraId="0CD95E29" w14:textId="40E16FE8" w:rsidR="002D7ED2" w:rsidRPr="00717B0E" w:rsidRDefault="004F430D" w:rsidP="00842830">
      <w:pPr>
        <w:pStyle w:val="NormalWeb"/>
        <w:spacing w:beforeAutospacing="0" w:afterAutospacing="0" w:line="360" w:lineRule="auto"/>
        <w:ind w:firstLine="420"/>
        <w:jc w:val="both"/>
        <w:rPr>
          <w:rFonts w:eastAsia="system-ui"/>
          <w:color w:val="212529"/>
          <w:lang w:val="zh-CN"/>
        </w:rPr>
      </w:pPr>
      <w:r w:rsidRPr="00717B0E">
        <w:rPr>
          <w:rFonts w:eastAsia="system-ui"/>
          <w:color w:val="212529"/>
        </w:rPr>
        <w:lastRenderedPageBreak/>
        <w:t>In response to the preliminary issues raised by</w:t>
      </w:r>
      <w:r w:rsidR="0068203C" w:rsidRPr="00717B0E">
        <w:rPr>
          <w:rFonts w:eastAsia="system-ui"/>
          <w:color w:val="212529"/>
        </w:rPr>
        <w:t xml:space="preserve"> second</w:t>
      </w:r>
      <w:r w:rsidRPr="00717B0E">
        <w:rPr>
          <w:rFonts w:eastAsia="system-ui"/>
          <w:color w:val="212529"/>
        </w:rPr>
        <w:t xml:space="preserve"> respondent, Advocate </w:t>
      </w:r>
      <w:r w:rsidR="007027F2" w:rsidRPr="00717B0E">
        <w:rPr>
          <w:rFonts w:eastAsia="system-ui"/>
          <w:i/>
          <w:color w:val="212529"/>
        </w:rPr>
        <w:t>Sithol</w:t>
      </w:r>
      <w:r w:rsidR="00331DF7" w:rsidRPr="00717B0E">
        <w:rPr>
          <w:rFonts w:eastAsia="system-ui"/>
          <w:i/>
          <w:color w:val="212529"/>
        </w:rPr>
        <w:t>e</w:t>
      </w:r>
      <w:r w:rsidRPr="00717B0E">
        <w:rPr>
          <w:rFonts w:eastAsia="system-ui"/>
          <w:color w:val="212529"/>
        </w:rPr>
        <w:t xml:space="preserve"> on behalf of </w:t>
      </w:r>
      <w:r w:rsidR="0068203C" w:rsidRPr="00717B0E">
        <w:rPr>
          <w:rFonts w:eastAsia="system-ui"/>
          <w:color w:val="212529"/>
        </w:rPr>
        <w:t xml:space="preserve">the </w:t>
      </w:r>
      <w:r w:rsidRPr="00717B0E">
        <w:rPr>
          <w:rFonts w:eastAsia="system-ui"/>
          <w:color w:val="212529"/>
        </w:rPr>
        <w:t>applicant, made the following submissions.</w:t>
      </w:r>
    </w:p>
    <w:p w14:paraId="5E4E36AE" w14:textId="426CF0C8" w:rsidR="00EF7749" w:rsidRPr="00717B0E" w:rsidRDefault="004F430D" w:rsidP="00842830">
      <w:pPr>
        <w:pStyle w:val="NormalWeb"/>
        <w:spacing w:beforeAutospacing="0" w:afterAutospacing="0" w:line="360" w:lineRule="auto"/>
        <w:ind w:firstLine="420"/>
        <w:jc w:val="both"/>
        <w:rPr>
          <w:rFonts w:eastAsia="system-ui"/>
          <w:color w:val="212529"/>
        </w:rPr>
      </w:pPr>
      <w:r w:rsidRPr="00717B0E">
        <w:rPr>
          <w:rFonts w:eastAsia="system-ui"/>
          <w:color w:val="212529"/>
        </w:rPr>
        <w:t xml:space="preserve">Firstly, he </w:t>
      </w:r>
      <w:r w:rsidR="00C10F90" w:rsidRPr="00717B0E">
        <w:rPr>
          <w:rFonts w:eastAsia="system-ui"/>
          <w:color w:val="212529"/>
        </w:rPr>
        <w:t>voiced his concerns on</w:t>
      </w:r>
      <w:r w:rsidRPr="00717B0E">
        <w:rPr>
          <w:rFonts w:eastAsia="system-ui"/>
          <w:color w:val="212529"/>
        </w:rPr>
        <w:t xml:space="preserve"> the manner the issues were raised in that they were not pleaded.</w:t>
      </w:r>
      <w:r w:rsidR="00331DF7" w:rsidRPr="00717B0E">
        <w:rPr>
          <w:rFonts w:eastAsia="system-ui"/>
          <w:color w:val="212529"/>
          <w:lang w:val="en-ZW"/>
        </w:rPr>
        <w:t xml:space="preserve"> </w:t>
      </w:r>
      <w:r w:rsidRPr="00717B0E">
        <w:rPr>
          <w:rFonts w:eastAsia="system-ui"/>
          <w:color w:val="212529"/>
        </w:rPr>
        <w:t>As regards</w:t>
      </w:r>
      <w:r w:rsidR="00C10F90" w:rsidRPr="00717B0E">
        <w:rPr>
          <w:rFonts w:eastAsia="system-ui"/>
          <w:color w:val="212529"/>
        </w:rPr>
        <w:t xml:space="preserve"> </w:t>
      </w:r>
      <w:r w:rsidRPr="00717B0E">
        <w:rPr>
          <w:rFonts w:eastAsia="system-ui"/>
          <w:color w:val="212529"/>
        </w:rPr>
        <w:t>the first issue he submitted that</w:t>
      </w:r>
      <w:r w:rsidR="00331DF7" w:rsidRPr="00717B0E">
        <w:rPr>
          <w:rFonts w:eastAsia="system-ui"/>
          <w:color w:val="212529"/>
        </w:rPr>
        <w:t xml:space="preserve"> the point could have been raised earlier rather </w:t>
      </w:r>
      <w:r w:rsidR="00BB356B" w:rsidRPr="00717B0E">
        <w:rPr>
          <w:rFonts w:eastAsia="system-ui"/>
          <w:color w:val="212529"/>
        </w:rPr>
        <w:t>than</w:t>
      </w:r>
      <w:r w:rsidR="00331DF7" w:rsidRPr="00717B0E">
        <w:rPr>
          <w:rFonts w:eastAsia="system-ui"/>
          <w:color w:val="212529"/>
        </w:rPr>
        <w:t xml:space="preserve"> at the day of hea</w:t>
      </w:r>
      <w:r w:rsidR="00C10F90" w:rsidRPr="00717B0E">
        <w:rPr>
          <w:rFonts w:eastAsia="system-ui"/>
          <w:color w:val="212529"/>
        </w:rPr>
        <w:t>r</w:t>
      </w:r>
      <w:r w:rsidR="00331DF7" w:rsidRPr="00717B0E">
        <w:rPr>
          <w:rFonts w:eastAsia="system-ui"/>
          <w:color w:val="212529"/>
        </w:rPr>
        <w:t>ing as this is prejudi</w:t>
      </w:r>
      <w:r w:rsidR="00BB356B" w:rsidRPr="00717B0E">
        <w:rPr>
          <w:rFonts w:eastAsia="system-ui"/>
          <w:color w:val="212529"/>
        </w:rPr>
        <w:t xml:space="preserve">cial </w:t>
      </w:r>
      <w:r w:rsidR="00331DF7" w:rsidRPr="00717B0E">
        <w:rPr>
          <w:rFonts w:eastAsia="system-ui"/>
          <w:color w:val="212529"/>
        </w:rPr>
        <w:t xml:space="preserve">to the </w:t>
      </w:r>
      <w:r w:rsidR="0068203C" w:rsidRPr="00717B0E">
        <w:rPr>
          <w:rFonts w:eastAsia="system-ui"/>
          <w:color w:val="212529"/>
        </w:rPr>
        <w:t>a</w:t>
      </w:r>
      <w:r w:rsidR="00331DF7" w:rsidRPr="00717B0E">
        <w:rPr>
          <w:rFonts w:eastAsia="system-ui"/>
          <w:color w:val="212529"/>
        </w:rPr>
        <w:t>pplicant. He went further to expl</w:t>
      </w:r>
      <w:r w:rsidR="00BB356B" w:rsidRPr="00717B0E">
        <w:rPr>
          <w:rFonts w:eastAsia="system-ui"/>
          <w:color w:val="212529"/>
        </w:rPr>
        <w:t>a</w:t>
      </w:r>
      <w:r w:rsidR="00331DF7" w:rsidRPr="00717B0E">
        <w:rPr>
          <w:rFonts w:eastAsia="system-ui"/>
          <w:color w:val="212529"/>
        </w:rPr>
        <w:t>in</w:t>
      </w:r>
      <w:r w:rsidR="00BB356B" w:rsidRPr="00717B0E">
        <w:rPr>
          <w:rFonts w:eastAsia="system-ui"/>
          <w:color w:val="212529"/>
        </w:rPr>
        <w:t xml:space="preserve"> </w:t>
      </w:r>
      <w:r w:rsidR="00331DF7" w:rsidRPr="00717B0E">
        <w:rPr>
          <w:rFonts w:eastAsia="system-ui"/>
          <w:color w:val="212529"/>
        </w:rPr>
        <w:t>that there are</w:t>
      </w:r>
      <w:r w:rsidR="00BB356B" w:rsidRPr="00717B0E">
        <w:rPr>
          <w:rFonts w:eastAsia="system-ui"/>
          <w:color w:val="212529"/>
        </w:rPr>
        <w:t xml:space="preserve"> </w:t>
      </w:r>
      <w:r w:rsidR="00331DF7" w:rsidRPr="00717B0E">
        <w:rPr>
          <w:rFonts w:eastAsia="system-ui"/>
          <w:color w:val="212529"/>
        </w:rPr>
        <w:t xml:space="preserve">practices that </w:t>
      </w:r>
      <w:r w:rsidR="00BB356B" w:rsidRPr="00717B0E">
        <w:rPr>
          <w:rFonts w:eastAsia="system-ui"/>
          <w:color w:val="212529"/>
        </w:rPr>
        <w:t xml:space="preserve">happen in practice and it is obvious </w:t>
      </w:r>
      <w:r w:rsidR="00C10F90" w:rsidRPr="00717B0E">
        <w:rPr>
          <w:rFonts w:eastAsia="system-ui"/>
          <w:color w:val="212529"/>
        </w:rPr>
        <w:t>t</w:t>
      </w:r>
      <w:r w:rsidR="00BB356B" w:rsidRPr="00717B0E">
        <w:rPr>
          <w:rFonts w:eastAsia="system-ui"/>
          <w:color w:val="212529"/>
        </w:rPr>
        <w:t xml:space="preserve">hat the date was inserted at the law firm where the affidavit was drafted and the commissioner </w:t>
      </w:r>
      <w:r w:rsidR="0068203C" w:rsidRPr="00717B0E">
        <w:rPr>
          <w:rFonts w:eastAsia="system-ui"/>
          <w:color w:val="212529"/>
        </w:rPr>
        <w:t>endorsed</w:t>
      </w:r>
      <w:r w:rsidR="00BB356B" w:rsidRPr="00717B0E">
        <w:rPr>
          <w:rFonts w:eastAsia="system-ui"/>
          <w:color w:val="212529"/>
        </w:rPr>
        <w:t xml:space="preserve"> his signature. Further he averred that leading evidence from the bar causes prejudice and as such the point in law ought to be dismissed and not entertained at all.</w:t>
      </w:r>
      <w:r w:rsidRPr="00717B0E">
        <w:rPr>
          <w:rFonts w:eastAsia="system-ui"/>
          <w:color w:val="212529"/>
        </w:rPr>
        <w:t xml:space="preserve"> </w:t>
      </w:r>
      <w:r w:rsidR="00BB356B" w:rsidRPr="00717B0E">
        <w:rPr>
          <w:rFonts w:eastAsia="system-ui"/>
          <w:color w:val="212529"/>
        </w:rPr>
        <w:t xml:space="preserve">On the issue of jurisdiction, he argued that the case of </w:t>
      </w:r>
      <w:r w:rsidR="00BB356B" w:rsidRPr="00717B0E">
        <w:rPr>
          <w:rFonts w:eastAsia="system-ui"/>
          <w:i/>
          <w:iCs/>
          <w:color w:val="212529"/>
        </w:rPr>
        <w:t xml:space="preserve">Fletcher </w:t>
      </w:r>
      <w:r w:rsidR="00BB356B" w:rsidRPr="00717B0E">
        <w:rPr>
          <w:rFonts w:eastAsia="system-ui"/>
          <w:color w:val="212529"/>
        </w:rPr>
        <w:t xml:space="preserve">v </w:t>
      </w:r>
      <w:r w:rsidR="00BB356B" w:rsidRPr="00717B0E">
        <w:rPr>
          <w:rFonts w:eastAsia="system-ui"/>
          <w:i/>
          <w:iCs/>
          <w:color w:val="212529"/>
        </w:rPr>
        <w:t>Minister of Lands, Agricultural, Wate</w:t>
      </w:r>
      <w:r w:rsidRPr="00717B0E">
        <w:rPr>
          <w:rFonts w:eastAsia="system-ui"/>
          <w:i/>
          <w:iCs/>
          <w:color w:val="212529"/>
        </w:rPr>
        <w:t>r</w:t>
      </w:r>
      <w:r w:rsidR="00BB356B" w:rsidRPr="00717B0E">
        <w:rPr>
          <w:rFonts w:eastAsia="system-ui"/>
          <w:i/>
          <w:iCs/>
          <w:color w:val="212529"/>
        </w:rPr>
        <w:t xml:space="preserve">, Climate and Rural Resettlement </w:t>
      </w:r>
      <w:r w:rsidR="00BB356B" w:rsidRPr="00717B0E">
        <w:rPr>
          <w:rFonts w:eastAsia="system-ui"/>
          <w:color w:val="212529"/>
        </w:rPr>
        <w:t xml:space="preserve">CCZ 19/24 </w:t>
      </w:r>
      <w:r w:rsidR="00EF7749" w:rsidRPr="00717B0E">
        <w:rPr>
          <w:rFonts w:eastAsia="system-ui"/>
          <w:color w:val="212529"/>
        </w:rPr>
        <w:t xml:space="preserve">as well as </w:t>
      </w:r>
      <w:r w:rsidR="00BB356B" w:rsidRPr="00717B0E">
        <w:rPr>
          <w:rFonts w:eastAsia="system-ui"/>
          <w:color w:val="212529"/>
        </w:rPr>
        <w:t>CCZ 14/25</w:t>
      </w:r>
      <w:r w:rsidR="00EF7749" w:rsidRPr="00717B0E">
        <w:rPr>
          <w:rFonts w:eastAsia="system-ui"/>
          <w:color w:val="212529"/>
        </w:rPr>
        <w:t xml:space="preserve"> has resolved the point that</w:t>
      </w:r>
      <w:r w:rsidR="00C10F90" w:rsidRPr="00717B0E">
        <w:rPr>
          <w:rFonts w:eastAsia="system-ui"/>
          <w:color w:val="212529"/>
        </w:rPr>
        <w:t xml:space="preserve"> </w:t>
      </w:r>
      <w:r w:rsidR="00EF7749" w:rsidRPr="00717B0E">
        <w:rPr>
          <w:rFonts w:eastAsia="system-ui"/>
          <w:color w:val="212529"/>
        </w:rPr>
        <w:t>this Court can entertain a challenge of an unlawful acquisition which is invalid.</w:t>
      </w:r>
    </w:p>
    <w:p w14:paraId="7F1702BC" w14:textId="685E068A" w:rsidR="00C10F90" w:rsidRPr="007027C1" w:rsidRDefault="004F430D" w:rsidP="007027C1">
      <w:pPr>
        <w:pStyle w:val="NormalWeb"/>
        <w:spacing w:beforeAutospacing="0" w:afterAutospacing="0" w:line="360" w:lineRule="auto"/>
        <w:ind w:firstLine="420"/>
        <w:jc w:val="both"/>
        <w:rPr>
          <w:rFonts w:eastAsia="system-ui"/>
          <w:color w:val="212529"/>
        </w:rPr>
      </w:pPr>
      <w:r w:rsidRPr="00717B0E">
        <w:rPr>
          <w:rFonts w:eastAsia="system-ui"/>
          <w:color w:val="212529"/>
        </w:rPr>
        <w:t xml:space="preserve">As regards prescription, it was submitted that </w:t>
      </w:r>
      <w:r w:rsidR="00EF7749" w:rsidRPr="00717B0E">
        <w:rPr>
          <w:rFonts w:eastAsia="system-ui"/>
          <w:color w:val="212529"/>
        </w:rPr>
        <w:t xml:space="preserve">it </w:t>
      </w:r>
      <w:r w:rsidR="00B0012B" w:rsidRPr="00717B0E">
        <w:rPr>
          <w:rFonts w:eastAsia="system-ui"/>
          <w:color w:val="212529"/>
        </w:rPr>
        <w:t>has</w:t>
      </w:r>
      <w:r w:rsidR="00EF7749" w:rsidRPr="00717B0E">
        <w:rPr>
          <w:rFonts w:eastAsia="system-ui"/>
          <w:color w:val="212529"/>
        </w:rPr>
        <w:t xml:space="preserve"> to be pleade</w:t>
      </w:r>
      <w:r w:rsidR="00B0012B" w:rsidRPr="00717B0E">
        <w:rPr>
          <w:rFonts w:eastAsia="system-ui"/>
          <w:color w:val="212529"/>
        </w:rPr>
        <w:t>d</w:t>
      </w:r>
      <w:r w:rsidR="00EF7749" w:rsidRPr="00717B0E">
        <w:rPr>
          <w:rFonts w:eastAsia="system-ui"/>
          <w:color w:val="212529"/>
        </w:rPr>
        <w:t xml:space="preserve"> specifi</w:t>
      </w:r>
      <w:r w:rsidR="00B0012B" w:rsidRPr="00717B0E">
        <w:rPr>
          <w:rFonts w:eastAsia="system-ui"/>
          <w:color w:val="212529"/>
        </w:rPr>
        <w:t>c</w:t>
      </w:r>
      <w:r w:rsidR="00EF7749" w:rsidRPr="00717B0E">
        <w:rPr>
          <w:rFonts w:eastAsia="system-ui"/>
          <w:color w:val="212529"/>
        </w:rPr>
        <w:t>ally and not from the bar or heads o</w:t>
      </w:r>
      <w:r w:rsidR="00B0012B" w:rsidRPr="00717B0E">
        <w:rPr>
          <w:rFonts w:eastAsia="system-ui"/>
          <w:color w:val="212529"/>
        </w:rPr>
        <w:t>f</w:t>
      </w:r>
      <w:r w:rsidR="00EF7749" w:rsidRPr="00717B0E">
        <w:rPr>
          <w:rFonts w:eastAsia="system-ui"/>
          <w:color w:val="212529"/>
        </w:rPr>
        <w:t xml:space="preserve"> argument. Further he submitted that where</w:t>
      </w:r>
      <w:r w:rsidR="0068203C" w:rsidRPr="00717B0E">
        <w:rPr>
          <w:rFonts w:eastAsia="system-ui"/>
          <w:color w:val="212529"/>
        </w:rPr>
        <w:t xml:space="preserve"> a</w:t>
      </w:r>
      <w:r w:rsidR="00EF7749" w:rsidRPr="00717B0E">
        <w:rPr>
          <w:rFonts w:eastAsia="system-ui"/>
          <w:color w:val="212529"/>
        </w:rPr>
        <w:t xml:space="preserve"> claim is </w:t>
      </w:r>
      <w:r w:rsidR="00B0012B" w:rsidRPr="00717B0E">
        <w:rPr>
          <w:rFonts w:eastAsia="system-ui"/>
          <w:color w:val="212529"/>
        </w:rPr>
        <w:t xml:space="preserve">a vindication, it cannot prescribe against </w:t>
      </w:r>
      <w:r w:rsidR="0068203C" w:rsidRPr="00717B0E">
        <w:rPr>
          <w:rFonts w:eastAsia="system-ui"/>
          <w:color w:val="212529"/>
        </w:rPr>
        <w:t xml:space="preserve">the </w:t>
      </w:r>
      <w:r w:rsidR="00B0012B" w:rsidRPr="00717B0E">
        <w:rPr>
          <w:rFonts w:eastAsia="system-ui"/>
          <w:color w:val="212529"/>
        </w:rPr>
        <w:t>owner of the property. More so the 2</w:t>
      </w:r>
      <w:r w:rsidR="00B0012B" w:rsidRPr="00717B0E">
        <w:rPr>
          <w:rFonts w:eastAsia="system-ui"/>
          <w:color w:val="212529"/>
          <w:vertAlign w:val="superscript"/>
        </w:rPr>
        <w:t>nd</w:t>
      </w:r>
      <w:r w:rsidR="00B0012B" w:rsidRPr="00717B0E">
        <w:rPr>
          <w:rFonts w:eastAsia="system-ui"/>
          <w:color w:val="212529"/>
        </w:rPr>
        <w:t xml:space="preserve"> respondent is not the occupier of that </w:t>
      </w:r>
      <w:r w:rsidR="0068203C" w:rsidRPr="00717B0E">
        <w:rPr>
          <w:rFonts w:eastAsia="system-ui"/>
          <w:color w:val="212529"/>
        </w:rPr>
        <w:t>land</w:t>
      </w:r>
      <w:r w:rsidR="00B0012B" w:rsidRPr="00717B0E">
        <w:rPr>
          <w:rFonts w:eastAsia="system-ui"/>
          <w:color w:val="212529"/>
        </w:rPr>
        <w:t xml:space="preserve"> but rather a tenant of the State and as such should not raise the issue of prescription as it is not the owner of the property in question. It was submitted that the point on prescription ought to be dismissed since the demand was on the 1</w:t>
      </w:r>
      <w:r w:rsidR="00B0012B" w:rsidRPr="00717B0E">
        <w:rPr>
          <w:rFonts w:eastAsia="system-ui"/>
          <w:color w:val="212529"/>
          <w:vertAlign w:val="superscript"/>
        </w:rPr>
        <w:t>st</w:t>
      </w:r>
      <w:r w:rsidR="00B0012B" w:rsidRPr="00717B0E">
        <w:rPr>
          <w:rFonts w:eastAsia="system-ui"/>
          <w:color w:val="212529"/>
        </w:rPr>
        <w:t xml:space="preserve"> respondent and not the 2</w:t>
      </w:r>
      <w:r w:rsidR="00B0012B" w:rsidRPr="00717B0E">
        <w:rPr>
          <w:rFonts w:eastAsia="system-ui"/>
          <w:color w:val="212529"/>
          <w:vertAlign w:val="superscript"/>
        </w:rPr>
        <w:t>nd</w:t>
      </w:r>
      <w:r w:rsidR="00B0012B" w:rsidRPr="00717B0E">
        <w:rPr>
          <w:rFonts w:eastAsia="system-ui"/>
          <w:color w:val="212529"/>
        </w:rPr>
        <w:t xml:space="preserve"> Respondent.</w:t>
      </w:r>
      <w:r w:rsidRPr="00717B0E">
        <w:rPr>
          <w:rFonts w:eastAsia="system-ui"/>
          <w:color w:val="212529"/>
        </w:rPr>
        <w:t xml:space="preserve"> Applicant moved that </w:t>
      </w:r>
      <w:r w:rsidR="00B0012B" w:rsidRPr="00717B0E">
        <w:rPr>
          <w:rFonts w:eastAsia="system-ui"/>
          <w:color w:val="212529"/>
        </w:rPr>
        <w:t xml:space="preserve">all the three </w:t>
      </w:r>
      <w:r w:rsidRPr="00717B0E">
        <w:rPr>
          <w:rFonts w:eastAsia="system-ui"/>
          <w:color w:val="212529"/>
        </w:rPr>
        <w:t>point</w:t>
      </w:r>
      <w:r w:rsidR="00B0012B" w:rsidRPr="00717B0E">
        <w:rPr>
          <w:rFonts w:eastAsia="system-ui"/>
          <w:color w:val="212529"/>
        </w:rPr>
        <w:t>s</w:t>
      </w:r>
      <w:r w:rsidRPr="00717B0E">
        <w:rPr>
          <w:rFonts w:eastAsia="system-ui"/>
          <w:color w:val="212529"/>
        </w:rPr>
        <w:t xml:space="preserve"> be dismissed.</w:t>
      </w:r>
    </w:p>
    <w:p w14:paraId="2A723F3A" w14:textId="7A2DCCD2" w:rsidR="0068203C" w:rsidRPr="00717B0E" w:rsidRDefault="004F430D" w:rsidP="007027C1">
      <w:pPr>
        <w:pStyle w:val="NormalWeb"/>
        <w:spacing w:beforeAutospacing="0" w:afterAutospacing="0" w:line="360" w:lineRule="auto"/>
        <w:ind w:firstLine="420"/>
        <w:jc w:val="both"/>
        <w:rPr>
          <w:rFonts w:eastAsia="system-ui"/>
          <w:color w:val="212529"/>
          <w:lang w:val="en-ZW"/>
        </w:rPr>
      </w:pPr>
      <w:r w:rsidRPr="00717B0E">
        <w:rPr>
          <w:rFonts w:eastAsia="system-ui"/>
          <w:color w:val="212529"/>
        </w:rPr>
        <w:t xml:space="preserve">It is an established position that a point of law can be raised at any time even on appeal for as long as it goes to the root of the matter </w:t>
      </w:r>
      <w:r w:rsidR="006560F7">
        <w:rPr>
          <w:rFonts w:eastAsia="system-ui"/>
          <w:color w:val="212529"/>
        </w:rPr>
        <w:t xml:space="preserve">and </w:t>
      </w:r>
      <w:r w:rsidR="0068203C" w:rsidRPr="00717B0E">
        <w:rPr>
          <w:rFonts w:eastAsia="system-ui"/>
          <w:color w:val="212529"/>
        </w:rPr>
        <w:t xml:space="preserve">is dispositive of the matter </w:t>
      </w:r>
      <w:r w:rsidRPr="00717B0E">
        <w:rPr>
          <w:rFonts w:eastAsia="system-ui"/>
          <w:color w:val="212529"/>
        </w:rPr>
        <w:t>and also does not cause prejudice to the other party which cannot be cured by an order of costs.</w:t>
      </w:r>
      <w:r w:rsidR="00115D5A" w:rsidRPr="00717B0E">
        <w:rPr>
          <w:rFonts w:eastAsia="system-ui"/>
          <w:color w:val="212529"/>
          <w:lang w:val="en-ZW"/>
        </w:rPr>
        <w:t xml:space="preserve"> </w:t>
      </w:r>
      <w:r w:rsidR="0068203C" w:rsidRPr="00717B0E">
        <w:rPr>
          <w:rFonts w:eastAsia="system-ui"/>
          <w:color w:val="212529"/>
          <w:lang w:val="en-ZW"/>
        </w:rPr>
        <w:t xml:space="preserve">It </w:t>
      </w:r>
      <w:r w:rsidRPr="00717B0E">
        <w:rPr>
          <w:rFonts w:eastAsia="system-ui"/>
          <w:color w:val="212529"/>
        </w:rPr>
        <w:t>is however prudent in my view for the party that intends to raise such points </w:t>
      </w:r>
      <w:r w:rsidRPr="00717B0E">
        <w:rPr>
          <w:rFonts w:eastAsia="system-ui"/>
          <w:i/>
          <w:color w:val="212529"/>
        </w:rPr>
        <w:t>in limine</w:t>
      </w:r>
      <w:r w:rsidRPr="00717B0E">
        <w:rPr>
          <w:rFonts w:eastAsia="system-ui"/>
          <w:color w:val="212529"/>
        </w:rPr>
        <w:t xml:space="preserve"> to alert the other party in advance so that the other party does not feel </w:t>
      </w:r>
      <w:r w:rsidR="0068203C" w:rsidRPr="00717B0E">
        <w:rPr>
          <w:rFonts w:eastAsia="system-ui"/>
          <w:color w:val="212529"/>
        </w:rPr>
        <w:t>ambush</w:t>
      </w:r>
      <w:r w:rsidR="00C10F90" w:rsidRPr="00717B0E">
        <w:rPr>
          <w:rFonts w:eastAsia="system-ui"/>
          <w:color w:val="212529"/>
        </w:rPr>
        <w:t>ed</w:t>
      </w:r>
      <w:r w:rsidRPr="00717B0E">
        <w:rPr>
          <w:rFonts w:eastAsia="system-ui"/>
          <w:color w:val="212529"/>
        </w:rPr>
        <w:t xml:space="preserve"> when the points are raised at the </w:t>
      </w:r>
      <w:r w:rsidR="0068203C" w:rsidRPr="00717B0E">
        <w:rPr>
          <w:rFonts w:eastAsia="system-ui"/>
          <w:color w:val="212529"/>
        </w:rPr>
        <w:t>eleventh hour</w:t>
      </w:r>
      <w:r w:rsidR="00C10F90" w:rsidRPr="00717B0E">
        <w:rPr>
          <w:rFonts w:eastAsia="system-ui"/>
          <w:color w:val="212529"/>
        </w:rPr>
        <w:t xml:space="preserve"> </w:t>
      </w:r>
      <w:r w:rsidRPr="00717B0E">
        <w:rPr>
          <w:rFonts w:eastAsia="system-ui"/>
          <w:color w:val="212529"/>
        </w:rPr>
        <w:t>in the hearing.</w:t>
      </w:r>
      <w:r w:rsidR="00B0012B" w:rsidRPr="00717B0E">
        <w:rPr>
          <w:rFonts w:eastAsia="system-ui"/>
          <w:color w:val="212529"/>
          <w:lang w:val="en-ZW"/>
        </w:rPr>
        <w:t xml:space="preserve"> </w:t>
      </w:r>
    </w:p>
    <w:p w14:paraId="426D30A9" w14:textId="06BC6B1C" w:rsidR="002D7ED2" w:rsidRPr="007027C1" w:rsidRDefault="004F430D" w:rsidP="007027C1">
      <w:pPr>
        <w:pStyle w:val="NormalWeb"/>
        <w:spacing w:beforeAutospacing="0" w:afterAutospacing="0" w:line="360" w:lineRule="auto"/>
        <w:ind w:firstLine="420"/>
        <w:jc w:val="both"/>
        <w:rPr>
          <w:rFonts w:eastAsia="system-ui"/>
          <w:color w:val="212529"/>
        </w:rPr>
      </w:pPr>
      <w:r w:rsidRPr="00717B0E">
        <w:rPr>
          <w:rFonts w:eastAsia="system-ui"/>
          <w:color w:val="212529"/>
        </w:rPr>
        <w:lastRenderedPageBreak/>
        <w:t xml:space="preserve">I will deal first with the issue of prescription as I am of the view that if found to have been well </w:t>
      </w:r>
      <w:r w:rsidR="00B0012B" w:rsidRPr="00717B0E">
        <w:rPr>
          <w:rFonts w:eastAsia="system-ui"/>
          <w:color w:val="212529"/>
        </w:rPr>
        <w:t>raised</w:t>
      </w:r>
      <w:r w:rsidRPr="00717B0E">
        <w:rPr>
          <w:rFonts w:eastAsia="system-ui"/>
          <w:color w:val="212529"/>
        </w:rPr>
        <w:t xml:space="preserve"> and the matter is found to have prescribed</w:t>
      </w:r>
      <w:r w:rsidR="0068203C" w:rsidRPr="00717B0E">
        <w:rPr>
          <w:rFonts w:eastAsia="system-ui"/>
          <w:color w:val="212529"/>
        </w:rPr>
        <w:t xml:space="preserve"> it will at th</w:t>
      </w:r>
      <w:r w:rsidR="006560F7">
        <w:rPr>
          <w:rFonts w:eastAsia="system-ui"/>
          <w:color w:val="212529"/>
        </w:rPr>
        <w:t>at</w:t>
      </w:r>
      <w:r w:rsidR="0068203C" w:rsidRPr="00717B0E">
        <w:rPr>
          <w:rFonts w:eastAsia="system-ui"/>
          <w:color w:val="212529"/>
        </w:rPr>
        <w:t xml:space="preserve"> juncture dispose of the matter and it will be unnecessary to deal with the other points raised.</w:t>
      </w:r>
    </w:p>
    <w:p w14:paraId="71F09E94" w14:textId="77777777" w:rsidR="002D7ED2" w:rsidRPr="00717B0E" w:rsidRDefault="004F430D" w:rsidP="00717B0E">
      <w:pPr>
        <w:pStyle w:val="NormalWeb"/>
        <w:spacing w:beforeAutospacing="0" w:afterAutospacing="0" w:line="360" w:lineRule="auto"/>
        <w:jc w:val="both"/>
        <w:rPr>
          <w:rFonts w:eastAsia="system-ui"/>
          <w:color w:val="212529"/>
        </w:rPr>
      </w:pPr>
      <w:r w:rsidRPr="00717B0E">
        <w:rPr>
          <w:rFonts w:eastAsia="system-ui"/>
          <w:color w:val="212529"/>
        </w:rPr>
        <w:t>Section 20 of the Prescription Act [</w:t>
      </w:r>
      <w:r w:rsidRPr="00717B0E">
        <w:rPr>
          <w:rFonts w:eastAsia="system-ui"/>
          <w:i/>
          <w:color w:val="212529"/>
        </w:rPr>
        <w:t>Chapter 8:11</w:t>
      </w:r>
      <w:r w:rsidRPr="00717B0E">
        <w:rPr>
          <w:rFonts w:eastAsia="system-ui"/>
          <w:color w:val="212529"/>
        </w:rPr>
        <w:t>] provides as follows:</w:t>
      </w:r>
    </w:p>
    <w:p w14:paraId="3B7EA26A" w14:textId="77777777" w:rsidR="002C0A72" w:rsidRPr="00717B0E" w:rsidRDefault="002C0A72" w:rsidP="00717B0E">
      <w:pPr>
        <w:pStyle w:val="NormalWeb"/>
        <w:spacing w:beforeAutospacing="0" w:afterAutospacing="0" w:line="360" w:lineRule="auto"/>
        <w:jc w:val="both"/>
        <w:rPr>
          <w:rFonts w:eastAsia="system-ui"/>
          <w:color w:val="212529"/>
          <w:lang w:val="zh-CN"/>
        </w:rPr>
      </w:pPr>
    </w:p>
    <w:p w14:paraId="2C8CBF04" w14:textId="2A910844" w:rsidR="002D7ED2" w:rsidRPr="00717B0E" w:rsidRDefault="004F430D" w:rsidP="00717B0E">
      <w:pPr>
        <w:pStyle w:val="NormalWeb"/>
        <w:spacing w:beforeAutospacing="0" w:afterAutospacing="0" w:line="240" w:lineRule="auto"/>
        <w:jc w:val="both"/>
        <w:rPr>
          <w:rFonts w:eastAsia="system-ui"/>
          <w:color w:val="212529"/>
          <w:sz w:val="22"/>
          <w:szCs w:val="22"/>
          <w:lang w:val="zh-CN"/>
        </w:rPr>
      </w:pPr>
      <w:r w:rsidRPr="00717B0E">
        <w:rPr>
          <w:rFonts w:eastAsia="system-ui"/>
          <w:color w:val="212529"/>
          <w:sz w:val="22"/>
          <w:szCs w:val="22"/>
        </w:rPr>
        <w:t>“Prescription to be raised in pleadings.</w:t>
      </w:r>
    </w:p>
    <w:p w14:paraId="3E8E49DE" w14:textId="7F766B55" w:rsidR="002D7ED2" w:rsidRPr="00717B0E" w:rsidRDefault="002C0A72" w:rsidP="00717B0E">
      <w:pPr>
        <w:pStyle w:val="NormalWeb"/>
        <w:spacing w:beforeAutospacing="0" w:afterAutospacing="0" w:line="240" w:lineRule="auto"/>
        <w:jc w:val="both"/>
        <w:rPr>
          <w:sz w:val="22"/>
          <w:szCs w:val="22"/>
          <w:lang w:val="zh-CN"/>
        </w:rPr>
      </w:pPr>
      <w:r w:rsidRPr="00717B0E">
        <w:rPr>
          <w:rFonts w:eastAsia="system-ui"/>
          <w:color w:val="212529"/>
          <w:sz w:val="22"/>
          <w:szCs w:val="22"/>
        </w:rPr>
        <w:t>1. No court shall of its own motion take notice of prescription</w:t>
      </w:r>
    </w:p>
    <w:p w14:paraId="6D4136E3" w14:textId="77777777" w:rsidR="002C0A72" w:rsidRPr="00717B0E" w:rsidRDefault="002C0A72" w:rsidP="00717B0E">
      <w:pPr>
        <w:pStyle w:val="NormalWeb"/>
        <w:spacing w:beforeAutospacing="0" w:afterAutospacing="0" w:line="240" w:lineRule="auto"/>
        <w:jc w:val="both"/>
        <w:rPr>
          <w:sz w:val="22"/>
          <w:szCs w:val="22"/>
          <w:lang w:val="en-ZW"/>
        </w:rPr>
      </w:pPr>
      <w:r w:rsidRPr="00717B0E">
        <w:rPr>
          <w:rFonts w:eastAsia="system-ui"/>
          <w:color w:val="212529"/>
          <w:sz w:val="22"/>
          <w:szCs w:val="22"/>
        </w:rPr>
        <w:t>2. A party to litigation who invokes prescription shall do so in the relevant documents filed of record in the proceedings;</w:t>
      </w:r>
      <w:r w:rsidRPr="00717B0E">
        <w:rPr>
          <w:sz w:val="22"/>
          <w:szCs w:val="22"/>
          <w:lang w:val="en-ZW"/>
        </w:rPr>
        <w:t xml:space="preserve"> </w:t>
      </w:r>
    </w:p>
    <w:p w14:paraId="4AB8E329" w14:textId="0565BF2F" w:rsidR="002C0A72" w:rsidRPr="007027C1" w:rsidRDefault="002C0A72" w:rsidP="007027C1">
      <w:pPr>
        <w:pStyle w:val="NormalWeb"/>
        <w:spacing w:beforeAutospacing="0" w:afterAutospacing="0" w:line="240" w:lineRule="auto"/>
        <w:jc w:val="both"/>
        <w:rPr>
          <w:rFonts w:eastAsia="system-ui"/>
          <w:color w:val="212529"/>
          <w:sz w:val="22"/>
          <w:szCs w:val="22"/>
        </w:rPr>
      </w:pPr>
      <w:r w:rsidRPr="00717B0E">
        <w:rPr>
          <w:sz w:val="22"/>
          <w:szCs w:val="22"/>
          <w:lang w:val="en-ZW"/>
        </w:rPr>
        <w:t>3.</w:t>
      </w:r>
      <w:r w:rsidRPr="00717B0E">
        <w:rPr>
          <w:rFonts w:eastAsia="system-ui"/>
          <w:color w:val="212529"/>
          <w:sz w:val="22"/>
          <w:szCs w:val="22"/>
        </w:rPr>
        <w:t>Provided that a court may allow prescription to be raised at any stage of the proceedings.”</w:t>
      </w:r>
    </w:p>
    <w:p w14:paraId="5B5FB235" w14:textId="56B522EB" w:rsidR="002D7ED2" w:rsidRPr="00717B0E" w:rsidRDefault="004F430D" w:rsidP="007027C1">
      <w:pPr>
        <w:pStyle w:val="NormalWeb"/>
        <w:spacing w:beforeAutospacing="0" w:afterAutospacing="0" w:line="360" w:lineRule="auto"/>
        <w:ind w:firstLine="420"/>
        <w:jc w:val="both"/>
        <w:rPr>
          <w:rFonts w:eastAsia="system-ui"/>
          <w:color w:val="212529"/>
          <w:lang w:val="zh-CN"/>
        </w:rPr>
      </w:pPr>
      <w:r w:rsidRPr="00717B0E">
        <w:rPr>
          <w:rFonts w:eastAsia="system-ui"/>
          <w:color w:val="212529"/>
        </w:rPr>
        <w:t>In </w:t>
      </w:r>
      <w:r w:rsidRPr="00717B0E">
        <w:rPr>
          <w:rFonts w:eastAsia="system-ui"/>
          <w:i/>
          <w:color w:val="212529"/>
        </w:rPr>
        <w:t>casu</w:t>
      </w:r>
      <w:r w:rsidRPr="00717B0E">
        <w:rPr>
          <w:rFonts w:eastAsia="system-ui"/>
          <w:color w:val="212529"/>
        </w:rPr>
        <w:t>, it is common cause the issue of prescription was</w:t>
      </w:r>
      <w:r w:rsidR="002C0A72" w:rsidRPr="00717B0E">
        <w:rPr>
          <w:rFonts w:eastAsia="system-ui"/>
          <w:color w:val="212529"/>
        </w:rPr>
        <w:t xml:space="preserve"> not pleaded specifically </w:t>
      </w:r>
      <w:r w:rsidR="00C10F90" w:rsidRPr="00717B0E">
        <w:rPr>
          <w:rFonts w:eastAsia="system-ui"/>
          <w:color w:val="212529"/>
        </w:rPr>
        <w:t>by way of filing a special plea</w:t>
      </w:r>
      <w:r w:rsidR="00D2418E" w:rsidRPr="00717B0E">
        <w:rPr>
          <w:rFonts w:eastAsia="system-ui"/>
          <w:color w:val="212529"/>
        </w:rPr>
        <w:t>. I</w:t>
      </w:r>
      <w:r w:rsidRPr="00717B0E">
        <w:rPr>
          <w:rFonts w:eastAsia="system-ui"/>
          <w:color w:val="212529"/>
        </w:rPr>
        <w:t xml:space="preserve">t was raised </w:t>
      </w:r>
      <w:r w:rsidR="002C0A72" w:rsidRPr="00717B0E">
        <w:rPr>
          <w:rFonts w:eastAsia="system-ui"/>
          <w:color w:val="212529"/>
        </w:rPr>
        <w:t xml:space="preserve">in the heads of argument and </w:t>
      </w:r>
      <w:r w:rsidR="00D2418E" w:rsidRPr="00717B0E">
        <w:rPr>
          <w:rFonts w:eastAsia="system-ui"/>
          <w:color w:val="212529"/>
        </w:rPr>
        <w:t>persisted with</w:t>
      </w:r>
      <w:r w:rsidR="008D15B2" w:rsidRPr="00717B0E">
        <w:rPr>
          <w:rFonts w:eastAsia="system-ui"/>
          <w:color w:val="212529"/>
        </w:rPr>
        <w:t xml:space="preserve"> </w:t>
      </w:r>
      <w:r w:rsidRPr="00717B0E">
        <w:rPr>
          <w:rFonts w:eastAsia="system-ui"/>
          <w:color w:val="212529"/>
        </w:rPr>
        <w:t>at the commencement of the hearing. In view of the provis</w:t>
      </w:r>
      <w:r w:rsidR="00366434" w:rsidRPr="00717B0E">
        <w:rPr>
          <w:rFonts w:eastAsia="system-ui"/>
          <w:color w:val="212529"/>
        </w:rPr>
        <w:t>o</w:t>
      </w:r>
      <w:r w:rsidRPr="00717B0E">
        <w:rPr>
          <w:rFonts w:eastAsia="system-ui"/>
          <w:color w:val="212529"/>
        </w:rPr>
        <w:t xml:space="preserve"> to the above s20 which gives the court a discretion to allow the raising of the issue at any stage of the proceedings, I exercise that discretion in </w:t>
      </w:r>
      <w:r w:rsidR="00366434" w:rsidRPr="00717B0E">
        <w:rPr>
          <w:rFonts w:eastAsia="system-ui"/>
          <w:color w:val="212529"/>
        </w:rPr>
        <w:t>favor</w:t>
      </w:r>
      <w:r w:rsidRPr="00717B0E">
        <w:rPr>
          <w:rFonts w:eastAsia="system-ui"/>
          <w:color w:val="212529"/>
        </w:rPr>
        <w:t xml:space="preserve"> of allowing the raising of the issue of prescription.</w:t>
      </w:r>
    </w:p>
    <w:p w14:paraId="4F6BF3AC" w14:textId="3CAAEEE7" w:rsidR="008D15B2" w:rsidRPr="00717B0E" w:rsidRDefault="004F430D" w:rsidP="007027C1">
      <w:pPr>
        <w:pStyle w:val="NormalWeb"/>
        <w:spacing w:beforeAutospacing="0" w:afterAutospacing="0" w:line="360" w:lineRule="auto"/>
        <w:ind w:firstLine="420"/>
        <w:jc w:val="both"/>
        <w:rPr>
          <w:rFonts w:eastAsia="system-ui"/>
          <w:color w:val="212529"/>
        </w:rPr>
      </w:pPr>
      <w:r w:rsidRPr="00717B0E">
        <w:rPr>
          <w:rFonts w:eastAsia="system-ui"/>
          <w:color w:val="212529"/>
        </w:rPr>
        <w:t>As stated earlier, applicant is seeking</w:t>
      </w:r>
      <w:r w:rsidR="002C0A72" w:rsidRPr="00717B0E">
        <w:rPr>
          <w:rFonts w:eastAsia="system-ui"/>
          <w:color w:val="212529"/>
          <w:lang w:val="en-ZW"/>
        </w:rPr>
        <w:t xml:space="preserve"> that the acquisition of Lot 1A of Teviotdale in terms of Gazette No. 330 published on 18 June 2004 and 25 June 2004 be declared invalid </w:t>
      </w:r>
      <w:r w:rsidR="0070537C" w:rsidRPr="00717B0E">
        <w:rPr>
          <w:rFonts w:eastAsia="system-ui"/>
          <w:color w:val="212529"/>
          <w:lang w:val="en-ZW"/>
        </w:rPr>
        <w:t xml:space="preserve">as it </w:t>
      </w:r>
      <w:r w:rsidR="002C0A72" w:rsidRPr="00717B0E">
        <w:rPr>
          <w:rFonts w:eastAsia="system-ui"/>
          <w:color w:val="212529"/>
          <w:lang w:val="en-ZW"/>
        </w:rPr>
        <w:t>was outside the provisions of the law, more particularly section 16B (2) (a) and 16A of the Constitution of Zimbabwe</w:t>
      </w:r>
      <w:r w:rsidR="0070537C" w:rsidRPr="00717B0E">
        <w:rPr>
          <w:rFonts w:eastAsia="system-ui"/>
          <w:color w:val="212529"/>
          <w:lang w:val="en-ZW"/>
        </w:rPr>
        <w:t xml:space="preserve">. </w:t>
      </w:r>
      <w:r w:rsidRPr="00717B0E">
        <w:rPr>
          <w:rFonts w:eastAsia="system-ui"/>
          <w:color w:val="212529"/>
        </w:rPr>
        <w:t xml:space="preserve">Applicant filed this application </w:t>
      </w:r>
      <w:r w:rsidR="0070537C" w:rsidRPr="00717B0E">
        <w:rPr>
          <w:rFonts w:eastAsia="system-ui"/>
          <w:color w:val="212529"/>
        </w:rPr>
        <w:t xml:space="preserve">in </w:t>
      </w:r>
      <w:r w:rsidR="00366434" w:rsidRPr="00717B0E">
        <w:rPr>
          <w:rFonts w:eastAsia="system-ui"/>
          <w:color w:val="212529"/>
        </w:rPr>
        <w:t>2020</w:t>
      </w:r>
      <w:r w:rsidR="00B85968">
        <w:rPr>
          <w:rFonts w:eastAsia="system-ui"/>
          <w:color w:val="212529"/>
        </w:rPr>
        <w:t>,</w:t>
      </w:r>
      <w:r w:rsidR="0070537C" w:rsidRPr="00717B0E">
        <w:rPr>
          <w:rFonts w:eastAsia="system-ui"/>
          <w:color w:val="212529"/>
        </w:rPr>
        <w:t xml:space="preserve"> t</w:t>
      </w:r>
      <w:r w:rsidRPr="00717B0E">
        <w:rPr>
          <w:rFonts w:eastAsia="system-ui"/>
          <w:color w:val="212529"/>
        </w:rPr>
        <w:t xml:space="preserve">his was way beyond the three-year period provided in the Prescription </w:t>
      </w:r>
      <w:r w:rsidR="008D15B2" w:rsidRPr="00717B0E">
        <w:rPr>
          <w:rFonts w:eastAsia="system-ui"/>
          <w:color w:val="212529"/>
        </w:rPr>
        <w:t xml:space="preserve">Act. Section 2 of the Prescription Act </w:t>
      </w:r>
      <w:r w:rsidR="00735608" w:rsidRPr="00717B0E">
        <w:rPr>
          <w:rFonts w:eastAsia="system-ui"/>
          <w:color w:val="212529"/>
        </w:rPr>
        <w:t>[</w:t>
      </w:r>
      <w:r w:rsidR="00735608" w:rsidRPr="00717B0E">
        <w:rPr>
          <w:rFonts w:eastAsia="system-ui"/>
          <w:i/>
          <w:color w:val="212529"/>
        </w:rPr>
        <w:t>Chapter 8:11</w:t>
      </w:r>
      <w:r w:rsidR="00735608" w:rsidRPr="00717B0E">
        <w:rPr>
          <w:rFonts w:eastAsia="system-ui"/>
          <w:color w:val="212529"/>
        </w:rPr>
        <w:t xml:space="preserve">] </w:t>
      </w:r>
      <w:r w:rsidR="008D15B2" w:rsidRPr="00717B0E">
        <w:rPr>
          <w:rFonts w:eastAsia="system-ui"/>
          <w:color w:val="212529"/>
        </w:rPr>
        <w:t>provides as follows:</w:t>
      </w:r>
    </w:p>
    <w:p w14:paraId="2A4997C5" w14:textId="620C0847" w:rsidR="008D15B2" w:rsidRPr="008D15B2" w:rsidRDefault="00735608" w:rsidP="00717B0E">
      <w:pPr>
        <w:pStyle w:val="NormalWeb"/>
        <w:spacing w:line="240" w:lineRule="auto"/>
        <w:jc w:val="both"/>
        <w:rPr>
          <w:rFonts w:eastAsia="system-ui"/>
          <w:b/>
          <w:bCs/>
          <w:color w:val="212529"/>
          <w:sz w:val="22"/>
          <w:szCs w:val="22"/>
          <w:lang w:val="en-ZW"/>
        </w:rPr>
      </w:pPr>
      <w:r w:rsidRPr="00735608">
        <w:rPr>
          <w:rFonts w:eastAsia="system-ui"/>
          <w:b/>
          <w:bCs/>
          <w:color w:val="212529"/>
          <w:sz w:val="22"/>
          <w:szCs w:val="22"/>
          <w:lang w:val="en-ZW"/>
        </w:rPr>
        <w:t>“</w:t>
      </w:r>
      <w:r w:rsidR="008D15B2" w:rsidRPr="008D15B2">
        <w:rPr>
          <w:rFonts w:eastAsia="system-ui"/>
          <w:b/>
          <w:bCs/>
          <w:color w:val="212529"/>
          <w:sz w:val="22"/>
          <w:szCs w:val="22"/>
          <w:lang w:val="en-ZW"/>
        </w:rPr>
        <w:t>2. Interpretation</w:t>
      </w:r>
    </w:p>
    <w:p w14:paraId="20C30B18" w14:textId="1A9D9DA7" w:rsidR="008D15B2" w:rsidRDefault="008D15B2" w:rsidP="00717B0E">
      <w:pPr>
        <w:pStyle w:val="NormalWeb"/>
        <w:spacing w:beforeAutospacing="0" w:afterAutospacing="0" w:line="240" w:lineRule="auto"/>
        <w:jc w:val="both"/>
        <w:rPr>
          <w:rFonts w:eastAsia="system-ui"/>
          <w:color w:val="212529"/>
          <w:sz w:val="22"/>
          <w:szCs w:val="22"/>
          <w:lang w:val="en-ZW"/>
        </w:rPr>
      </w:pPr>
      <w:r w:rsidRPr="00735608">
        <w:rPr>
          <w:rFonts w:eastAsia="system-ui"/>
          <w:color w:val="212529"/>
          <w:sz w:val="22"/>
          <w:szCs w:val="22"/>
          <w:lang w:val="en-ZW"/>
        </w:rPr>
        <w:t>In this Act</w:t>
      </w:r>
      <w:r w:rsidR="00717B0E" w:rsidRPr="00735608">
        <w:rPr>
          <w:rFonts w:eastAsia="system-ui"/>
          <w:color w:val="212529"/>
          <w:sz w:val="22"/>
          <w:szCs w:val="22"/>
          <w:lang w:val="en-ZW"/>
        </w:rPr>
        <w:t>— “</w:t>
      </w:r>
      <w:r w:rsidRPr="00735608">
        <w:rPr>
          <w:rFonts w:eastAsia="system-ui"/>
          <w:b/>
          <w:bCs/>
          <w:color w:val="212529"/>
          <w:sz w:val="22"/>
          <w:szCs w:val="22"/>
          <w:lang w:val="en-ZW"/>
        </w:rPr>
        <w:t>debt</w:t>
      </w:r>
      <w:r w:rsidRPr="00735608">
        <w:rPr>
          <w:rFonts w:eastAsia="system-ui"/>
          <w:color w:val="212529"/>
          <w:sz w:val="22"/>
          <w:szCs w:val="22"/>
          <w:lang w:val="en-ZW"/>
        </w:rPr>
        <w:t>”, without limiting the meaning of the term, includes anything which may be sued for or claimed by reason of an obligation arising from statute, contract, delict or otherwise.</w:t>
      </w:r>
      <w:r w:rsidR="00735608" w:rsidRPr="00735608">
        <w:rPr>
          <w:rFonts w:eastAsia="system-ui"/>
          <w:color w:val="212529"/>
          <w:sz w:val="22"/>
          <w:szCs w:val="22"/>
          <w:lang w:val="en-ZW"/>
        </w:rPr>
        <w:t>”</w:t>
      </w:r>
      <w:r w:rsidR="00F9324A">
        <w:rPr>
          <w:rFonts w:eastAsia="system-ui"/>
          <w:color w:val="212529"/>
          <w:sz w:val="22"/>
          <w:szCs w:val="22"/>
          <w:lang w:val="en-ZW"/>
        </w:rPr>
        <w:t xml:space="preserve"> </w:t>
      </w:r>
    </w:p>
    <w:p w14:paraId="79061D59" w14:textId="6BAF75C2" w:rsidR="009B5CD7" w:rsidRDefault="009B5CD7" w:rsidP="00717B0E">
      <w:pPr>
        <w:pStyle w:val="NormalWeb"/>
        <w:spacing w:beforeAutospacing="0" w:afterAutospacing="0" w:line="240" w:lineRule="auto"/>
        <w:jc w:val="both"/>
        <w:rPr>
          <w:rFonts w:eastAsia="system-ui"/>
          <w:color w:val="212529"/>
          <w:sz w:val="22"/>
          <w:szCs w:val="22"/>
          <w:lang w:val="en-ZW"/>
        </w:rPr>
      </w:pPr>
      <w:r>
        <w:rPr>
          <w:rFonts w:eastAsia="system-ui"/>
          <w:color w:val="212529"/>
          <w:sz w:val="22"/>
          <w:szCs w:val="22"/>
          <w:lang w:val="en-ZW"/>
        </w:rPr>
        <w:t>It is not in doubt that applicant’s case falls under the ambit of section 2 above</w:t>
      </w:r>
      <w:r w:rsidR="005B2805">
        <w:rPr>
          <w:rFonts w:eastAsia="system-ui"/>
          <w:color w:val="212529"/>
          <w:sz w:val="22"/>
          <w:szCs w:val="22"/>
          <w:lang w:val="en-ZW"/>
        </w:rPr>
        <w:t xml:space="preserve"> applicant ought to have filed these proceedings within 3 years of the year 2004.</w:t>
      </w:r>
      <w:r>
        <w:rPr>
          <w:rFonts w:eastAsia="system-ui"/>
          <w:color w:val="212529"/>
          <w:sz w:val="22"/>
          <w:szCs w:val="22"/>
          <w:lang w:val="en-ZW"/>
        </w:rPr>
        <w:t xml:space="preserve"> </w:t>
      </w:r>
    </w:p>
    <w:p w14:paraId="19958815" w14:textId="77777777" w:rsidR="005B2805" w:rsidRDefault="005B2805" w:rsidP="00717B0E">
      <w:pPr>
        <w:pStyle w:val="NormalWeb"/>
        <w:spacing w:beforeAutospacing="0" w:afterAutospacing="0" w:line="240" w:lineRule="auto"/>
        <w:jc w:val="both"/>
        <w:rPr>
          <w:rFonts w:eastAsia="system-ui"/>
          <w:color w:val="212529"/>
          <w:sz w:val="22"/>
          <w:szCs w:val="22"/>
          <w:lang w:val="en-ZW"/>
        </w:rPr>
      </w:pPr>
    </w:p>
    <w:p w14:paraId="547AA999" w14:textId="77777777" w:rsidR="00A75A01" w:rsidRDefault="009B5CD7" w:rsidP="00717B0E">
      <w:pPr>
        <w:pStyle w:val="NormalWeb"/>
        <w:spacing w:beforeAutospacing="0" w:afterAutospacing="0" w:line="240" w:lineRule="auto"/>
        <w:jc w:val="both"/>
        <w:rPr>
          <w:rFonts w:eastAsia="system-ui"/>
          <w:color w:val="212529"/>
          <w:sz w:val="22"/>
          <w:szCs w:val="22"/>
          <w:lang w:val="en-ZW"/>
        </w:rPr>
      </w:pPr>
      <w:r>
        <w:rPr>
          <w:rFonts w:eastAsia="system-ui"/>
          <w:color w:val="212529"/>
          <w:sz w:val="22"/>
          <w:szCs w:val="22"/>
          <w:lang w:val="en-ZW"/>
        </w:rPr>
        <w:t xml:space="preserve">Section 15 of the said Act </w:t>
      </w:r>
      <w:r w:rsidR="00C66DD1">
        <w:rPr>
          <w:rFonts w:eastAsia="system-ui"/>
          <w:color w:val="212529"/>
          <w:sz w:val="22"/>
          <w:szCs w:val="22"/>
          <w:lang w:val="en-ZW"/>
        </w:rPr>
        <w:t xml:space="preserve">provides the prescription periods of debts and in-particular subparagraph </w:t>
      </w:r>
      <w:r w:rsidR="00806A65">
        <w:rPr>
          <w:rFonts w:eastAsia="system-ui"/>
          <w:color w:val="212529"/>
          <w:sz w:val="22"/>
          <w:szCs w:val="22"/>
          <w:lang w:val="en-ZW"/>
        </w:rPr>
        <w:t xml:space="preserve">(d) provides that, </w:t>
      </w:r>
    </w:p>
    <w:p w14:paraId="38BD0D73" w14:textId="0A9D4057" w:rsidR="009B5CD7" w:rsidRPr="00735608" w:rsidRDefault="00806A65" w:rsidP="00842830">
      <w:pPr>
        <w:pStyle w:val="NormalWeb"/>
        <w:spacing w:beforeAutospacing="0" w:afterAutospacing="0" w:line="240" w:lineRule="auto"/>
        <w:ind w:left="420"/>
        <w:jc w:val="both"/>
        <w:rPr>
          <w:rFonts w:eastAsia="system-ui"/>
          <w:color w:val="212529"/>
          <w:sz w:val="22"/>
          <w:szCs w:val="22"/>
        </w:rPr>
      </w:pPr>
      <w:r>
        <w:rPr>
          <w:rFonts w:eastAsia="system-ui"/>
          <w:color w:val="212529"/>
          <w:sz w:val="22"/>
          <w:szCs w:val="22"/>
          <w:lang w:val="en-ZW"/>
        </w:rPr>
        <w:lastRenderedPageBreak/>
        <w:t>“</w:t>
      </w:r>
      <w:r w:rsidR="00A75A01">
        <w:rPr>
          <w:rFonts w:eastAsia="system-ui"/>
          <w:color w:val="212529"/>
          <w:sz w:val="22"/>
          <w:szCs w:val="22"/>
          <w:lang w:val="en-ZW"/>
        </w:rPr>
        <w:t>e</w:t>
      </w:r>
      <w:r>
        <w:rPr>
          <w:rFonts w:eastAsia="system-ui"/>
          <w:color w:val="212529"/>
          <w:sz w:val="22"/>
          <w:szCs w:val="22"/>
          <w:lang w:val="en-ZW"/>
        </w:rPr>
        <w:t xml:space="preserve">xcept where any enactment provides otherwise, 3 years, </w:t>
      </w:r>
      <w:r w:rsidR="00A75A01">
        <w:rPr>
          <w:rFonts w:eastAsia="system-ui"/>
          <w:color w:val="212529"/>
          <w:sz w:val="22"/>
          <w:szCs w:val="22"/>
          <w:lang w:val="en-ZW"/>
        </w:rPr>
        <w:t>in the case of any other     debt.”</w:t>
      </w:r>
    </w:p>
    <w:p w14:paraId="42AA981A" w14:textId="77777777" w:rsidR="0021258A" w:rsidRDefault="008D15B2" w:rsidP="00842830">
      <w:pPr>
        <w:pStyle w:val="NormalWeb"/>
        <w:spacing w:beforeAutospacing="0" w:afterAutospacing="0" w:line="360" w:lineRule="auto"/>
        <w:ind w:firstLine="420"/>
        <w:jc w:val="both"/>
        <w:rPr>
          <w:rFonts w:eastAsia="system-ui"/>
          <w:color w:val="212529"/>
        </w:rPr>
      </w:pPr>
      <w:r>
        <w:rPr>
          <w:rFonts w:eastAsia="system-ui"/>
          <w:color w:val="212529"/>
        </w:rPr>
        <w:t>The issue has a bearing on the application before me, namely whether it is properly before me to determine it.</w:t>
      </w:r>
      <w:r w:rsidR="004F430D" w:rsidRPr="00115D5A">
        <w:rPr>
          <w:rFonts w:eastAsia="system-ui"/>
          <w:color w:val="212529"/>
        </w:rPr>
        <w:t xml:space="preserve"> As rightly submitted by </w:t>
      </w:r>
      <w:r>
        <w:rPr>
          <w:rFonts w:eastAsia="system-ui"/>
          <w:color w:val="212529"/>
        </w:rPr>
        <w:t xml:space="preserve">second </w:t>
      </w:r>
      <w:r w:rsidR="004F430D" w:rsidRPr="00115D5A">
        <w:rPr>
          <w:rFonts w:eastAsia="system-ui"/>
          <w:color w:val="212529"/>
        </w:rPr>
        <w:t xml:space="preserve">respondent’s counsel, correctly so, applicant cannot </w:t>
      </w:r>
      <w:r w:rsidR="0070537C" w:rsidRPr="00115D5A">
        <w:rPr>
          <w:rFonts w:eastAsia="system-ui"/>
          <w:color w:val="212529"/>
        </w:rPr>
        <w:t xml:space="preserve">seek to </w:t>
      </w:r>
      <w:r>
        <w:rPr>
          <w:rFonts w:eastAsia="system-ui"/>
          <w:color w:val="212529"/>
        </w:rPr>
        <w:t>challeng</w:t>
      </w:r>
      <w:r w:rsidR="002A6B4F" w:rsidRPr="00115D5A">
        <w:rPr>
          <w:rFonts w:eastAsia="system-ui"/>
          <w:color w:val="212529"/>
        </w:rPr>
        <w:t>e</w:t>
      </w:r>
      <w:r w:rsidR="004F430D" w:rsidRPr="00115D5A">
        <w:rPr>
          <w:rFonts w:eastAsia="system-ui"/>
          <w:color w:val="212529"/>
        </w:rPr>
        <w:t xml:space="preserve"> the</w:t>
      </w:r>
      <w:r w:rsidR="0070537C" w:rsidRPr="00115D5A">
        <w:rPr>
          <w:rFonts w:eastAsia="system-ui"/>
          <w:color w:val="212529"/>
        </w:rPr>
        <w:t xml:space="preserve"> acquisition of the Farm</w:t>
      </w:r>
      <w:r>
        <w:rPr>
          <w:rFonts w:eastAsia="system-ui"/>
          <w:color w:val="212529"/>
        </w:rPr>
        <w:t xml:space="preserve"> that was done in 2004</w:t>
      </w:r>
      <w:r w:rsidR="00845D69">
        <w:rPr>
          <w:rFonts w:eastAsia="system-ui"/>
          <w:color w:val="212529"/>
        </w:rPr>
        <w:t>. He is time barred</w:t>
      </w:r>
      <w:r w:rsidR="004B62B4">
        <w:rPr>
          <w:rFonts w:eastAsia="system-ui"/>
          <w:color w:val="212529"/>
        </w:rPr>
        <w:t>,</w:t>
      </w:r>
      <w:r w:rsidR="0070537C" w:rsidRPr="00115D5A">
        <w:rPr>
          <w:rFonts w:eastAsia="system-ui"/>
          <w:color w:val="212529"/>
        </w:rPr>
        <w:t xml:space="preserve"> and consequently the setting aside of the offer letters by the State to the </w:t>
      </w:r>
      <w:r>
        <w:rPr>
          <w:rFonts w:eastAsia="system-ui"/>
          <w:color w:val="212529"/>
        </w:rPr>
        <w:t>second r</w:t>
      </w:r>
      <w:r w:rsidR="0070537C" w:rsidRPr="00115D5A">
        <w:rPr>
          <w:rFonts w:eastAsia="system-ui"/>
          <w:color w:val="212529"/>
        </w:rPr>
        <w:t>espondent that were issued in 2011</w:t>
      </w:r>
      <w:r w:rsidR="004B62B4">
        <w:rPr>
          <w:rFonts w:eastAsia="system-ui"/>
          <w:color w:val="212529"/>
        </w:rPr>
        <w:t xml:space="preserve"> are also time barred</w:t>
      </w:r>
      <w:r>
        <w:rPr>
          <w:rFonts w:eastAsia="system-ui"/>
          <w:color w:val="212529"/>
        </w:rPr>
        <w:t>.</w:t>
      </w:r>
      <w:r w:rsidR="004F430D" w:rsidRPr="00115D5A">
        <w:rPr>
          <w:rFonts w:eastAsia="system-ui"/>
          <w:color w:val="212529"/>
        </w:rPr>
        <w:t xml:space="preserve"> </w:t>
      </w:r>
      <w:r>
        <w:rPr>
          <w:rFonts w:eastAsia="system-ui"/>
          <w:color w:val="212529"/>
        </w:rPr>
        <w:t>T</w:t>
      </w:r>
      <w:r w:rsidR="004F430D" w:rsidRPr="00115D5A">
        <w:rPr>
          <w:rFonts w:eastAsia="system-ui"/>
          <w:color w:val="212529"/>
        </w:rPr>
        <w:t xml:space="preserve">hat right </w:t>
      </w:r>
      <w:r>
        <w:rPr>
          <w:rFonts w:eastAsia="system-ui"/>
          <w:color w:val="212529"/>
        </w:rPr>
        <w:t xml:space="preserve">to challenge </w:t>
      </w:r>
      <w:r w:rsidR="004F430D" w:rsidRPr="00115D5A">
        <w:rPr>
          <w:rFonts w:eastAsia="system-ui"/>
          <w:color w:val="212529"/>
        </w:rPr>
        <w:t xml:space="preserve">has been extinguished by </w:t>
      </w:r>
      <w:r>
        <w:rPr>
          <w:rFonts w:eastAsia="system-ui"/>
          <w:color w:val="212529"/>
        </w:rPr>
        <w:t>p</w:t>
      </w:r>
      <w:r w:rsidR="004F430D" w:rsidRPr="00115D5A">
        <w:rPr>
          <w:rFonts w:eastAsia="system-ui"/>
          <w:color w:val="212529"/>
        </w:rPr>
        <w:t>rescription.</w:t>
      </w:r>
      <w:r w:rsidR="000274AE">
        <w:rPr>
          <w:rFonts w:eastAsia="system-ui"/>
          <w:color w:val="212529"/>
        </w:rPr>
        <w:t xml:space="preserve"> </w:t>
      </w:r>
    </w:p>
    <w:p w14:paraId="45D1CBC3" w14:textId="2C7454A2" w:rsidR="00366434" w:rsidRDefault="000274AE" w:rsidP="00717B0E">
      <w:pPr>
        <w:pStyle w:val="NormalWeb"/>
        <w:spacing w:beforeAutospacing="0" w:afterAutospacing="0" w:line="360" w:lineRule="auto"/>
        <w:jc w:val="both"/>
        <w:rPr>
          <w:rFonts w:eastAsia="system-ui"/>
          <w:color w:val="212529"/>
        </w:rPr>
      </w:pPr>
      <w:r>
        <w:rPr>
          <w:rFonts w:eastAsia="system-ui"/>
          <w:color w:val="212529"/>
        </w:rPr>
        <w:t>Section 14</w:t>
      </w:r>
      <w:r w:rsidR="0021258A">
        <w:rPr>
          <w:rFonts w:eastAsia="system-ui"/>
          <w:color w:val="212529"/>
        </w:rPr>
        <w:t xml:space="preserve"> provides for extinction of debts by prescription.</w:t>
      </w:r>
    </w:p>
    <w:p w14:paraId="0B2140B2" w14:textId="247243A1" w:rsidR="001E3FB0" w:rsidRDefault="001E3FB0" w:rsidP="00717B0E">
      <w:pPr>
        <w:pStyle w:val="NormalWeb"/>
        <w:spacing w:beforeAutospacing="0" w:afterAutospacing="0" w:line="360" w:lineRule="auto"/>
        <w:jc w:val="both"/>
        <w:rPr>
          <w:rFonts w:eastAsia="system-ui"/>
          <w:color w:val="212529"/>
        </w:rPr>
      </w:pPr>
      <w:r>
        <w:rPr>
          <w:rFonts w:eastAsia="system-ui"/>
          <w:color w:val="212529"/>
        </w:rPr>
        <w:t>It provides as follows:</w:t>
      </w:r>
    </w:p>
    <w:p w14:paraId="69B2621E" w14:textId="2741E265" w:rsidR="001E3FB0" w:rsidRPr="00842830" w:rsidRDefault="001E3FB0" w:rsidP="00842830">
      <w:pPr>
        <w:pStyle w:val="NormalWeb"/>
        <w:spacing w:beforeAutospacing="0" w:afterAutospacing="0" w:line="240" w:lineRule="auto"/>
        <w:ind w:left="720"/>
        <w:jc w:val="both"/>
        <w:rPr>
          <w:rFonts w:eastAsia="system-ui"/>
          <w:color w:val="212529"/>
          <w:sz w:val="22"/>
          <w:szCs w:val="22"/>
        </w:rPr>
      </w:pPr>
      <w:r w:rsidRPr="00842830">
        <w:rPr>
          <w:rFonts w:eastAsia="system-ui"/>
          <w:color w:val="212529"/>
          <w:sz w:val="22"/>
          <w:szCs w:val="22"/>
        </w:rPr>
        <w:t>“(1) Subject to this Part and Part V, a debt shall be extin</w:t>
      </w:r>
      <w:r w:rsidR="00365C08" w:rsidRPr="00842830">
        <w:rPr>
          <w:rFonts w:eastAsia="system-ui"/>
          <w:color w:val="212529"/>
          <w:sz w:val="22"/>
          <w:szCs w:val="22"/>
        </w:rPr>
        <w:t>g</w:t>
      </w:r>
      <w:r w:rsidRPr="00842830">
        <w:rPr>
          <w:rFonts w:eastAsia="system-ui"/>
          <w:color w:val="212529"/>
          <w:sz w:val="22"/>
          <w:szCs w:val="22"/>
        </w:rPr>
        <w:t xml:space="preserve">uished by </w:t>
      </w:r>
      <w:r w:rsidR="00365C08" w:rsidRPr="00842830">
        <w:rPr>
          <w:rFonts w:eastAsia="system-ui"/>
          <w:color w:val="212529"/>
          <w:sz w:val="22"/>
          <w:szCs w:val="22"/>
        </w:rPr>
        <w:t xml:space="preserve">prescription after the lapse of the period which in-terms of the relevant enactment applies in respect of the prescription of such debt. </w:t>
      </w:r>
    </w:p>
    <w:p w14:paraId="04BA4AEF" w14:textId="0BC18600" w:rsidR="00CB280B" w:rsidRPr="00842830" w:rsidRDefault="00CB280B" w:rsidP="00842830">
      <w:pPr>
        <w:pStyle w:val="NormalWeb"/>
        <w:spacing w:beforeAutospacing="0" w:afterAutospacing="0" w:line="240" w:lineRule="auto"/>
        <w:ind w:left="720"/>
        <w:jc w:val="both"/>
        <w:rPr>
          <w:rFonts w:eastAsia="system-ui"/>
          <w:color w:val="212529"/>
          <w:sz w:val="22"/>
          <w:szCs w:val="22"/>
        </w:rPr>
      </w:pPr>
      <w:r w:rsidRPr="00842830">
        <w:rPr>
          <w:rFonts w:eastAsia="system-ui"/>
          <w:color w:val="212529"/>
          <w:sz w:val="22"/>
          <w:szCs w:val="22"/>
        </w:rPr>
        <w:t>(2) A subsidiary debt which arose from a principal debt or a debt which is dependent upon a principal debt shall be extinguished by the prescription of the principal date</w:t>
      </w:r>
      <w:r w:rsidR="0033521B" w:rsidRPr="00842830">
        <w:rPr>
          <w:rFonts w:eastAsia="system-ui"/>
          <w:color w:val="212529"/>
          <w:sz w:val="22"/>
          <w:szCs w:val="22"/>
        </w:rPr>
        <w:t>.</w:t>
      </w:r>
    </w:p>
    <w:p w14:paraId="6542A198" w14:textId="1E91019B" w:rsidR="0033521B" w:rsidRPr="00842830" w:rsidRDefault="0033521B" w:rsidP="00842830">
      <w:pPr>
        <w:pStyle w:val="NormalWeb"/>
        <w:spacing w:beforeAutospacing="0" w:afterAutospacing="0" w:line="240" w:lineRule="auto"/>
        <w:ind w:left="720"/>
        <w:jc w:val="both"/>
        <w:rPr>
          <w:rFonts w:eastAsia="system-ui"/>
          <w:color w:val="212529"/>
          <w:sz w:val="22"/>
          <w:szCs w:val="22"/>
        </w:rPr>
      </w:pPr>
      <w:r w:rsidRPr="00842830">
        <w:rPr>
          <w:rFonts w:eastAsia="system-ui"/>
          <w:color w:val="212529"/>
          <w:sz w:val="22"/>
          <w:szCs w:val="22"/>
        </w:rPr>
        <w:t>(3) …………………………………………………………………………….”</w:t>
      </w:r>
    </w:p>
    <w:p w14:paraId="209B1694" w14:textId="77777777" w:rsidR="00366434" w:rsidRPr="00842830" w:rsidRDefault="00366434" w:rsidP="00842830">
      <w:pPr>
        <w:pStyle w:val="NormalWeb"/>
        <w:spacing w:beforeAutospacing="0" w:afterAutospacing="0" w:line="240" w:lineRule="auto"/>
        <w:jc w:val="both"/>
        <w:rPr>
          <w:rFonts w:eastAsia="system-ui"/>
          <w:color w:val="212529"/>
          <w:sz w:val="22"/>
          <w:szCs w:val="22"/>
        </w:rPr>
      </w:pPr>
    </w:p>
    <w:p w14:paraId="00BA3988" w14:textId="77777777" w:rsidR="002027C7" w:rsidRDefault="004F430D" w:rsidP="00842830">
      <w:pPr>
        <w:pStyle w:val="NormalWeb"/>
        <w:spacing w:beforeAutospacing="0" w:afterAutospacing="0" w:line="360" w:lineRule="auto"/>
        <w:ind w:firstLine="420"/>
        <w:jc w:val="both"/>
        <w:rPr>
          <w:rFonts w:eastAsia="system-ui"/>
          <w:color w:val="212529"/>
        </w:rPr>
      </w:pPr>
      <w:r w:rsidRPr="00115D5A">
        <w:rPr>
          <w:rFonts w:eastAsia="system-ui"/>
          <w:color w:val="212529"/>
        </w:rPr>
        <w:t xml:space="preserve">I find </w:t>
      </w:r>
      <w:r w:rsidR="002027C7">
        <w:rPr>
          <w:rFonts w:eastAsia="system-ui"/>
          <w:color w:val="212529"/>
        </w:rPr>
        <w:t xml:space="preserve">therefore </w:t>
      </w:r>
      <w:r w:rsidRPr="00115D5A">
        <w:rPr>
          <w:rFonts w:eastAsia="system-ui"/>
          <w:color w:val="212529"/>
        </w:rPr>
        <w:t xml:space="preserve">that this point was well taken and I uphold </w:t>
      </w:r>
      <w:r w:rsidR="00735608" w:rsidRPr="00115D5A">
        <w:rPr>
          <w:rFonts w:eastAsia="system-ui"/>
          <w:color w:val="212529"/>
        </w:rPr>
        <w:t>it.</w:t>
      </w:r>
      <w:r w:rsidR="00735608">
        <w:rPr>
          <w:rFonts w:eastAsia="system-ui"/>
          <w:color w:val="212529"/>
        </w:rPr>
        <w:t xml:space="preserve"> </w:t>
      </w:r>
    </w:p>
    <w:p w14:paraId="2B548F38" w14:textId="068C130F" w:rsidR="00366434" w:rsidRPr="00842830" w:rsidRDefault="0083125B" w:rsidP="00717B0E">
      <w:pPr>
        <w:pStyle w:val="NormalWeb"/>
        <w:spacing w:beforeAutospacing="0" w:afterAutospacing="0" w:line="360" w:lineRule="auto"/>
        <w:jc w:val="both"/>
        <w:rPr>
          <w:rFonts w:eastAsia="system-ui"/>
          <w:i/>
          <w:color w:val="212529"/>
        </w:rPr>
      </w:pPr>
      <w:r>
        <w:rPr>
          <w:rFonts w:eastAsia="system-ui"/>
          <w:color w:val="212529"/>
        </w:rPr>
        <w:t xml:space="preserve">To that end my finding is that there is </w:t>
      </w:r>
      <w:r w:rsidR="008D15B2">
        <w:rPr>
          <w:rFonts w:eastAsia="system-ui"/>
          <w:color w:val="212529"/>
        </w:rPr>
        <w:t>no application before me</w:t>
      </w:r>
      <w:r>
        <w:rPr>
          <w:rFonts w:eastAsia="system-ui"/>
          <w:color w:val="212529"/>
        </w:rPr>
        <w:t>.</w:t>
      </w:r>
      <w:r w:rsidR="00735608">
        <w:rPr>
          <w:rFonts w:eastAsia="system-ui"/>
          <w:color w:val="212529"/>
        </w:rPr>
        <w:t xml:space="preserve"> </w:t>
      </w:r>
      <w:r w:rsidR="00943A24">
        <w:rPr>
          <w:rFonts w:eastAsia="system-ui"/>
          <w:color w:val="212529"/>
        </w:rPr>
        <w:t>T</w:t>
      </w:r>
      <w:r w:rsidR="00735608">
        <w:rPr>
          <w:rFonts w:eastAsia="system-ui"/>
          <w:color w:val="212529"/>
        </w:rPr>
        <w:t>his determination is dispositive of th</w:t>
      </w:r>
      <w:r w:rsidR="00943A24">
        <w:rPr>
          <w:rFonts w:eastAsia="system-ui"/>
          <w:color w:val="212529"/>
        </w:rPr>
        <w:t xml:space="preserve">is </w:t>
      </w:r>
      <w:r w:rsidR="00735608">
        <w:rPr>
          <w:rFonts w:eastAsia="system-ui"/>
          <w:color w:val="212529"/>
        </w:rPr>
        <w:t xml:space="preserve">matter, </w:t>
      </w:r>
      <w:r w:rsidR="00CA2C3E">
        <w:rPr>
          <w:rFonts w:eastAsia="system-ui"/>
          <w:color w:val="212529"/>
        </w:rPr>
        <w:t xml:space="preserve">consequently </w:t>
      </w:r>
      <w:r w:rsidR="00735608">
        <w:rPr>
          <w:rFonts w:eastAsia="system-ui"/>
          <w:color w:val="212529"/>
        </w:rPr>
        <w:t>I shall not proceed to determine the other points</w:t>
      </w:r>
      <w:r w:rsidR="00CA2C3E">
        <w:rPr>
          <w:rFonts w:eastAsia="system-ui"/>
          <w:color w:val="212529"/>
        </w:rPr>
        <w:t xml:space="preserve"> </w:t>
      </w:r>
      <w:r w:rsidR="00CA2C3E" w:rsidRPr="00842830">
        <w:rPr>
          <w:rFonts w:eastAsia="system-ui"/>
          <w:i/>
          <w:color w:val="212529"/>
        </w:rPr>
        <w:t>in limine</w:t>
      </w:r>
      <w:r w:rsidR="00735608" w:rsidRPr="00842830">
        <w:rPr>
          <w:rFonts w:eastAsia="system-ui"/>
          <w:i/>
          <w:color w:val="212529"/>
        </w:rPr>
        <w:t>.</w:t>
      </w:r>
    </w:p>
    <w:p w14:paraId="53182462" w14:textId="78BDFB09" w:rsidR="002D7ED2" w:rsidRDefault="004F430D" w:rsidP="00717B0E">
      <w:pPr>
        <w:pStyle w:val="NormalWeb"/>
        <w:spacing w:beforeAutospacing="0" w:afterAutospacing="0" w:line="360" w:lineRule="auto"/>
        <w:jc w:val="both"/>
        <w:rPr>
          <w:rFonts w:eastAsia="system-ui"/>
          <w:color w:val="212529"/>
        </w:rPr>
      </w:pPr>
      <w:r w:rsidRPr="00115D5A">
        <w:rPr>
          <w:rFonts w:eastAsia="system-ui"/>
          <w:color w:val="212529"/>
        </w:rPr>
        <w:t xml:space="preserve"> </w:t>
      </w:r>
    </w:p>
    <w:p w14:paraId="6038963F" w14:textId="145B040D" w:rsidR="002D7ED2" w:rsidRDefault="004F430D" w:rsidP="00717B0E">
      <w:pPr>
        <w:pStyle w:val="NormalWeb"/>
        <w:spacing w:beforeAutospacing="0" w:afterAutospacing="0" w:line="360" w:lineRule="auto"/>
        <w:jc w:val="both"/>
        <w:rPr>
          <w:rFonts w:eastAsia="system-ui"/>
          <w:color w:val="212529"/>
        </w:rPr>
      </w:pPr>
      <w:r w:rsidRPr="00115D5A">
        <w:rPr>
          <w:rFonts w:eastAsia="system-ui"/>
          <w:color w:val="212529"/>
        </w:rPr>
        <w:t>In the result, the following order is made</w:t>
      </w:r>
      <w:r w:rsidR="008D15B2">
        <w:rPr>
          <w:rFonts w:eastAsia="system-ui"/>
          <w:color w:val="212529"/>
        </w:rPr>
        <w:t>,</w:t>
      </w:r>
      <w:r w:rsidRPr="00115D5A">
        <w:rPr>
          <w:rFonts w:eastAsia="system-ui"/>
          <w:color w:val="212529"/>
        </w:rPr>
        <w:t xml:space="preserve"> that the application be and is hereby </w:t>
      </w:r>
      <w:r w:rsidR="00735608">
        <w:rPr>
          <w:rFonts w:eastAsia="system-ui"/>
          <w:color w:val="212529"/>
        </w:rPr>
        <w:t>struck off</w:t>
      </w:r>
      <w:r w:rsidR="008D15B2">
        <w:rPr>
          <w:rFonts w:eastAsia="system-ui"/>
          <w:color w:val="212529"/>
        </w:rPr>
        <w:t xml:space="preserve"> </w:t>
      </w:r>
      <w:r w:rsidRPr="00115D5A">
        <w:rPr>
          <w:rFonts w:eastAsia="system-ui"/>
          <w:color w:val="212529"/>
        </w:rPr>
        <w:t>with costs.</w:t>
      </w:r>
    </w:p>
    <w:p w14:paraId="71BD30DB" w14:textId="77777777" w:rsidR="00CA2C3E" w:rsidRDefault="00CA2C3E" w:rsidP="00717B0E">
      <w:pPr>
        <w:pStyle w:val="NormalWeb"/>
        <w:spacing w:beforeAutospacing="0" w:afterAutospacing="0" w:line="360" w:lineRule="auto"/>
        <w:jc w:val="both"/>
        <w:rPr>
          <w:rFonts w:eastAsia="system-ui"/>
          <w:color w:val="212529"/>
        </w:rPr>
      </w:pPr>
    </w:p>
    <w:p w14:paraId="1040197E" w14:textId="6AD4A559" w:rsidR="00CA2C3E" w:rsidRPr="00CA2C3E" w:rsidRDefault="00CA2C3E" w:rsidP="00CA2C3E">
      <w:pPr>
        <w:spacing w:line="360" w:lineRule="auto"/>
        <w:rPr>
          <w:rFonts w:ascii="Times New Roman" w:hAnsi="Times New Roman" w:cs="Times New Roman"/>
          <w:b/>
          <w:bCs/>
          <w:sz w:val="24"/>
        </w:rPr>
      </w:pPr>
      <w:r w:rsidRPr="008D15B2">
        <w:rPr>
          <w:rFonts w:ascii="Times New Roman" w:hAnsi="Times New Roman" w:cs="Times New Roman"/>
          <w:b/>
          <w:bCs/>
          <w:sz w:val="24"/>
        </w:rPr>
        <w:t>MHURI J</w:t>
      </w:r>
      <w:r>
        <w:rPr>
          <w:rFonts w:ascii="Times New Roman" w:hAnsi="Times New Roman" w:cs="Times New Roman"/>
          <w:b/>
          <w:bCs/>
          <w:sz w:val="24"/>
        </w:rPr>
        <w:t>…….</w:t>
      </w:r>
    </w:p>
    <w:p w14:paraId="370498D3" w14:textId="77777777" w:rsidR="00717B0E" w:rsidRDefault="00717B0E" w:rsidP="00717B0E">
      <w:pPr>
        <w:spacing w:line="360" w:lineRule="auto"/>
        <w:rPr>
          <w:rFonts w:ascii="Times New Roman" w:hAnsi="Times New Roman" w:cs="Times New Roman"/>
          <w:sz w:val="24"/>
        </w:rPr>
      </w:pPr>
    </w:p>
    <w:p w14:paraId="380022E9" w14:textId="0F3BCDDE" w:rsidR="00366434" w:rsidRPr="00366434" w:rsidRDefault="00366434" w:rsidP="00842830">
      <w:pPr>
        <w:spacing w:after="0" w:line="240" w:lineRule="auto"/>
        <w:rPr>
          <w:rFonts w:ascii="Times New Roman" w:hAnsi="Times New Roman" w:cs="Times New Roman"/>
          <w:i/>
          <w:iCs/>
          <w:sz w:val="24"/>
        </w:rPr>
      </w:pPr>
      <w:r w:rsidRPr="00366434">
        <w:rPr>
          <w:rFonts w:ascii="Times New Roman" w:hAnsi="Times New Roman" w:cs="Times New Roman"/>
          <w:i/>
          <w:iCs/>
          <w:sz w:val="24"/>
        </w:rPr>
        <w:t xml:space="preserve">Mlotshwa Solicitors: </w:t>
      </w:r>
      <w:r w:rsidR="00717B0E" w:rsidRPr="00717B0E">
        <w:rPr>
          <w:rFonts w:ascii="Times New Roman" w:hAnsi="Times New Roman" w:cs="Times New Roman"/>
          <w:sz w:val="24"/>
        </w:rPr>
        <w:t>a</w:t>
      </w:r>
      <w:r w:rsidRPr="00717B0E">
        <w:rPr>
          <w:rFonts w:ascii="Times New Roman" w:hAnsi="Times New Roman" w:cs="Times New Roman"/>
          <w:sz w:val="24"/>
        </w:rPr>
        <w:t>pplicant’s Legal Practitioners</w:t>
      </w:r>
    </w:p>
    <w:p w14:paraId="043251BF" w14:textId="7F608553" w:rsidR="00366434" w:rsidRDefault="00366434" w:rsidP="00842830">
      <w:pPr>
        <w:spacing w:after="0" w:line="240" w:lineRule="auto"/>
        <w:rPr>
          <w:rFonts w:ascii="Times New Roman" w:hAnsi="Times New Roman" w:cs="Times New Roman"/>
          <w:i/>
          <w:iCs/>
          <w:sz w:val="24"/>
        </w:rPr>
      </w:pPr>
      <w:r w:rsidRPr="00366434">
        <w:rPr>
          <w:rFonts w:ascii="Times New Roman" w:hAnsi="Times New Roman" w:cs="Times New Roman"/>
          <w:i/>
          <w:iCs/>
          <w:sz w:val="24"/>
        </w:rPr>
        <w:t xml:space="preserve">Chimwamurombe Legal Practice: </w:t>
      </w:r>
      <w:r w:rsidR="00717B0E" w:rsidRPr="00717B0E">
        <w:rPr>
          <w:rFonts w:ascii="Times New Roman" w:hAnsi="Times New Roman" w:cs="Times New Roman"/>
          <w:sz w:val="24"/>
        </w:rPr>
        <w:t>second r</w:t>
      </w:r>
      <w:r w:rsidRPr="00717B0E">
        <w:rPr>
          <w:rFonts w:ascii="Times New Roman" w:hAnsi="Times New Roman" w:cs="Times New Roman"/>
          <w:sz w:val="24"/>
        </w:rPr>
        <w:t>espondent’s Legal Practitioners</w:t>
      </w:r>
    </w:p>
    <w:sectPr w:rsidR="0036643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E0B15" w14:textId="77777777" w:rsidR="000C7E20" w:rsidRDefault="000C7E20" w:rsidP="00CA128D">
      <w:pPr>
        <w:spacing w:after="0" w:line="240" w:lineRule="auto"/>
      </w:pPr>
      <w:r>
        <w:separator/>
      </w:r>
    </w:p>
  </w:endnote>
  <w:endnote w:type="continuationSeparator" w:id="0">
    <w:p w14:paraId="5573B3CC" w14:textId="77777777" w:rsidR="000C7E20" w:rsidRDefault="000C7E20" w:rsidP="00CA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stem-ui">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51707" w14:textId="77777777" w:rsidR="000C7E20" w:rsidRDefault="000C7E20" w:rsidP="00CA128D">
      <w:pPr>
        <w:spacing w:after="0" w:line="240" w:lineRule="auto"/>
      </w:pPr>
      <w:r>
        <w:separator/>
      </w:r>
    </w:p>
  </w:footnote>
  <w:footnote w:type="continuationSeparator" w:id="0">
    <w:p w14:paraId="37416C2C" w14:textId="77777777" w:rsidR="000C7E20" w:rsidRDefault="000C7E20" w:rsidP="00CA1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373165447"/>
      <w:docPartObj>
        <w:docPartGallery w:val="Page Numbers (Top of Page)"/>
        <w:docPartUnique/>
      </w:docPartObj>
    </w:sdtPr>
    <w:sdtEndPr>
      <w:rPr>
        <w:noProof/>
      </w:rPr>
    </w:sdtEndPr>
    <w:sdtContent>
      <w:p w14:paraId="44FFB34A" w14:textId="77777777" w:rsidR="007B4DA8" w:rsidRDefault="007B4DA8" w:rsidP="007B4DA8">
        <w:pPr>
          <w:pStyle w:val="Header"/>
          <w:ind w:left="4727" w:firstLine="3253"/>
          <w:rPr>
            <w:noProof/>
            <w:sz w:val="24"/>
          </w:rPr>
        </w:pPr>
        <w:r w:rsidRPr="007B4DA8">
          <w:rPr>
            <w:sz w:val="24"/>
          </w:rPr>
          <w:fldChar w:fldCharType="begin"/>
        </w:r>
        <w:r w:rsidRPr="007B4DA8">
          <w:rPr>
            <w:sz w:val="24"/>
          </w:rPr>
          <w:instrText xml:space="preserve"> PAGE   \* MERGEFORMAT </w:instrText>
        </w:r>
        <w:r w:rsidRPr="007B4DA8">
          <w:rPr>
            <w:sz w:val="24"/>
          </w:rPr>
          <w:fldChar w:fldCharType="separate"/>
        </w:r>
        <w:r w:rsidR="00275002">
          <w:rPr>
            <w:noProof/>
            <w:sz w:val="24"/>
          </w:rPr>
          <w:t>1</w:t>
        </w:r>
        <w:r w:rsidRPr="007B4DA8">
          <w:rPr>
            <w:noProof/>
            <w:sz w:val="24"/>
          </w:rPr>
          <w:fldChar w:fldCharType="end"/>
        </w:r>
      </w:p>
      <w:p w14:paraId="7252C72B" w14:textId="588D47DF" w:rsidR="00824158" w:rsidRPr="007B4DA8" w:rsidRDefault="00824158" w:rsidP="00824158">
        <w:pPr>
          <w:pStyle w:val="Header"/>
          <w:rPr>
            <w:noProof/>
            <w:sz w:val="24"/>
          </w:rPr>
        </w:pPr>
        <w:r>
          <w:rPr>
            <w:noProof/>
            <w:sz w:val="24"/>
          </w:rPr>
          <w:tab/>
        </w:r>
        <w:r>
          <w:rPr>
            <w:noProof/>
            <w:sz w:val="24"/>
          </w:rPr>
          <w:tab/>
          <w:t xml:space="preserve">HH 659-25 </w:t>
        </w:r>
      </w:p>
      <w:p w14:paraId="02F244C0" w14:textId="70AEFC3B" w:rsidR="007B4DA8" w:rsidRPr="007B4DA8" w:rsidRDefault="007B4DA8" w:rsidP="007B4DA8">
        <w:pPr>
          <w:pStyle w:val="Header"/>
          <w:rPr>
            <w:sz w:val="24"/>
          </w:rPr>
        </w:pPr>
        <w:r>
          <w:rPr>
            <w:noProof/>
            <w:sz w:val="24"/>
          </w:rPr>
          <w:tab/>
        </w:r>
        <w:r>
          <w:rPr>
            <w:noProof/>
            <w:sz w:val="24"/>
          </w:rPr>
          <w:tab/>
        </w:r>
        <w:r w:rsidRPr="007B4DA8">
          <w:rPr>
            <w:noProof/>
            <w:sz w:val="24"/>
          </w:rPr>
          <w:t>HCH 3383/20</w:t>
        </w:r>
      </w:p>
    </w:sdtContent>
  </w:sdt>
  <w:p w14:paraId="71017F9C" w14:textId="77777777" w:rsidR="00CA128D" w:rsidRDefault="00CA1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E3"/>
    <w:multiLevelType w:val="hybridMultilevel"/>
    <w:tmpl w:val="589A9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D30482"/>
    <w:multiLevelType w:val="multilevel"/>
    <w:tmpl w:val="68D30482"/>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
    <w:nsid w:val="68D3048D"/>
    <w:multiLevelType w:val="multilevel"/>
    <w:tmpl w:val="68D3048D"/>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3">
    <w:nsid w:val="68D30498"/>
    <w:multiLevelType w:val="multilevel"/>
    <w:tmpl w:val="68D30498"/>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4">
    <w:nsid w:val="7DD232FE"/>
    <w:multiLevelType w:val="hybridMultilevel"/>
    <w:tmpl w:val="5DBC630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D2"/>
    <w:rsid w:val="000274AE"/>
    <w:rsid w:val="00093C61"/>
    <w:rsid w:val="000A3CDB"/>
    <w:rsid w:val="000C7E20"/>
    <w:rsid w:val="00115D5A"/>
    <w:rsid w:val="001444C0"/>
    <w:rsid w:val="001B4572"/>
    <w:rsid w:val="001E3FB0"/>
    <w:rsid w:val="002027C7"/>
    <w:rsid w:val="0021258A"/>
    <w:rsid w:val="00241681"/>
    <w:rsid w:val="00275002"/>
    <w:rsid w:val="002A6B4F"/>
    <w:rsid w:val="002C0A72"/>
    <w:rsid w:val="002D7ED2"/>
    <w:rsid w:val="00311F3F"/>
    <w:rsid w:val="00331DF7"/>
    <w:rsid w:val="0033521B"/>
    <w:rsid w:val="00365C08"/>
    <w:rsid w:val="00366434"/>
    <w:rsid w:val="003A6A37"/>
    <w:rsid w:val="003C1631"/>
    <w:rsid w:val="004B62B4"/>
    <w:rsid w:val="004E5346"/>
    <w:rsid w:val="004F430D"/>
    <w:rsid w:val="00587DF8"/>
    <w:rsid w:val="00591A01"/>
    <w:rsid w:val="005B2805"/>
    <w:rsid w:val="005F6E32"/>
    <w:rsid w:val="00600E54"/>
    <w:rsid w:val="00611AB2"/>
    <w:rsid w:val="00612635"/>
    <w:rsid w:val="00653803"/>
    <w:rsid w:val="006560F7"/>
    <w:rsid w:val="00665C40"/>
    <w:rsid w:val="0068203C"/>
    <w:rsid w:val="006A1A33"/>
    <w:rsid w:val="006C75E0"/>
    <w:rsid w:val="007027C1"/>
    <w:rsid w:val="007027F2"/>
    <w:rsid w:val="0070537C"/>
    <w:rsid w:val="00717B0E"/>
    <w:rsid w:val="00735608"/>
    <w:rsid w:val="00736CA8"/>
    <w:rsid w:val="00761509"/>
    <w:rsid w:val="007817D3"/>
    <w:rsid w:val="00786D6E"/>
    <w:rsid w:val="007A3DD8"/>
    <w:rsid w:val="007B4DA8"/>
    <w:rsid w:val="007E766C"/>
    <w:rsid w:val="00806A65"/>
    <w:rsid w:val="00816A93"/>
    <w:rsid w:val="00824158"/>
    <w:rsid w:val="0083125B"/>
    <w:rsid w:val="00842830"/>
    <w:rsid w:val="00845D69"/>
    <w:rsid w:val="008954EC"/>
    <w:rsid w:val="008C0573"/>
    <w:rsid w:val="008C24FD"/>
    <w:rsid w:val="008D15B2"/>
    <w:rsid w:val="009166E9"/>
    <w:rsid w:val="00943A24"/>
    <w:rsid w:val="0097355A"/>
    <w:rsid w:val="009B5CD7"/>
    <w:rsid w:val="009C61F8"/>
    <w:rsid w:val="00A276EE"/>
    <w:rsid w:val="00A37EBC"/>
    <w:rsid w:val="00A548C7"/>
    <w:rsid w:val="00A75A01"/>
    <w:rsid w:val="00AB4279"/>
    <w:rsid w:val="00AC7BF8"/>
    <w:rsid w:val="00AE2C6D"/>
    <w:rsid w:val="00B0012B"/>
    <w:rsid w:val="00B07E86"/>
    <w:rsid w:val="00B85968"/>
    <w:rsid w:val="00BB356B"/>
    <w:rsid w:val="00BB5FC0"/>
    <w:rsid w:val="00C10F90"/>
    <w:rsid w:val="00C33282"/>
    <w:rsid w:val="00C66DD1"/>
    <w:rsid w:val="00C7397A"/>
    <w:rsid w:val="00CA128D"/>
    <w:rsid w:val="00CA2C3E"/>
    <w:rsid w:val="00CB280B"/>
    <w:rsid w:val="00CB39DA"/>
    <w:rsid w:val="00CE20A3"/>
    <w:rsid w:val="00D2418E"/>
    <w:rsid w:val="00D73EBB"/>
    <w:rsid w:val="00D775DE"/>
    <w:rsid w:val="00EF7749"/>
    <w:rsid w:val="00F82963"/>
    <w:rsid w:val="00F9324A"/>
    <w:rsid w:val="00FB7190"/>
    <w:rsid w:val="00FE060B"/>
    <w:rsid w:val="00FF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0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ZW" w:eastAsia="en-ZW"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paragraph" w:styleId="Header">
    <w:name w:val="header"/>
    <w:basedOn w:val="Normal"/>
    <w:link w:val="HeaderChar"/>
    <w:uiPriority w:val="99"/>
    <w:rsid w:val="00CA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28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CA128D"/>
    <w:pPr>
      <w:tabs>
        <w:tab w:val="center" w:pos="4513"/>
        <w:tab w:val="right" w:pos="9026"/>
      </w:tabs>
      <w:spacing w:after="0" w:line="240" w:lineRule="auto"/>
    </w:pPr>
  </w:style>
  <w:style w:type="character" w:customStyle="1" w:styleId="FooterChar">
    <w:name w:val="Footer Char"/>
    <w:basedOn w:val="DefaultParagraphFont"/>
    <w:link w:val="Footer"/>
    <w:rsid w:val="00CA128D"/>
    <w:rPr>
      <w:rFonts w:asciiTheme="minorHAnsi" w:eastAsiaTheme="minorEastAsia" w:hAnsiTheme="minorHAnsi" w:cstheme="minorBidi"/>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ZW" w:eastAsia="en-ZW"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paragraph" w:styleId="Header">
    <w:name w:val="header"/>
    <w:basedOn w:val="Normal"/>
    <w:link w:val="HeaderChar"/>
    <w:uiPriority w:val="99"/>
    <w:rsid w:val="00CA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28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CA128D"/>
    <w:pPr>
      <w:tabs>
        <w:tab w:val="center" w:pos="4513"/>
        <w:tab w:val="right" w:pos="9026"/>
      </w:tabs>
      <w:spacing w:after="0" w:line="240" w:lineRule="auto"/>
    </w:pPr>
  </w:style>
  <w:style w:type="character" w:customStyle="1" w:styleId="FooterChar">
    <w:name w:val="Footer Char"/>
    <w:basedOn w:val="DefaultParagraphFont"/>
    <w:link w:val="Footer"/>
    <w:rsid w:val="00CA128D"/>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2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3B64D-78D1-4E84-80D6-1E168F42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dcterms:created xsi:type="dcterms:W3CDTF">2025-10-31T09:09:00Z</dcterms:created>
  <dcterms:modified xsi:type="dcterms:W3CDTF">2025-10-31T09:09:00Z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7033ED42C0AE7A556E04D368F7E76EE3_31</vt:lpwstr>
  </property>
</Properties>
</file>