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E2" w:rsidRDefault="004D0AE2" w:rsidP="00A916EE">
      <w:pPr>
        <w:pStyle w:val="NoSpacing"/>
        <w:jc w:val="both"/>
        <w:rPr>
          <w:rFonts w:ascii="Times New Roman" w:hAnsi="Times New Roman" w:cs="Times New Roman"/>
          <w:b/>
          <w:szCs w:val="24"/>
        </w:rPr>
      </w:pPr>
      <w:r>
        <w:rPr>
          <w:rFonts w:ascii="Times New Roman" w:hAnsi="Times New Roman" w:cs="Times New Roman"/>
          <w:b/>
          <w:szCs w:val="24"/>
        </w:rPr>
        <w:t>TENDAI TARINDA</w:t>
      </w: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b/>
          <w:szCs w:val="24"/>
        </w:rPr>
      </w:pPr>
      <w:r>
        <w:rPr>
          <w:rFonts w:ascii="Times New Roman" w:hAnsi="Times New Roman" w:cs="Times New Roman"/>
          <w:b/>
          <w:szCs w:val="24"/>
        </w:rPr>
        <w:t>CAKE FAIRY (PRIVATE) LIMITED</w:t>
      </w: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szCs w:val="24"/>
        </w:rPr>
      </w:pPr>
      <w:r>
        <w:rPr>
          <w:rFonts w:ascii="Times New Roman" w:hAnsi="Times New Roman" w:cs="Times New Roman"/>
          <w:b/>
          <w:szCs w:val="24"/>
        </w:rPr>
        <w:t>KATHY MWANZA</w:t>
      </w:r>
    </w:p>
    <w:p w:rsidR="004D0AE2" w:rsidRDefault="004D0AE2" w:rsidP="00A916EE">
      <w:pPr>
        <w:pStyle w:val="NoSpacing"/>
        <w:jc w:val="both"/>
        <w:rPr>
          <w:rFonts w:ascii="Times New Roman" w:hAnsi="Times New Roman" w:cs="Times New Roman"/>
          <w:szCs w:val="24"/>
        </w:rPr>
      </w:pPr>
    </w:p>
    <w:p w:rsidR="004D0AE2" w:rsidRDefault="004D0AE2" w:rsidP="00A916EE">
      <w:pPr>
        <w:pStyle w:val="NoSpacing"/>
        <w:jc w:val="both"/>
        <w:rPr>
          <w:rFonts w:ascii="Times New Roman" w:hAnsi="Times New Roman" w:cs="Times New Roman"/>
          <w:szCs w:val="24"/>
        </w:rPr>
      </w:pPr>
    </w:p>
    <w:p w:rsidR="004D0AE2" w:rsidRDefault="004D0AE2" w:rsidP="00A916E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4D0AE2" w:rsidRDefault="004D0AE2" w:rsidP="00A916EE">
      <w:pPr>
        <w:pStyle w:val="NoSpacing"/>
        <w:jc w:val="both"/>
        <w:rPr>
          <w:rFonts w:ascii="Times New Roman" w:hAnsi="Times New Roman" w:cs="Times New Roman"/>
          <w:szCs w:val="24"/>
        </w:rPr>
      </w:pPr>
      <w:r>
        <w:rPr>
          <w:rFonts w:ascii="Times New Roman" w:hAnsi="Times New Roman" w:cs="Times New Roman"/>
          <w:szCs w:val="24"/>
        </w:rPr>
        <w:t>KABASA J</w:t>
      </w:r>
    </w:p>
    <w:p w:rsidR="004D0AE2" w:rsidRDefault="004D0AE2" w:rsidP="00A916EE">
      <w:pPr>
        <w:pStyle w:val="NoSpacing"/>
        <w:jc w:val="both"/>
        <w:rPr>
          <w:rFonts w:ascii="Times New Roman" w:hAnsi="Times New Roman" w:cs="Times New Roman"/>
          <w:szCs w:val="24"/>
        </w:rPr>
      </w:pPr>
      <w:r>
        <w:rPr>
          <w:rFonts w:ascii="Times New Roman" w:hAnsi="Times New Roman" w:cs="Times New Roman"/>
          <w:szCs w:val="24"/>
        </w:rPr>
        <w:t>BULAWAYO 11 &amp; 27 FEBRUARY 2020</w:t>
      </w:r>
    </w:p>
    <w:p w:rsidR="004D0AE2" w:rsidRDefault="004D0AE2" w:rsidP="00A916EE">
      <w:pPr>
        <w:pStyle w:val="NoSpacing"/>
        <w:jc w:val="both"/>
        <w:rPr>
          <w:rFonts w:ascii="Times New Roman" w:hAnsi="Times New Roman" w:cs="Times New Roman"/>
          <w:szCs w:val="24"/>
        </w:rPr>
      </w:pP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4D0AE2" w:rsidRDefault="004D0AE2" w:rsidP="00A916EE">
      <w:pPr>
        <w:pStyle w:val="NoSpacing"/>
        <w:jc w:val="both"/>
        <w:rPr>
          <w:rFonts w:ascii="Times New Roman" w:hAnsi="Times New Roman" w:cs="Times New Roman"/>
          <w:b/>
          <w:szCs w:val="24"/>
        </w:rPr>
      </w:pPr>
    </w:p>
    <w:p w:rsidR="004D0AE2" w:rsidRDefault="00B836B9" w:rsidP="00A916EE">
      <w:pPr>
        <w:pStyle w:val="NoSpacing"/>
        <w:jc w:val="both"/>
        <w:rPr>
          <w:rFonts w:ascii="Times New Roman" w:hAnsi="Times New Roman" w:cs="Times New Roman"/>
          <w:b/>
          <w:szCs w:val="24"/>
        </w:rPr>
      </w:pPr>
      <w:r>
        <w:rPr>
          <w:rFonts w:ascii="Times New Roman" w:hAnsi="Times New Roman" w:cs="Times New Roman"/>
          <w:i/>
          <w:szCs w:val="24"/>
        </w:rPr>
        <w:t xml:space="preserve">B </w:t>
      </w:r>
      <w:proofErr w:type="spellStart"/>
      <w:r>
        <w:rPr>
          <w:rFonts w:ascii="Times New Roman" w:hAnsi="Times New Roman" w:cs="Times New Roman"/>
          <w:i/>
          <w:szCs w:val="24"/>
        </w:rPr>
        <w:t>Khuphe</w:t>
      </w:r>
      <w:proofErr w:type="spellEnd"/>
      <w:r>
        <w:rPr>
          <w:rFonts w:ascii="Times New Roman" w:hAnsi="Times New Roman" w:cs="Times New Roman"/>
          <w:i/>
          <w:szCs w:val="24"/>
        </w:rPr>
        <w:t xml:space="preserve"> </w:t>
      </w:r>
      <w:r w:rsidR="005C79AB">
        <w:rPr>
          <w:rFonts w:ascii="Times New Roman" w:hAnsi="Times New Roman" w:cs="Times New Roman"/>
          <w:i/>
          <w:szCs w:val="24"/>
        </w:rPr>
        <w:t>with C</w:t>
      </w:r>
      <w:r>
        <w:rPr>
          <w:rFonts w:ascii="Times New Roman" w:hAnsi="Times New Roman" w:cs="Times New Roman"/>
          <w:i/>
          <w:szCs w:val="24"/>
        </w:rPr>
        <w:t xml:space="preserve"> </w:t>
      </w:r>
      <w:r w:rsidR="004D0AE2" w:rsidRPr="004D0AE2">
        <w:rPr>
          <w:rFonts w:ascii="Times New Roman" w:hAnsi="Times New Roman" w:cs="Times New Roman"/>
          <w:i/>
          <w:szCs w:val="24"/>
        </w:rPr>
        <w:t xml:space="preserve">M </w:t>
      </w:r>
      <w:proofErr w:type="spellStart"/>
      <w:r w:rsidR="004D0AE2" w:rsidRPr="004D0AE2">
        <w:rPr>
          <w:rFonts w:ascii="Times New Roman" w:hAnsi="Times New Roman" w:cs="Times New Roman"/>
          <w:i/>
          <w:szCs w:val="24"/>
        </w:rPr>
        <w:t>Jakachira</w:t>
      </w:r>
      <w:proofErr w:type="spellEnd"/>
      <w:r w:rsidR="004D0AE2">
        <w:rPr>
          <w:rFonts w:ascii="Times New Roman" w:hAnsi="Times New Roman" w:cs="Times New Roman"/>
          <w:b/>
          <w:szCs w:val="24"/>
        </w:rPr>
        <w:t xml:space="preserve">, </w:t>
      </w:r>
      <w:r w:rsidR="004D0AE2" w:rsidRPr="004D0AE2">
        <w:rPr>
          <w:rFonts w:ascii="Times New Roman" w:hAnsi="Times New Roman" w:cs="Times New Roman"/>
          <w:szCs w:val="24"/>
        </w:rPr>
        <w:t>for the applicant</w:t>
      </w:r>
    </w:p>
    <w:p w:rsidR="004D0AE2" w:rsidRDefault="004D0AE2" w:rsidP="00A916EE">
      <w:pPr>
        <w:pStyle w:val="NoSpacing"/>
        <w:jc w:val="both"/>
        <w:rPr>
          <w:rFonts w:ascii="Times New Roman" w:hAnsi="Times New Roman" w:cs="Times New Roman"/>
          <w:b/>
          <w:szCs w:val="24"/>
        </w:rPr>
      </w:pPr>
      <w:r w:rsidRPr="004D0AE2">
        <w:rPr>
          <w:rFonts w:ascii="Times New Roman" w:hAnsi="Times New Roman" w:cs="Times New Roman"/>
          <w:i/>
          <w:szCs w:val="24"/>
        </w:rPr>
        <w:t xml:space="preserve">T </w:t>
      </w:r>
      <w:proofErr w:type="spellStart"/>
      <w:r w:rsidRPr="004D0AE2">
        <w:rPr>
          <w:rFonts w:ascii="Times New Roman" w:hAnsi="Times New Roman" w:cs="Times New Roman"/>
          <w:i/>
          <w:szCs w:val="24"/>
        </w:rPr>
        <w:t>Masiye</w:t>
      </w:r>
      <w:proofErr w:type="spellEnd"/>
      <w:r>
        <w:rPr>
          <w:rFonts w:ascii="Times New Roman" w:hAnsi="Times New Roman" w:cs="Times New Roman"/>
          <w:i/>
          <w:szCs w:val="24"/>
        </w:rPr>
        <w:t>,</w:t>
      </w:r>
      <w:r>
        <w:rPr>
          <w:rFonts w:ascii="Times New Roman" w:hAnsi="Times New Roman" w:cs="Times New Roman"/>
          <w:b/>
          <w:szCs w:val="24"/>
        </w:rPr>
        <w:t xml:space="preserve"> </w:t>
      </w:r>
      <w:r w:rsidRPr="004D0AE2">
        <w:rPr>
          <w:rFonts w:ascii="Times New Roman" w:hAnsi="Times New Roman" w:cs="Times New Roman"/>
          <w:szCs w:val="24"/>
        </w:rPr>
        <w:t>for the 2</w:t>
      </w:r>
      <w:r w:rsidRPr="004D0AE2">
        <w:rPr>
          <w:rFonts w:ascii="Times New Roman" w:hAnsi="Times New Roman" w:cs="Times New Roman"/>
          <w:szCs w:val="24"/>
          <w:vertAlign w:val="superscript"/>
        </w:rPr>
        <w:t>nd</w:t>
      </w:r>
      <w:r w:rsidRPr="004D0AE2">
        <w:rPr>
          <w:rFonts w:ascii="Times New Roman" w:hAnsi="Times New Roman" w:cs="Times New Roman"/>
          <w:szCs w:val="24"/>
        </w:rPr>
        <w:t xml:space="preserve"> respondent</w:t>
      </w:r>
    </w:p>
    <w:p w:rsidR="004D0AE2" w:rsidRDefault="004D0AE2" w:rsidP="00A916EE">
      <w:pPr>
        <w:pStyle w:val="NoSpacing"/>
        <w:jc w:val="both"/>
        <w:rPr>
          <w:rFonts w:ascii="Times New Roman" w:hAnsi="Times New Roman" w:cs="Times New Roman"/>
          <w:b/>
          <w:szCs w:val="24"/>
        </w:rPr>
      </w:pPr>
    </w:p>
    <w:p w:rsidR="004D0AE2" w:rsidRDefault="004D0AE2" w:rsidP="00A916EE">
      <w:pPr>
        <w:pStyle w:val="NoSpacing"/>
        <w:jc w:val="both"/>
        <w:rPr>
          <w:rFonts w:ascii="Times New Roman" w:hAnsi="Times New Roman" w:cs="Times New Roman"/>
          <w:i/>
          <w:szCs w:val="24"/>
        </w:rPr>
      </w:pPr>
    </w:p>
    <w:p w:rsidR="004D0AE2" w:rsidRDefault="004D0AE2" w:rsidP="00A916EE">
      <w:pPr>
        <w:pStyle w:val="NoSpacing"/>
        <w:spacing w:line="360" w:lineRule="auto"/>
        <w:jc w:val="both"/>
        <w:rPr>
          <w:rFonts w:ascii="Times New Roman" w:hAnsi="Times New Roman" w:cs="Times New Roman"/>
          <w:szCs w:val="24"/>
        </w:rPr>
      </w:pPr>
      <w:r>
        <w:rPr>
          <w:szCs w:val="24"/>
        </w:rPr>
        <w:tab/>
      </w:r>
      <w:r>
        <w:rPr>
          <w:rFonts w:ascii="Times New Roman" w:hAnsi="Times New Roman" w:cs="Times New Roman"/>
          <w:b/>
          <w:szCs w:val="24"/>
        </w:rPr>
        <w:t>KABASA J:</w:t>
      </w:r>
      <w:r>
        <w:rPr>
          <w:b/>
          <w:szCs w:val="24"/>
        </w:rPr>
        <w:tab/>
      </w:r>
      <w:r>
        <w:rPr>
          <w:b/>
          <w:szCs w:val="24"/>
        </w:rPr>
        <w:tab/>
      </w:r>
      <w:r w:rsidRPr="004D0AE2">
        <w:rPr>
          <w:rFonts w:ascii="Times New Roman" w:hAnsi="Times New Roman" w:cs="Times New Roman"/>
          <w:szCs w:val="24"/>
        </w:rPr>
        <w:t>This is an application for the placement</w:t>
      </w:r>
      <w:r w:rsidR="00257B32">
        <w:rPr>
          <w:rFonts w:ascii="Times New Roman" w:hAnsi="Times New Roman" w:cs="Times New Roman"/>
          <w:szCs w:val="24"/>
        </w:rPr>
        <w:t xml:space="preserve"> of the first respondent under Provisional Judicial M</w:t>
      </w:r>
      <w:r w:rsidRPr="004D0AE2">
        <w:rPr>
          <w:rFonts w:ascii="Times New Roman" w:hAnsi="Times New Roman" w:cs="Times New Roman"/>
          <w:szCs w:val="24"/>
        </w:rPr>
        <w:t>anagement in terms of section 207 as read with section 206 (g) of the Companies Act (Chapter 24:03).</w:t>
      </w:r>
    </w:p>
    <w:p w:rsidR="004D0AE2" w:rsidRDefault="004D0AE2" w:rsidP="00A916EE">
      <w:pPr>
        <w:pStyle w:val="NoSpacing"/>
        <w:spacing w:line="360" w:lineRule="auto"/>
        <w:jc w:val="both"/>
        <w:rPr>
          <w:rFonts w:ascii="Times New Roman" w:hAnsi="Times New Roman" w:cs="Times New Roman"/>
          <w:szCs w:val="24"/>
        </w:rPr>
      </w:pPr>
    </w:p>
    <w:p w:rsidR="009C2E52" w:rsidRDefault="004D0AE2"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tab/>
        <w:t>The background to this matter is this.  The applicant and 2</w:t>
      </w:r>
      <w:r w:rsidRPr="004D0AE2">
        <w:rPr>
          <w:rFonts w:ascii="Times New Roman" w:hAnsi="Times New Roman" w:cs="Times New Roman"/>
          <w:szCs w:val="24"/>
          <w:vertAlign w:val="superscript"/>
        </w:rPr>
        <w:t>nd</w:t>
      </w:r>
      <w:r>
        <w:rPr>
          <w:rFonts w:ascii="Times New Roman" w:hAnsi="Times New Roman" w:cs="Times New Roman"/>
          <w:szCs w:val="24"/>
        </w:rPr>
        <w:t xml:space="preserve"> respondent were in an unregistered customary law union when the 1</w:t>
      </w:r>
      <w:r w:rsidRPr="004D0AE2">
        <w:rPr>
          <w:rFonts w:ascii="Times New Roman" w:hAnsi="Times New Roman" w:cs="Times New Roman"/>
          <w:szCs w:val="24"/>
          <w:vertAlign w:val="superscript"/>
        </w:rPr>
        <w:t>st</w:t>
      </w:r>
      <w:r>
        <w:rPr>
          <w:rFonts w:ascii="Times New Roman" w:hAnsi="Times New Roman" w:cs="Times New Roman"/>
          <w:szCs w:val="24"/>
        </w:rPr>
        <w:t xml:space="preserve"> respondent was incorporated.  The applicant is a co-director, with the parties each owning a 50% stake in the company.  The applicant and 2</w:t>
      </w:r>
      <w:r w:rsidRPr="004D0AE2">
        <w:rPr>
          <w:rFonts w:ascii="Times New Roman" w:hAnsi="Times New Roman" w:cs="Times New Roman"/>
          <w:szCs w:val="24"/>
          <w:vertAlign w:val="superscript"/>
        </w:rPr>
        <w:t>nd</w:t>
      </w:r>
      <w:r>
        <w:rPr>
          <w:rFonts w:ascii="Times New Roman" w:hAnsi="Times New Roman" w:cs="Times New Roman"/>
          <w:szCs w:val="24"/>
        </w:rPr>
        <w:t xml:space="preserve"> r</w:t>
      </w:r>
      <w:r w:rsidR="00102193">
        <w:rPr>
          <w:rFonts w:ascii="Times New Roman" w:hAnsi="Times New Roman" w:cs="Times New Roman"/>
          <w:szCs w:val="24"/>
        </w:rPr>
        <w:t>espondent’s relationship has hi</w:t>
      </w:r>
      <w:r>
        <w:rPr>
          <w:rFonts w:ascii="Times New Roman" w:hAnsi="Times New Roman" w:cs="Times New Roman"/>
          <w:szCs w:val="24"/>
        </w:rPr>
        <w:t xml:space="preserve">t </w:t>
      </w:r>
      <w:r w:rsidR="009C2E52">
        <w:rPr>
          <w:rFonts w:ascii="Times New Roman" w:hAnsi="Times New Roman" w:cs="Times New Roman"/>
          <w:szCs w:val="24"/>
        </w:rPr>
        <w:t>t</w:t>
      </w:r>
      <w:r>
        <w:rPr>
          <w:rFonts w:ascii="Times New Roman" w:hAnsi="Times New Roman" w:cs="Times New Roman"/>
          <w:szCs w:val="24"/>
        </w:rPr>
        <w:t>urbulent</w:t>
      </w:r>
      <w:r w:rsidR="009C2E52">
        <w:rPr>
          <w:rFonts w:ascii="Times New Roman" w:hAnsi="Times New Roman" w:cs="Times New Roman"/>
          <w:szCs w:val="24"/>
        </w:rPr>
        <w:t xml:space="preserve"> times and the 2</w:t>
      </w:r>
      <w:r w:rsidR="009C2E52" w:rsidRPr="009C2E52">
        <w:rPr>
          <w:rFonts w:ascii="Times New Roman" w:hAnsi="Times New Roman" w:cs="Times New Roman"/>
          <w:szCs w:val="24"/>
          <w:vertAlign w:val="superscript"/>
        </w:rPr>
        <w:t>nd</w:t>
      </w:r>
      <w:r w:rsidR="009C2E52">
        <w:rPr>
          <w:rFonts w:ascii="Times New Roman" w:hAnsi="Times New Roman" w:cs="Times New Roman"/>
          <w:szCs w:val="24"/>
        </w:rPr>
        <w:t xml:space="preserve"> respondent has issued summons seeking confirmation of the dissolution of the</w:t>
      </w:r>
      <w:r w:rsidR="00D740BA">
        <w:rPr>
          <w:rFonts w:ascii="Times New Roman" w:hAnsi="Times New Roman" w:cs="Times New Roman"/>
          <w:szCs w:val="24"/>
        </w:rPr>
        <w:t xml:space="preserve"> tacit</w:t>
      </w:r>
      <w:r w:rsidR="009C2E52">
        <w:rPr>
          <w:rFonts w:ascii="Times New Roman" w:hAnsi="Times New Roman" w:cs="Times New Roman"/>
          <w:szCs w:val="24"/>
        </w:rPr>
        <w:t xml:space="preserve"> universal partnership.  The action also seeks the distribution of the parties’ assets.  The action, filed under case number HC 2085/</w:t>
      </w:r>
      <w:r w:rsidR="00197BA7">
        <w:rPr>
          <w:rFonts w:ascii="Times New Roman" w:hAnsi="Times New Roman" w:cs="Times New Roman"/>
          <w:szCs w:val="24"/>
        </w:rPr>
        <w:t xml:space="preserve">19 </w:t>
      </w:r>
      <w:r w:rsidR="009C2E52">
        <w:rPr>
          <w:rFonts w:ascii="Times New Roman" w:hAnsi="Times New Roman" w:cs="Times New Roman"/>
          <w:szCs w:val="24"/>
        </w:rPr>
        <w:t>sets out the property to be shared in the declaration.  I will refer to only part of that declaration which is relevant to the present proceedings as will more fully appear later on in this judgment.  That part reads:-</w:t>
      </w:r>
    </w:p>
    <w:p w:rsidR="009C2E52" w:rsidRDefault="009C2E52" w:rsidP="00A916EE">
      <w:pPr>
        <w:pStyle w:val="NoSpacing"/>
        <w:spacing w:line="360" w:lineRule="auto"/>
        <w:jc w:val="both"/>
        <w:rPr>
          <w:rFonts w:ascii="Times New Roman" w:hAnsi="Times New Roman" w:cs="Times New Roman"/>
          <w:szCs w:val="24"/>
        </w:rPr>
      </w:pPr>
    </w:p>
    <w:p w:rsidR="004D0AE2" w:rsidRDefault="009C2E52"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“Plaintiff and defendant have over the years acquired the following property in a partnership, jointly and severally: </w:t>
      </w:r>
      <w:r w:rsidR="004D0AE2">
        <w:rPr>
          <w:rFonts w:ascii="Times New Roman" w:hAnsi="Times New Roman" w:cs="Times New Roman"/>
          <w:szCs w:val="24"/>
        </w:rPr>
        <w:t xml:space="preserve"> </w:t>
      </w:r>
    </w:p>
    <w:p w:rsidR="009C2E52" w:rsidRDefault="009C2E52"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50% shares in Cake Fairy (Private) Limited registered in the name of the plaintiff 50% shares in Cake Fairy (Private) Limited registered in the name of the defendant 50% shares in </w:t>
      </w:r>
      <w:proofErr w:type="spellStart"/>
      <w:r>
        <w:rPr>
          <w:rFonts w:ascii="Times New Roman" w:hAnsi="Times New Roman" w:cs="Times New Roman"/>
          <w:szCs w:val="24"/>
        </w:rPr>
        <w:t>favour</w:t>
      </w:r>
      <w:proofErr w:type="spellEnd"/>
      <w:r>
        <w:rPr>
          <w:rFonts w:ascii="Times New Roman" w:hAnsi="Times New Roman" w:cs="Times New Roman"/>
          <w:szCs w:val="24"/>
        </w:rPr>
        <w:t xml:space="preserve"> o</w:t>
      </w:r>
      <w:r w:rsidR="00257B32">
        <w:rPr>
          <w:rFonts w:ascii="Times New Roman" w:hAnsi="Times New Roman" w:cs="Times New Roman"/>
          <w:szCs w:val="24"/>
        </w:rPr>
        <w:t xml:space="preserve">f plaintiff in </w:t>
      </w:r>
      <w:proofErr w:type="spellStart"/>
      <w:r w:rsidR="00257B32">
        <w:rPr>
          <w:rFonts w:ascii="Times New Roman" w:hAnsi="Times New Roman" w:cs="Times New Roman"/>
          <w:szCs w:val="24"/>
        </w:rPr>
        <w:t>Equitrail</w:t>
      </w:r>
      <w:proofErr w:type="spellEnd"/>
      <w:r w:rsidR="00257B32">
        <w:rPr>
          <w:rFonts w:ascii="Times New Roman" w:hAnsi="Times New Roman" w:cs="Times New Roman"/>
          <w:szCs w:val="24"/>
        </w:rPr>
        <w:t xml:space="preserve"> Africa</w:t>
      </w:r>
      <w:r>
        <w:rPr>
          <w:rFonts w:ascii="Times New Roman" w:hAnsi="Times New Roman" w:cs="Times New Roman"/>
          <w:szCs w:val="24"/>
        </w:rPr>
        <w:t xml:space="preserve"> (Private) Limited, a company registered in </w:t>
      </w:r>
      <w:r w:rsidR="00257B32">
        <w:rPr>
          <w:rFonts w:ascii="Times New Roman" w:hAnsi="Times New Roman" w:cs="Times New Roman"/>
          <w:szCs w:val="24"/>
        </w:rPr>
        <w:t xml:space="preserve">the </w:t>
      </w:r>
      <w:r>
        <w:rPr>
          <w:rFonts w:ascii="Times New Roman" w:hAnsi="Times New Roman" w:cs="Times New Roman"/>
          <w:szCs w:val="24"/>
        </w:rPr>
        <w:t>Republic of South Africa.</w:t>
      </w:r>
    </w:p>
    <w:p w:rsidR="00076A89" w:rsidRDefault="00076A89" w:rsidP="00A916EE">
      <w:pPr>
        <w:pStyle w:val="NoSpacing"/>
        <w:ind w:left="720"/>
        <w:jc w:val="both"/>
        <w:rPr>
          <w:rFonts w:ascii="Times New Roman" w:hAnsi="Times New Roman" w:cs="Times New Roman"/>
          <w:szCs w:val="24"/>
        </w:rPr>
      </w:pPr>
      <w:r>
        <w:rPr>
          <w:rFonts w:ascii="Times New Roman" w:hAnsi="Times New Roman" w:cs="Times New Roman"/>
          <w:szCs w:val="24"/>
        </w:rPr>
        <w:lastRenderedPageBreak/>
        <w:t xml:space="preserve">50% shares in </w:t>
      </w:r>
      <w:proofErr w:type="spellStart"/>
      <w:r>
        <w:rPr>
          <w:rFonts w:ascii="Times New Roman" w:hAnsi="Times New Roman" w:cs="Times New Roman"/>
          <w:szCs w:val="24"/>
        </w:rPr>
        <w:t>favour</w:t>
      </w:r>
      <w:proofErr w:type="spellEnd"/>
      <w:r>
        <w:rPr>
          <w:rFonts w:ascii="Times New Roman" w:hAnsi="Times New Roman" w:cs="Times New Roman"/>
          <w:szCs w:val="24"/>
        </w:rPr>
        <w:t xml:space="preserve"> of defendant in </w:t>
      </w:r>
      <w:proofErr w:type="spellStart"/>
      <w:r>
        <w:rPr>
          <w:rFonts w:ascii="Times New Roman" w:hAnsi="Times New Roman" w:cs="Times New Roman"/>
          <w:szCs w:val="24"/>
        </w:rPr>
        <w:t>Equitrail</w:t>
      </w:r>
      <w:proofErr w:type="spellEnd"/>
      <w:r>
        <w:rPr>
          <w:rFonts w:ascii="Times New Roman" w:hAnsi="Times New Roman" w:cs="Times New Roman"/>
          <w:szCs w:val="24"/>
        </w:rPr>
        <w:t xml:space="preserve"> Africa (Private) Limited aforementioned.</w:t>
      </w:r>
    </w:p>
    <w:p w:rsidR="00076A89" w:rsidRDefault="00076A89"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60% shares in </w:t>
      </w:r>
      <w:proofErr w:type="spellStart"/>
      <w:r>
        <w:rPr>
          <w:rFonts w:ascii="Times New Roman" w:hAnsi="Times New Roman" w:cs="Times New Roman"/>
          <w:szCs w:val="24"/>
        </w:rPr>
        <w:t>favour</w:t>
      </w:r>
      <w:proofErr w:type="spellEnd"/>
      <w:r>
        <w:rPr>
          <w:rFonts w:ascii="Times New Roman" w:hAnsi="Times New Roman" w:cs="Times New Roman"/>
          <w:szCs w:val="24"/>
        </w:rPr>
        <w:t xml:space="preserve"> of </w:t>
      </w:r>
      <w:r w:rsidR="003B6D27">
        <w:rPr>
          <w:rFonts w:ascii="Times New Roman" w:hAnsi="Times New Roman" w:cs="Times New Roman"/>
          <w:szCs w:val="24"/>
        </w:rPr>
        <w:t xml:space="preserve">defendant in </w:t>
      </w:r>
      <w:proofErr w:type="spellStart"/>
      <w:r w:rsidR="003B6D27">
        <w:rPr>
          <w:rFonts w:ascii="Times New Roman" w:hAnsi="Times New Roman" w:cs="Times New Roman"/>
          <w:szCs w:val="24"/>
        </w:rPr>
        <w:t>Equitrail</w:t>
      </w:r>
      <w:proofErr w:type="spellEnd"/>
      <w:r w:rsidR="003B6D27">
        <w:rPr>
          <w:rFonts w:ascii="Times New Roman" w:hAnsi="Times New Roman" w:cs="Times New Roman"/>
          <w:szCs w:val="24"/>
        </w:rPr>
        <w:t xml:space="preserve"> Africa Zimbabwe (Private) Limited, a company registered in terms of the laws of Zimbabwe.</w:t>
      </w:r>
    </w:p>
    <w:p w:rsidR="003B6D27" w:rsidRDefault="003B6D27" w:rsidP="00A916EE">
      <w:pPr>
        <w:pStyle w:val="NoSpacing"/>
        <w:ind w:left="720"/>
        <w:jc w:val="both"/>
        <w:rPr>
          <w:rFonts w:ascii="Times New Roman" w:hAnsi="Times New Roman" w:cs="Times New Roman"/>
          <w:szCs w:val="24"/>
        </w:rPr>
      </w:pPr>
      <w:r>
        <w:rPr>
          <w:rFonts w:ascii="Times New Roman" w:hAnsi="Times New Roman" w:cs="Times New Roman"/>
          <w:szCs w:val="24"/>
        </w:rPr>
        <w:t>100</w:t>
      </w:r>
      <w:r w:rsidR="00591BF4">
        <w:rPr>
          <w:rFonts w:ascii="Times New Roman" w:hAnsi="Times New Roman" w:cs="Times New Roman"/>
          <w:szCs w:val="24"/>
        </w:rPr>
        <w:t xml:space="preserve">% shares in </w:t>
      </w:r>
      <w:proofErr w:type="spellStart"/>
      <w:r w:rsidR="00591BF4">
        <w:rPr>
          <w:rFonts w:ascii="Times New Roman" w:hAnsi="Times New Roman" w:cs="Times New Roman"/>
          <w:szCs w:val="24"/>
        </w:rPr>
        <w:t>Sakhaya</w:t>
      </w:r>
      <w:proofErr w:type="spellEnd"/>
      <w:r w:rsidR="00591BF4">
        <w:rPr>
          <w:rFonts w:ascii="Times New Roman" w:hAnsi="Times New Roman" w:cs="Times New Roman"/>
          <w:szCs w:val="24"/>
        </w:rPr>
        <w:t xml:space="preserve"> Freight registered in South Africa</w:t>
      </w:r>
      <w:r w:rsidR="00445CE5">
        <w:rPr>
          <w:rFonts w:ascii="Times New Roman" w:hAnsi="Times New Roman" w:cs="Times New Roman"/>
          <w:szCs w:val="24"/>
        </w:rPr>
        <w:t>.”</w:t>
      </w:r>
    </w:p>
    <w:p w:rsidR="00C44FE4" w:rsidRDefault="00C44FE4" w:rsidP="00C44FE4">
      <w:pPr>
        <w:pStyle w:val="NoSpacing"/>
        <w:jc w:val="both"/>
        <w:rPr>
          <w:rFonts w:ascii="Times New Roman" w:hAnsi="Times New Roman" w:cs="Times New Roman"/>
          <w:szCs w:val="24"/>
        </w:rPr>
      </w:pPr>
    </w:p>
    <w:p w:rsidR="00591BF4" w:rsidRDefault="00591BF4" w:rsidP="00C44FE4">
      <w:pPr>
        <w:pStyle w:val="NoSpacing"/>
        <w:jc w:val="both"/>
        <w:rPr>
          <w:rFonts w:ascii="Times New Roman" w:hAnsi="Times New Roman" w:cs="Times New Roman"/>
          <w:szCs w:val="24"/>
        </w:rPr>
      </w:pPr>
      <w:r>
        <w:rPr>
          <w:rFonts w:ascii="Times New Roman" w:hAnsi="Times New Roman" w:cs="Times New Roman"/>
          <w:szCs w:val="24"/>
        </w:rPr>
        <w:t>The 2</w:t>
      </w:r>
      <w:r w:rsidRPr="00591BF4">
        <w:rPr>
          <w:rFonts w:ascii="Times New Roman" w:hAnsi="Times New Roman" w:cs="Times New Roman"/>
          <w:szCs w:val="24"/>
          <w:vertAlign w:val="superscript"/>
        </w:rPr>
        <w:t>nd</w:t>
      </w:r>
      <w:r>
        <w:rPr>
          <w:rFonts w:ascii="Times New Roman" w:hAnsi="Times New Roman" w:cs="Times New Roman"/>
          <w:szCs w:val="24"/>
        </w:rPr>
        <w:t xml:space="preserve"> respondent who is the plaintiff in HC 2085/19 is claiming a 100% sh</w:t>
      </w:r>
      <w:r w:rsidR="00257B32">
        <w:rPr>
          <w:rFonts w:ascii="Times New Roman" w:hAnsi="Times New Roman" w:cs="Times New Roman"/>
          <w:szCs w:val="24"/>
        </w:rPr>
        <w:t>ares held by Cake F</w:t>
      </w:r>
      <w:r>
        <w:rPr>
          <w:rFonts w:ascii="Times New Roman" w:hAnsi="Times New Roman" w:cs="Times New Roman"/>
          <w:szCs w:val="24"/>
        </w:rPr>
        <w:t xml:space="preserve">airy (Private) </w:t>
      </w:r>
      <w:r w:rsidR="00445CE5">
        <w:rPr>
          <w:rFonts w:ascii="Times New Roman" w:hAnsi="Times New Roman" w:cs="Times New Roman"/>
          <w:szCs w:val="24"/>
        </w:rPr>
        <w:t>Limited</w:t>
      </w:r>
      <w:r>
        <w:rPr>
          <w:rFonts w:ascii="Times New Roman" w:hAnsi="Times New Roman" w:cs="Times New Roman"/>
          <w:szCs w:val="24"/>
        </w:rPr>
        <w:t>.”</w:t>
      </w:r>
    </w:p>
    <w:p w:rsidR="00591BF4" w:rsidRDefault="00591BF4" w:rsidP="00A916EE">
      <w:pPr>
        <w:pStyle w:val="NoSpacing"/>
        <w:ind w:left="720"/>
        <w:jc w:val="both"/>
        <w:rPr>
          <w:rFonts w:ascii="Times New Roman" w:hAnsi="Times New Roman" w:cs="Times New Roman"/>
          <w:szCs w:val="24"/>
        </w:rPr>
      </w:pPr>
    </w:p>
    <w:p w:rsidR="00591BF4" w:rsidRDefault="00591BF4"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Due to the souring of their relationship, on the 9</w:t>
      </w:r>
      <w:r w:rsidRPr="00591BF4">
        <w:rPr>
          <w:rFonts w:ascii="Times New Roman" w:hAnsi="Times New Roman" w:cs="Times New Roman"/>
          <w:szCs w:val="24"/>
          <w:vertAlign w:val="superscript"/>
        </w:rPr>
        <w:t>th</w:t>
      </w:r>
      <w:r>
        <w:rPr>
          <w:rFonts w:ascii="Times New Roman" w:hAnsi="Times New Roman" w:cs="Times New Roman"/>
          <w:szCs w:val="24"/>
        </w:rPr>
        <w:t xml:space="preserve"> August 2019 a protection order was granted against the applicant and the order was by consent.  The protection order, </w:t>
      </w:r>
      <w:r w:rsidRPr="00257B32">
        <w:rPr>
          <w:rFonts w:ascii="Times New Roman" w:hAnsi="Times New Roman" w:cs="Times New Roman"/>
          <w:i/>
          <w:szCs w:val="24"/>
        </w:rPr>
        <w:t>inter alia,</w:t>
      </w:r>
      <w:r>
        <w:rPr>
          <w:rFonts w:ascii="Times New Roman" w:hAnsi="Times New Roman" w:cs="Times New Roman"/>
          <w:szCs w:val="24"/>
        </w:rPr>
        <w:t xml:space="preserve"> ordered the applicant not to visit </w:t>
      </w:r>
      <w:r w:rsidR="000C03A1">
        <w:rPr>
          <w:rFonts w:ascii="Times New Roman" w:hAnsi="Times New Roman" w:cs="Times New Roman"/>
          <w:szCs w:val="24"/>
        </w:rPr>
        <w:t>2nd</w:t>
      </w:r>
      <w:r w:rsidR="00F23624">
        <w:rPr>
          <w:rFonts w:ascii="Times New Roman" w:hAnsi="Times New Roman" w:cs="Times New Roman"/>
          <w:szCs w:val="24"/>
        </w:rPr>
        <w:t xml:space="preserve"> respondent’s</w:t>
      </w:r>
      <w:r>
        <w:rPr>
          <w:rFonts w:ascii="Times New Roman" w:hAnsi="Times New Roman" w:cs="Times New Roman"/>
          <w:szCs w:val="24"/>
        </w:rPr>
        <w:t xml:space="preserve"> place</w:t>
      </w:r>
      <w:r w:rsidR="00257B32">
        <w:rPr>
          <w:rFonts w:ascii="Times New Roman" w:hAnsi="Times New Roman" w:cs="Times New Roman"/>
          <w:szCs w:val="24"/>
        </w:rPr>
        <w:t xml:space="preserve"> of work, which is the premises </w:t>
      </w:r>
      <w:r>
        <w:rPr>
          <w:rFonts w:ascii="Times New Roman" w:hAnsi="Times New Roman" w:cs="Times New Roman"/>
          <w:szCs w:val="24"/>
        </w:rPr>
        <w:t>where 1</w:t>
      </w:r>
      <w:r w:rsidRPr="00591BF4">
        <w:rPr>
          <w:rFonts w:ascii="Times New Roman" w:hAnsi="Times New Roman" w:cs="Times New Roman"/>
          <w:szCs w:val="24"/>
          <w:vertAlign w:val="superscript"/>
        </w:rPr>
        <w:t>st</w:t>
      </w:r>
      <w:r>
        <w:rPr>
          <w:rFonts w:ascii="Times New Roman" w:hAnsi="Times New Roman" w:cs="Times New Roman"/>
          <w:szCs w:val="24"/>
        </w:rPr>
        <w:t xml:space="preserve"> respondent operates from.</w:t>
      </w:r>
    </w:p>
    <w:p w:rsidR="00591BF4" w:rsidRDefault="00591BF4" w:rsidP="00A916EE">
      <w:pPr>
        <w:pStyle w:val="NoSpacing"/>
        <w:spacing w:line="360" w:lineRule="auto"/>
        <w:ind w:firstLine="720"/>
        <w:jc w:val="both"/>
        <w:rPr>
          <w:rFonts w:ascii="Times New Roman" w:hAnsi="Times New Roman" w:cs="Times New Roman"/>
          <w:szCs w:val="24"/>
        </w:rPr>
      </w:pPr>
    </w:p>
    <w:p w:rsidR="00591BF4" w:rsidRDefault="00591BF4"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The applicant avers that since he is barred from accessing 1</w:t>
      </w:r>
      <w:r w:rsidRPr="00591BF4">
        <w:rPr>
          <w:rFonts w:ascii="Times New Roman" w:hAnsi="Times New Roman" w:cs="Times New Roman"/>
          <w:szCs w:val="24"/>
          <w:vertAlign w:val="superscript"/>
        </w:rPr>
        <w:t>st</w:t>
      </w:r>
      <w:r>
        <w:rPr>
          <w:rFonts w:ascii="Times New Roman" w:hAnsi="Times New Roman" w:cs="Times New Roman"/>
          <w:szCs w:val="24"/>
        </w:rPr>
        <w:t xml:space="preserve"> respondent, the 2</w:t>
      </w:r>
      <w:r w:rsidRPr="00591BF4">
        <w:rPr>
          <w:rFonts w:ascii="Times New Roman" w:hAnsi="Times New Roman" w:cs="Times New Roman"/>
          <w:szCs w:val="24"/>
          <w:vertAlign w:val="superscript"/>
        </w:rPr>
        <w:t>nd</w:t>
      </w:r>
      <w:r>
        <w:rPr>
          <w:rFonts w:ascii="Times New Roman" w:hAnsi="Times New Roman" w:cs="Times New Roman"/>
          <w:szCs w:val="24"/>
        </w:rPr>
        <w:t xml:space="preserve"> respondent is managing the company exclusively and has since opened a new company in the same line of business in Harare.  The 2</w:t>
      </w:r>
      <w:r w:rsidRPr="00591BF4">
        <w:rPr>
          <w:rFonts w:ascii="Times New Roman" w:hAnsi="Times New Roman" w:cs="Times New Roman"/>
          <w:szCs w:val="24"/>
          <w:vertAlign w:val="superscript"/>
        </w:rPr>
        <w:t>nd</w:t>
      </w:r>
      <w:r>
        <w:rPr>
          <w:rFonts w:ascii="Times New Roman" w:hAnsi="Times New Roman" w:cs="Times New Roman"/>
          <w:szCs w:val="24"/>
        </w:rPr>
        <w:t xml:space="preserve"> respondent has no other known source of income to establish the new business save for the earnings from 1</w:t>
      </w:r>
      <w:r w:rsidRPr="00591BF4">
        <w:rPr>
          <w:rFonts w:ascii="Times New Roman" w:hAnsi="Times New Roman" w:cs="Times New Roman"/>
          <w:szCs w:val="24"/>
          <w:vertAlign w:val="superscript"/>
        </w:rPr>
        <w:t>st</w:t>
      </w:r>
      <w:r>
        <w:rPr>
          <w:rFonts w:ascii="Times New Roman" w:hAnsi="Times New Roman" w:cs="Times New Roman"/>
          <w:szCs w:val="24"/>
        </w:rPr>
        <w:t xml:space="preserve"> respondent.  The applicant therefore fears that the 1</w:t>
      </w:r>
      <w:r w:rsidRPr="00591BF4">
        <w:rPr>
          <w:rFonts w:ascii="Times New Roman" w:hAnsi="Times New Roman" w:cs="Times New Roman"/>
          <w:szCs w:val="24"/>
          <w:vertAlign w:val="superscript"/>
        </w:rPr>
        <w:t>st</w:t>
      </w:r>
      <w:r>
        <w:rPr>
          <w:rFonts w:ascii="Times New Roman" w:hAnsi="Times New Roman" w:cs="Times New Roman"/>
          <w:szCs w:val="24"/>
        </w:rPr>
        <w:t xml:space="preserve"> respondent’s funds and assets may be diverted to the new business to his detriment.</w:t>
      </w:r>
    </w:p>
    <w:p w:rsidR="00591BF4" w:rsidRDefault="00591BF4" w:rsidP="00A916EE">
      <w:pPr>
        <w:pStyle w:val="NoSpacing"/>
        <w:spacing w:line="360" w:lineRule="auto"/>
        <w:ind w:firstLine="720"/>
        <w:jc w:val="both"/>
        <w:rPr>
          <w:rFonts w:ascii="Times New Roman" w:hAnsi="Times New Roman" w:cs="Times New Roman"/>
          <w:szCs w:val="24"/>
        </w:rPr>
      </w:pPr>
    </w:p>
    <w:p w:rsidR="00591BF4" w:rsidRDefault="00591BF4"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The applicant therefore seeks the winding up of 1</w:t>
      </w:r>
      <w:r w:rsidRPr="00591BF4">
        <w:rPr>
          <w:rFonts w:ascii="Times New Roman" w:hAnsi="Times New Roman" w:cs="Times New Roman"/>
          <w:szCs w:val="24"/>
          <w:vertAlign w:val="superscript"/>
        </w:rPr>
        <w:t>st</w:t>
      </w:r>
      <w:r>
        <w:rPr>
          <w:rFonts w:ascii="Times New Roman" w:hAnsi="Times New Roman" w:cs="Times New Roman"/>
          <w:szCs w:val="24"/>
        </w:rPr>
        <w:t xml:space="preserve"> respondent to avoid being </w:t>
      </w:r>
      <w:r w:rsidR="00625130">
        <w:rPr>
          <w:rFonts w:ascii="Times New Roman" w:hAnsi="Times New Roman" w:cs="Times New Roman"/>
          <w:szCs w:val="24"/>
        </w:rPr>
        <w:t>defrauded by the 2</w:t>
      </w:r>
      <w:r w:rsidR="00625130" w:rsidRPr="00625130">
        <w:rPr>
          <w:rFonts w:ascii="Times New Roman" w:hAnsi="Times New Roman" w:cs="Times New Roman"/>
          <w:szCs w:val="24"/>
          <w:vertAlign w:val="superscript"/>
        </w:rPr>
        <w:t>nd</w:t>
      </w:r>
      <w:r w:rsidR="00625130">
        <w:rPr>
          <w:rFonts w:ascii="Times New Roman" w:hAnsi="Times New Roman" w:cs="Times New Roman"/>
          <w:szCs w:val="24"/>
        </w:rPr>
        <w:t xml:space="preserve"> respondent.</w:t>
      </w:r>
    </w:p>
    <w:p w:rsidR="00625130" w:rsidRDefault="00625130" w:rsidP="00A916EE">
      <w:pPr>
        <w:pStyle w:val="NoSpacing"/>
        <w:spacing w:line="360" w:lineRule="auto"/>
        <w:ind w:firstLine="720"/>
        <w:jc w:val="both"/>
        <w:rPr>
          <w:rFonts w:ascii="Times New Roman" w:hAnsi="Times New Roman" w:cs="Times New Roman"/>
          <w:szCs w:val="24"/>
        </w:rPr>
      </w:pPr>
    </w:p>
    <w:p w:rsidR="00625130" w:rsidRDefault="00625130"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This matter was initially brought as an urgent chamber application and the 2</w:t>
      </w:r>
      <w:r w:rsidRPr="00625130">
        <w:rPr>
          <w:rFonts w:ascii="Times New Roman" w:hAnsi="Times New Roman" w:cs="Times New Roman"/>
          <w:szCs w:val="24"/>
          <w:vertAlign w:val="superscript"/>
        </w:rPr>
        <w:t>nd</w:t>
      </w:r>
      <w:r>
        <w:rPr>
          <w:rFonts w:ascii="Times New Roman" w:hAnsi="Times New Roman" w:cs="Times New Roman"/>
          <w:szCs w:val="24"/>
        </w:rPr>
        <w:t xml:space="preserve"> respondent successfully took a point </w:t>
      </w:r>
      <w:r w:rsidRPr="00625130">
        <w:rPr>
          <w:rFonts w:ascii="Times New Roman" w:hAnsi="Times New Roman" w:cs="Times New Roman"/>
          <w:i/>
          <w:szCs w:val="24"/>
        </w:rPr>
        <w:t xml:space="preserve">in </w:t>
      </w:r>
      <w:proofErr w:type="spellStart"/>
      <w:r w:rsidRPr="00625130">
        <w:rPr>
          <w:rFonts w:ascii="Times New Roman" w:hAnsi="Times New Roman" w:cs="Times New Roman"/>
          <w:i/>
          <w:szCs w:val="24"/>
        </w:rPr>
        <w:t>limine</w:t>
      </w:r>
      <w:proofErr w:type="spellEnd"/>
      <w:r>
        <w:rPr>
          <w:rFonts w:ascii="Times New Roman" w:hAnsi="Times New Roman" w:cs="Times New Roman"/>
          <w:szCs w:val="24"/>
        </w:rPr>
        <w:t xml:space="preserve"> in that the matter was not urgent.   A second point </w:t>
      </w:r>
      <w:r w:rsidRPr="00625130">
        <w:rPr>
          <w:rFonts w:ascii="Times New Roman" w:hAnsi="Times New Roman" w:cs="Times New Roman"/>
          <w:i/>
          <w:szCs w:val="24"/>
        </w:rPr>
        <w:t xml:space="preserve">in </w:t>
      </w:r>
      <w:proofErr w:type="spellStart"/>
      <w:r w:rsidRPr="00625130">
        <w:rPr>
          <w:rFonts w:ascii="Times New Roman" w:hAnsi="Times New Roman" w:cs="Times New Roman"/>
          <w:i/>
          <w:szCs w:val="24"/>
        </w:rPr>
        <w:t>limine</w:t>
      </w:r>
      <w:proofErr w:type="spellEnd"/>
      <w:r>
        <w:rPr>
          <w:rFonts w:ascii="Times New Roman" w:hAnsi="Times New Roman" w:cs="Times New Roman"/>
          <w:szCs w:val="24"/>
        </w:rPr>
        <w:t xml:space="preserve"> was not adjudicated on after the learned Judge held that the matter was not urgent.  This point </w:t>
      </w:r>
      <w:r w:rsidRPr="00625130">
        <w:rPr>
          <w:rFonts w:ascii="Times New Roman" w:hAnsi="Times New Roman" w:cs="Times New Roman"/>
          <w:i/>
          <w:szCs w:val="24"/>
        </w:rPr>
        <w:t xml:space="preserve">in </w:t>
      </w:r>
      <w:proofErr w:type="spellStart"/>
      <w:r w:rsidRPr="00625130">
        <w:rPr>
          <w:rFonts w:ascii="Times New Roman" w:hAnsi="Times New Roman" w:cs="Times New Roman"/>
          <w:i/>
          <w:szCs w:val="24"/>
        </w:rPr>
        <w:t>limine</w:t>
      </w:r>
      <w:proofErr w:type="spellEnd"/>
      <w:r>
        <w:rPr>
          <w:rFonts w:ascii="Times New Roman" w:hAnsi="Times New Roman" w:cs="Times New Roman"/>
          <w:szCs w:val="24"/>
        </w:rPr>
        <w:t xml:space="preserve"> has inevitably been left for me to decide.</w:t>
      </w:r>
    </w:p>
    <w:p w:rsidR="0020522D" w:rsidRDefault="0020522D" w:rsidP="00A916EE">
      <w:pPr>
        <w:pStyle w:val="NoSpacing"/>
        <w:spacing w:line="360" w:lineRule="auto"/>
        <w:ind w:firstLine="720"/>
        <w:jc w:val="both"/>
        <w:rPr>
          <w:rFonts w:ascii="Times New Roman" w:hAnsi="Times New Roman" w:cs="Times New Roman"/>
          <w:szCs w:val="24"/>
        </w:rPr>
      </w:pPr>
    </w:p>
    <w:p w:rsidR="00625130" w:rsidRDefault="00625130" w:rsidP="005756A2">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lastRenderedPageBreak/>
        <w:t>Following M</w:t>
      </w:r>
      <w:r w:rsidRPr="00CC2538">
        <w:rPr>
          <w:rFonts w:ascii="Times New Roman" w:hAnsi="Times New Roman" w:cs="Times New Roman"/>
          <w:sz w:val="20"/>
          <w:szCs w:val="20"/>
        </w:rPr>
        <w:t>OYO J</w:t>
      </w:r>
      <w:r>
        <w:rPr>
          <w:rFonts w:ascii="Times New Roman" w:hAnsi="Times New Roman" w:cs="Times New Roman"/>
          <w:szCs w:val="24"/>
        </w:rPr>
        <w:t>’s determination that the matter was not urgent, the applicant enrolled the matter on the opposed roll.  Counsel for the 2</w:t>
      </w:r>
      <w:r w:rsidRPr="00625130">
        <w:rPr>
          <w:rFonts w:ascii="Times New Roman" w:hAnsi="Times New Roman" w:cs="Times New Roman"/>
          <w:szCs w:val="24"/>
          <w:vertAlign w:val="superscript"/>
        </w:rPr>
        <w:t>nd</w:t>
      </w:r>
      <w:r>
        <w:rPr>
          <w:rFonts w:ascii="Times New Roman" w:hAnsi="Times New Roman" w:cs="Times New Roman"/>
          <w:szCs w:val="24"/>
        </w:rPr>
        <w:t xml:space="preserve"> respondent took points </w:t>
      </w:r>
      <w:r w:rsidRPr="00CC2538">
        <w:rPr>
          <w:rFonts w:ascii="Times New Roman" w:hAnsi="Times New Roman" w:cs="Times New Roman"/>
          <w:i/>
          <w:szCs w:val="24"/>
        </w:rPr>
        <w:t xml:space="preserve">in </w:t>
      </w:r>
      <w:proofErr w:type="spellStart"/>
      <w:r w:rsidRPr="00CC2538">
        <w:rPr>
          <w:rFonts w:ascii="Times New Roman" w:hAnsi="Times New Roman" w:cs="Times New Roman"/>
          <w:i/>
          <w:szCs w:val="24"/>
        </w:rPr>
        <w:t>limine</w:t>
      </w:r>
      <w:proofErr w:type="spellEnd"/>
      <w:r w:rsidR="00CC2538">
        <w:rPr>
          <w:rFonts w:ascii="Times New Roman" w:hAnsi="Times New Roman" w:cs="Times New Roman"/>
          <w:szCs w:val="24"/>
        </w:rPr>
        <w:t xml:space="preserve">, the first being on </w:t>
      </w:r>
      <w:proofErr w:type="spellStart"/>
      <w:r w:rsidR="00CC2538" w:rsidRPr="00CC2538">
        <w:rPr>
          <w:rFonts w:ascii="Times New Roman" w:hAnsi="Times New Roman" w:cs="Times New Roman"/>
          <w:i/>
          <w:szCs w:val="24"/>
        </w:rPr>
        <w:t>l</w:t>
      </w:r>
      <w:r w:rsidRPr="00CC2538">
        <w:rPr>
          <w:rFonts w:ascii="Times New Roman" w:hAnsi="Times New Roman" w:cs="Times New Roman"/>
          <w:i/>
          <w:szCs w:val="24"/>
        </w:rPr>
        <w:t>is</w:t>
      </w:r>
      <w:proofErr w:type="spellEnd"/>
      <w:r w:rsidRPr="00CC2538">
        <w:rPr>
          <w:rFonts w:ascii="Times New Roman" w:hAnsi="Times New Roman" w:cs="Times New Roman"/>
          <w:i/>
          <w:szCs w:val="24"/>
        </w:rPr>
        <w:t xml:space="preserve"> </w:t>
      </w:r>
      <w:proofErr w:type="spellStart"/>
      <w:r w:rsidRPr="00CC2538">
        <w:rPr>
          <w:rFonts w:ascii="Times New Roman" w:hAnsi="Times New Roman" w:cs="Times New Roman"/>
          <w:i/>
          <w:szCs w:val="24"/>
        </w:rPr>
        <w:t>pendens</w:t>
      </w:r>
      <w:proofErr w:type="spellEnd"/>
      <w:r>
        <w:rPr>
          <w:rFonts w:ascii="Times New Roman" w:hAnsi="Times New Roman" w:cs="Times New Roman"/>
          <w:szCs w:val="24"/>
        </w:rPr>
        <w:t xml:space="preserve"> and the other seeking the expunging of the applicant’s answering affidavit in which reliance was being made on the provisions of the Insolvency Act</w:t>
      </w:r>
      <w:r w:rsidR="005756A2">
        <w:rPr>
          <w:rFonts w:ascii="Times New Roman" w:hAnsi="Times New Roman" w:cs="Times New Roman"/>
          <w:szCs w:val="24"/>
        </w:rPr>
        <w:t xml:space="preserve"> (Chapter 6:07)</w:t>
      </w:r>
      <w:r>
        <w:rPr>
          <w:rFonts w:ascii="Times New Roman" w:hAnsi="Times New Roman" w:cs="Times New Roman"/>
          <w:szCs w:val="24"/>
        </w:rPr>
        <w:t xml:space="preserve">, arguing that where members of a company are deadlocked and cannot break it the court can grant an order for liquidation.  Counsel’s argument being that an applicant’s case is made in the founding affidavit and such founding affidavit </w:t>
      </w:r>
      <w:r w:rsidR="005756A2">
        <w:rPr>
          <w:rFonts w:ascii="Times New Roman" w:hAnsi="Times New Roman" w:cs="Times New Roman"/>
          <w:szCs w:val="24"/>
        </w:rPr>
        <w:t xml:space="preserve">relied on the Companies Act for </w:t>
      </w:r>
      <w:r w:rsidR="00CC2538">
        <w:rPr>
          <w:rFonts w:ascii="Times New Roman" w:hAnsi="Times New Roman" w:cs="Times New Roman"/>
          <w:szCs w:val="24"/>
        </w:rPr>
        <w:t xml:space="preserve">the </w:t>
      </w:r>
      <w:r>
        <w:rPr>
          <w:rFonts w:ascii="Times New Roman" w:hAnsi="Times New Roman" w:cs="Times New Roman"/>
          <w:szCs w:val="24"/>
        </w:rPr>
        <w:t>relief</w:t>
      </w:r>
      <w:r w:rsidR="0060653E">
        <w:rPr>
          <w:rFonts w:ascii="Times New Roman" w:hAnsi="Times New Roman" w:cs="Times New Roman"/>
          <w:szCs w:val="24"/>
        </w:rPr>
        <w:t xml:space="preserve"> applicant seeks</w:t>
      </w:r>
      <w:r>
        <w:rPr>
          <w:rFonts w:ascii="Times New Roman" w:hAnsi="Times New Roman" w:cs="Times New Roman"/>
          <w:szCs w:val="24"/>
        </w:rPr>
        <w:t>, introducing the provisions of the Insolvency Act (Chapter 6:07) was therefore improper.</w:t>
      </w:r>
    </w:p>
    <w:p w:rsidR="00D94DD1" w:rsidRDefault="00D94DD1" w:rsidP="00A916EE">
      <w:pPr>
        <w:pStyle w:val="NoSpacing"/>
        <w:spacing w:line="360" w:lineRule="auto"/>
        <w:ind w:firstLine="720"/>
        <w:jc w:val="both"/>
        <w:rPr>
          <w:rFonts w:ascii="Times New Roman" w:hAnsi="Times New Roman" w:cs="Times New Roman"/>
          <w:szCs w:val="24"/>
        </w:rPr>
      </w:pPr>
    </w:p>
    <w:p w:rsidR="00794157" w:rsidRDefault="00794157"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This judgment is concerned with the points </w:t>
      </w:r>
      <w:r w:rsidRPr="00D3483B">
        <w:rPr>
          <w:rFonts w:ascii="Times New Roman" w:hAnsi="Times New Roman" w:cs="Times New Roman"/>
          <w:i/>
          <w:szCs w:val="24"/>
        </w:rPr>
        <w:t xml:space="preserve">in </w:t>
      </w:r>
      <w:proofErr w:type="spellStart"/>
      <w:r w:rsidRPr="00D3483B">
        <w:rPr>
          <w:rFonts w:ascii="Times New Roman" w:hAnsi="Times New Roman" w:cs="Times New Roman"/>
          <w:i/>
          <w:szCs w:val="24"/>
        </w:rPr>
        <w:t>limine</w:t>
      </w:r>
      <w:proofErr w:type="spellEnd"/>
      <w:r>
        <w:rPr>
          <w:rFonts w:ascii="Times New Roman" w:hAnsi="Times New Roman" w:cs="Times New Roman"/>
          <w:szCs w:val="24"/>
        </w:rPr>
        <w:t xml:space="preserve">.  The </w:t>
      </w:r>
      <w:r w:rsidR="0055272A">
        <w:rPr>
          <w:rFonts w:ascii="Times New Roman" w:hAnsi="Times New Roman" w:cs="Times New Roman"/>
          <w:szCs w:val="24"/>
        </w:rPr>
        <w:t>consideration of the merits will only be dependent on the court’s decision as regards</w:t>
      </w:r>
      <w:r w:rsidR="00AB4087">
        <w:rPr>
          <w:rFonts w:ascii="Times New Roman" w:hAnsi="Times New Roman" w:cs="Times New Roman"/>
          <w:szCs w:val="24"/>
        </w:rPr>
        <w:t xml:space="preserve"> the</w:t>
      </w:r>
      <w:r>
        <w:rPr>
          <w:rFonts w:ascii="Times New Roman" w:hAnsi="Times New Roman" w:cs="Times New Roman"/>
          <w:szCs w:val="24"/>
        </w:rPr>
        <w:t xml:space="preserve"> points </w:t>
      </w:r>
      <w:r w:rsidRPr="00D3483B">
        <w:rPr>
          <w:rFonts w:ascii="Times New Roman" w:hAnsi="Times New Roman" w:cs="Times New Roman"/>
          <w:i/>
          <w:szCs w:val="24"/>
        </w:rPr>
        <w:t xml:space="preserve">in </w:t>
      </w:r>
      <w:proofErr w:type="spellStart"/>
      <w:r w:rsidRPr="00D3483B">
        <w:rPr>
          <w:rFonts w:ascii="Times New Roman" w:hAnsi="Times New Roman" w:cs="Times New Roman"/>
          <w:i/>
          <w:szCs w:val="24"/>
        </w:rPr>
        <w:t>limine</w:t>
      </w:r>
      <w:proofErr w:type="spellEnd"/>
      <w:r>
        <w:rPr>
          <w:rFonts w:ascii="Times New Roman" w:hAnsi="Times New Roman" w:cs="Times New Roman"/>
          <w:szCs w:val="24"/>
        </w:rPr>
        <w:t>.</w:t>
      </w:r>
    </w:p>
    <w:p w:rsidR="00794157" w:rsidRDefault="00794157" w:rsidP="00A916EE">
      <w:pPr>
        <w:pStyle w:val="NoSpacing"/>
        <w:spacing w:line="360" w:lineRule="auto"/>
        <w:jc w:val="both"/>
        <w:rPr>
          <w:rFonts w:ascii="Times New Roman" w:hAnsi="Times New Roman" w:cs="Times New Roman"/>
          <w:szCs w:val="24"/>
        </w:rPr>
      </w:pPr>
    </w:p>
    <w:p w:rsidR="00794157" w:rsidRPr="00D3483B" w:rsidRDefault="00794157" w:rsidP="00A916EE">
      <w:pPr>
        <w:pStyle w:val="NoSpacing"/>
        <w:spacing w:line="360" w:lineRule="auto"/>
        <w:jc w:val="both"/>
        <w:rPr>
          <w:rFonts w:ascii="Times New Roman" w:hAnsi="Times New Roman" w:cs="Times New Roman"/>
          <w:b/>
          <w:i/>
          <w:szCs w:val="24"/>
        </w:rPr>
      </w:pPr>
      <w:proofErr w:type="spellStart"/>
      <w:r w:rsidRPr="00D3483B">
        <w:rPr>
          <w:rFonts w:ascii="Times New Roman" w:hAnsi="Times New Roman" w:cs="Times New Roman"/>
          <w:b/>
          <w:i/>
          <w:szCs w:val="24"/>
        </w:rPr>
        <w:t>Lis</w:t>
      </w:r>
      <w:proofErr w:type="spellEnd"/>
      <w:r w:rsidRPr="00D3483B">
        <w:rPr>
          <w:rFonts w:ascii="Times New Roman" w:hAnsi="Times New Roman" w:cs="Times New Roman"/>
          <w:b/>
          <w:i/>
          <w:szCs w:val="24"/>
        </w:rPr>
        <w:t xml:space="preserve"> </w:t>
      </w:r>
      <w:proofErr w:type="spellStart"/>
      <w:r w:rsidRPr="00D3483B">
        <w:rPr>
          <w:rFonts w:ascii="Times New Roman" w:hAnsi="Times New Roman" w:cs="Times New Roman"/>
          <w:b/>
          <w:i/>
          <w:szCs w:val="24"/>
        </w:rPr>
        <w:t>Pendens</w:t>
      </w:r>
      <w:proofErr w:type="spellEnd"/>
    </w:p>
    <w:p w:rsidR="00794157" w:rsidRDefault="00794157"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tab/>
        <w:t>Earlier on in this judgment I made reference to the action in HC 2085/19 wherein the 2</w:t>
      </w:r>
      <w:r w:rsidRPr="00794157">
        <w:rPr>
          <w:rFonts w:ascii="Times New Roman" w:hAnsi="Times New Roman" w:cs="Times New Roman"/>
          <w:szCs w:val="24"/>
          <w:vertAlign w:val="superscript"/>
        </w:rPr>
        <w:t>nd</w:t>
      </w:r>
      <w:r>
        <w:rPr>
          <w:rFonts w:ascii="Times New Roman" w:hAnsi="Times New Roman" w:cs="Times New Roman"/>
          <w:szCs w:val="24"/>
        </w:rPr>
        <w:t xml:space="preserve"> respondent is seeking the confirmation of the dissolution of the parties’</w:t>
      </w:r>
      <w:r w:rsidR="00B12E7C">
        <w:rPr>
          <w:rFonts w:ascii="Times New Roman" w:hAnsi="Times New Roman" w:cs="Times New Roman"/>
          <w:szCs w:val="24"/>
        </w:rPr>
        <w:t xml:space="preserve"> tacit</w:t>
      </w:r>
      <w:r>
        <w:rPr>
          <w:rFonts w:ascii="Times New Roman" w:hAnsi="Times New Roman" w:cs="Times New Roman"/>
          <w:szCs w:val="24"/>
        </w:rPr>
        <w:t xml:space="preserve"> universal partnership and the sharing of the property acquired during the </w:t>
      </w:r>
      <w:r w:rsidR="00CC2538">
        <w:rPr>
          <w:rFonts w:ascii="Times New Roman" w:hAnsi="Times New Roman" w:cs="Times New Roman"/>
          <w:szCs w:val="24"/>
        </w:rPr>
        <w:t>subsistence of the partnership.</w:t>
      </w:r>
    </w:p>
    <w:p w:rsidR="00794157" w:rsidRDefault="00794157" w:rsidP="00A916EE">
      <w:pPr>
        <w:pStyle w:val="NoSpacing"/>
        <w:spacing w:line="360" w:lineRule="auto"/>
        <w:jc w:val="both"/>
        <w:rPr>
          <w:rFonts w:ascii="Times New Roman" w:hAnsi="Times New Roman" w:cs="Times New Roman"/>
          <w:szCs w:val="24"/>
        </w:rPr>
      </w:pPr>
    </w:p>
    <w:p w:rsidR="00794157" w:rsidRDefault="00794157"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tab/>
      </w:r>
      <w:r w:rsidR="003D7726">
        <w:rPr>
          <w:rFonts w:ascii="Times New Roman" w:hAnsi="Times New Roman" w:cs="Times New Roman"/>
          <w:szCs w:val="24"/>
        </w:rPr>
        <w:t>Counsel for the 2</w:t>
      </w:r>
      <w:r w:rsidR="003D7726" w:rsidRPr="003D7726">
        <w:rPr>
          <w:rFonts w:ascii="Times New Roman" w:hAnsi="Times New Roman" w:cs="Times New Roman"/>
          <w:szCs w:val="24"/>
          <w:vertAlign w:val="superscript"/>
        </w:rPr>
        <w:t>nd</w:t>
      </w:r>
      <w:r w:rsidR="003D7726">
        <w:rPr>
          <w:rFonts w:ascii="Times New Roman" w:hAnsi="Times New Roman" w:cs="Times New Roman"/>
          <w:szCs w:val="24"/>
        </w:rPr>
        <w:t xml:space="preserve"> respondent contends that it is undesirable for the co</w:t>
      </w:r>
      <w:r w:rsidR="0074010D">
        <w:rPr>
          <w:rFonts w:ascii="Times New Roman" w:hAnsi="Times New Roman" w:cs="Times New Roman"/>
          <w:szCs w:val="24"/>
        </w:rPr>
        <w:t>urt to entertain</w:t>
      </w:r>
      <w:r w:rsidR="003D7726">
        <w:rPr>
          <w:rFonts w:ascii="Times New Roman" w:hAnsi="Times New Roman" w:cs="Times New Roman"/>
          <w:szCs w:val="24"/>
        </w:rPr>
        <w:t xml:space="preserve"> this application before the disposal of the action in HC 2085/19.  The thrust of the argument is that if the court determines the present application and grants the order for liquidation, the action in HC 2085/19 will be rendered meaningless as the very shares in 1</w:t>
      </w:r>
      <w:r w:rsidR="003D7726" w:rsidRPr="003D7726">
        <w:rPr>
          <w:rFonts w:ascii="Times New Roman" w:hAnsi="Times New Roman" w:cs="Times New Roman"/>
          <w:szCs w:val="24"/>
          <w:vertAlign w:val="superscript"/>
        </w:rPr>
        <w:t>st</w:t>
      </w:r>
      <w:r w:rsidR="003D7726">
        <w:rPr>
          <w:rFonts w:ascii="Times New Roman" w:hAnsi="Times New Roman" w:cs="Times New Roman"/>
          <w:szCs w:val="24"/>
        </w:rPr>
        <w:t xml:space="preserve"> respondent are the subject matter for distribution.  HC 2085/19 will therefore be a mere academic exercise which will serve no purpose.</w:t>
      </w:r>
    </w:p>
    <w:p w:rsidR="003D7726" w:rsidRDefault="003D7726" w:rsidP="00A916EE">
      <w:pPr>
        <w:pStyle w:val="NoSpacing"/>
        <w:spacing w:line="360" w:lineRule="auto"/>
        <w:jc w:val="both"/>
        <w:rPr>
          <w:rFonts w:ascii="Times New Roman" w:hAnsi="Times New Roman" w:cs="Times New Roman"/>
          <w:szCs w:val="24"/>
        </w:rPr>
      </w:pPr>
    </w:p>
    <w:p w:rsidR="003D7726" w:rsidRDefault="003D7726"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tab/>
      </w:r>
      <w:proofErr w:type="spellStart"/>
      <w:r w:rsidRPr="00CC2538">
        <w:rPr>
          <w:rFonts w:ascii="Times New Roman" w:hAnsi="Times New Roman" w:cs="Times New Roman"/>
          <w:i/>
          <w:szCs w:val="24"/>
        </w:rPr>
        <w:t>Mr</w:t>
      </w:r>
      <w:proofErr w:type="spellEnd"/>
      <w:r w:rsidRPr="00CC2538">
        <w:rPr>
          <w:rFonts w:ascii="Times New Roman" w:hAnsi="Times New Roman" w:cs="Times New Roman"/>
          <w:i/>
          <w:szCs w:val="24"/>
        </w:rPr>
        <w:t xml:space="preserve"> </w:t>
      </w:r>
      <w:proofErr w:type="spellStart"/>
      <w:r w:rsidRPr="00CC2538">
        <w:rPr>
          <w:rFonts w:ascii="Times New Roman" w:hAnsi="Times New Roman" w:cs="Times New Roman"/>
          <w:i/>
          <w:szCs w:val="24"/>
        </w:rPr>
        <w:t>Jakachira</w:t>
      </w:r>
      <w:proofErr w:type="spellEnd"/>
      <w:r>
        <w:rPr>
          <w:rFonts w:ascii="Times New Roman" w:hAnsi="Times New Roman" w:cs="Times New Roman"/>
          <w:szCs w:val="24"/>
        </w:rPr>
        <w:t xml:space="preserve"> held a different view.  He argued that the two actions are not the same.  The present application is being brought under a different legal provision to the action in HC 2085/19 and so ought to be decided as a separate and distinct matter.</w:t>
      </w:r>
    </w:p>
    <w:p w:rsidR="003D7726" w:rsidRDefault="003D7726" w:rsidP="00A916EE">
      <w:pPr>
        <w:pStyle w:val="NoSpacing"/>
        <w:spacing w:line="360" w:lineRule="auto"/>
        <w:jc w:val="both"/>
        <w:rPr>
          <w:rFonts w:ascii="Times New Roman" w:hAnsi="Times New Roman" w:cs="Times New Roman"/>
          <w:szCs w:val="24"/>
        </w:rPr>
      </w:pPr>
    </w:p>
    <w:p w:rsidR="003D7726" w:rsidRDefault="00CC2538"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tab/>
        <w:t xml:space="preserve">What is </w:t>
      </w:r>
      <w:proofErr w:type="spellStart"/>
      <w:r w:rsidRPr="00CC2538">
        <w:rPr>
          <w:rFonts w:ascii="Times New Roman" w:hAnsi="Times New Roman" w:cs="Times New Roman"/>
          <w:i/>
          <w:szCs w:val="24"/>
        </w:rPr>
        <w:t>l</w:t>
      </w:r>
      <w:r w:rsidR="003D7726" w:rsidRPr="00CC2538">
        <w:rPr>
          <w:rFonts w:ascii="Times New Roman" w:hAnsi="Times New Roman" w:cs="Times New Roman"/>
          <w:i/>
          <w:szCs w:val="24"/>
        </w:rPr>
        <w:t>is</w:t>
      </w:r>
      <w:proofErr w:type="spellEnd"/>
      <w:r w:rsidR="003D7726" w:rsidRPr="00CC2538">
        <w:rPr>
          <w:rFonts w:ascii="Times New Roman" w:hAnsi="Times New Roman" w:cs="Times New Roman"/>
          <w:i/>
          <w:szCs w:val="24"/>
        </w:rPr>
        <w:t xml:space="preserve"> </w:t>
      </w:r>
      <w:proofErr w:type="spellStart"/>
      <w:r w:rsidR="003D7726" w:rsidRPr="00CC2538">
        <w:rPr>
          <w:rFonts w:ascii="Times New Roman" w:hAnsi="Times New Roman" w:cs="Times New Roman"/>
          <w:i/>
          <w:szCs w:val="24"/>
        </w:rPr>
        <w:t>pendens</w:t>
      </w:r>
      <w:proofErr w:type="spellEnd"/>
      <w:r w:rsidR="003D7726">
        <w:rPr>
          <w:rFonts w:ascii="Times New Roman" w:hAnsi="Times New Roman" w:cs="Times New Roman"/>
          <w:szCs w:val="24"/>
        </w:rPr>
        <w:t xml:space="preserve"> and when is such a plea available to a defendant? </w:t>
      </w:r>
    </w:p>
    <w:p w:rsidR="00EE0883" w:rsidRDefault="00EE0883" w:rsidP="00A916EE">
      <w:pPr>
        <w:pStyle w:val="NoSpacing"/>
        <w:spacing w:line="360" w:lineRule="auto"/>
        <w:jc w:val="both"/>
        <w:rPr>
          <w:rFonts w:ascii="Times New Roman" w:hAnsi="Times New Roman" w:cs="Times New Roman"/>
          <w:szCs w:val="24"/>
        </w:rPr>
      </w:pPr>
    </w:p>
    <w:p w:rsidR="00EE0883" w:rsidRDefault="00EE0883"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lastRenderedPageBreak/>
        <w:tab/>
        <w:t xml:space="preserve">I can do no better than quote the learned authors </w:t>
      </w:r>
      <w:proofErr w:type="spellStart"/>
      <w:r>
        <w:rPr>
          <w:rFonts w:ascii="Times New Roman" w:hAnsi="Times New Roman" w:cs="Times New Roman"/>
          <w:szCs w:val="24"/>
        </w:rPr>
        <w:t>Herbstein</w:t>
      </w:r>
      <w:proofErr w:type="spellEnd"/>
      <w:r>
        <w:rPr>
          <w:rFonts w:ascii="Times New Roman" w:hAnsi="Times New Roman" w:cs="Times New Roman"/>
          <w:szCs w:val="24"/>
        </w:rPr>
        <w:t xml:space="preserve"> and Van </w:t>
      </w:r>
      <w:proofErr w:type="spellStart"/>
      <w:r>
        <w:rPr>
          <w:rFonts w:ascii="Times New Roman" w:hAnsi="Times New Roman" w:cs="Times New Roman"/>
          <w:szCs w:val="24"/>
        </w:rPr>
        <w:t>Winsen</w:t>
      </w:r>
      <w:proofErr w:type="spellEnd"/>
      <w:r>
        <w:rPr>
          <w:rFonts w:ascii="Times New Roman" w:hAnsi="Times New Roman" w:cs="Times New Roman"/>
          <w:szCs w:val="24"/>
        </w:rPr>
        <w:t xml:space="preserve"> in the </w:t>
      </w:r>
      <w:r w:rsidR="00D44924">
        <w:rPr>
          <w:rFonts w:ascii="Times New Roman" w:hAnsi="Times New Roman" w:cs="Times New Roman"/>
          <w:i/>
          <w:szCs w:val="24"/>
        </w:rPr>
        <w:t>Civil Practi</w:t>
      </w:r>
      <w:r w:rsidRPr="00EE0883">
        <w:rPr>
          <w:rFonts w:ascii="Times New Roman" w:hAnsi="Times New Roman" w:cs="Times New Roman"/>
          <w:i/>
          <w:szCs w:val="24"/>
        </w:rPr>
        <w:t xml:space="preserve">ce of the High Courts and the Supreme Court of Appeal of South Africa, </w:t>
      </w:r>
      <w:r w:rsidRPr="0020522D">
        <w:rPr>
          <w:rFonts w:ascii="Times New Roman" w:hAnsi="Times New Roman" w:cs="Times New Roman"/>
          <w:i/>
          <w:szCs w:val="24"/>
        </w:rPr>
        <w:t xml:space="preserve">Fifth </w:t>
      </w:r>
      <w:r w:rsidRPr="00EE0883">
        <w:rPr>
          <w:rFonts w:ascii="Times New Roman" w:hAnsi="Times New Roman" w:cs="Times New Roman"/>
          <w:i/>
          <w:szCs w:val="24"/>
        </w:rPr>
        <w:t>Editio</w:t>
      </w:r>
      <w:r>
        <w:rPr>
          <w:rFonts w:ascii="Times New Roman" w:hAnsi="Times New Roman" w:cs="Times New Roman"/>
          <w:szCs w:val="24"/>
        </w:rPr>
        <w:t>n at 605 thereof:-</w:t>
      </w:r>
    </w:p>
    <w:p w:rsidR="00715DC7" w:rsidRDefault="00715DC7" w:rsidP="00A916EE">
      <w:pPr>
        <w:pStyle w:val="NoSpacing"/>
        <w:jc w:val="both"/>
        <w:rPr>
          <w:rFonts w:ascii="Times New Roman" w:hAnsi="Times New Roman" w:cs="Times New Roman"/>
          <w:szCs w:val="24"/>
        </w:rPr>
      </w:pPr>
    </w:p>
    <w:p w:rsidR="00715DC7" w:rsidRDefault="00715DC7" w:rsidP="00A916EE">
      <w:pPr>
        <w:pStyle w:val="NoSpacing"/>
        <w:ind w:left="720"/>
        <w:jc w:val="both"/>
        <w:rPr>
          <w:rFonts w:ascii="Times New Roman" w:hAnsi="Times New Roman" w:cs="Times New Roman"/>
          <w:szCs w:val="24"/>
        </w:rPr>
      </w:pPr>
      <w:r>
        <w:rPr>
          <w:rFonts w:ascii="Times New Roman" w:hAnsi="Times New Roman" w:cs="Times New Roman"/>
          <w:szCs w:val="24"/>
        </w:rPr>
        <w:t>“</w:t>
      </w:r>
      <w:proofErr w:type="spellStart"/>
      <w:r w:rsidRPr="008C2E25">
        <w:rPr>
          <w:rFonts w:ascii="Times New Roman" w:hAnsi="Times New Roman" w:cs="Times New Roman"/>
          <w:i/>
          <w:szCs w:val="24"/>
        </w:rPr>
        <w:t>Lis</w:t>
      </w:r>
      <w:proofErr w:type="spellEnd"/>
      <w:r w:rsidRPr="008C2E25">
        <w:rPr>
          <w:rFonts w:ascii="Times New Roman" w:hAnsi="Times New Roman" w:cs="Times New Roman"/>
          <w:i/>
          <w:szCs w:val="24"/>
        </w:rPr>
        <w:t xml:space="preserve"> </w:t>
      </w:r>
      <w:proofErr w:type="spellStart"/>
      <w:r w:rsidRPr="008C2E25">
        <w:rPr>
          <w:rFonts w:ascii="Times New Roman" w:hAnsi="Times New Roman" w:cs="Times New Roman"/>
          <w:i/>
          <w:szCs w:val="24"/>
        </w:rPr>
        <w:t>pendens</w:t>
      </w:r>
      <w:proofErr w:type="spellEnd"/>
      <w:r>
        <w:rPr>
          <w:rFonts w:ascii="Times New Roman" w:hAnsi="Times New Roman" w:cs="Times New Roman"/>
          <w:szCs w:val="24"/>
        </w:rPr>
        <w:t xml:space="preserve"> is a special plea open to a defendant wh</w:t>
      </w:r>
      <w:r w:rsidR="00CC2538">
        <w:rPr>
          <w:rFonts w:ascii="Times New Roman" w:hAnsi="Times New Roman" w:cs="Times New Roman"/>
          <w:szCs w:val="24"/>
        </w:rPr>
        <w:t xml:space="preserve">o contends that a suit between </w:t>
      </w:r>
      <w:r>
        <w:rPr>
          <w:rFonts w:ascii="Times New Roman" w:hAnsi="Times New Roman" w:cs="Times New Roman"/>
          <w:szCs w:val="24"/>
        </w:rPr>
        <w:t>the same parties concerning a like thing and founded upon the same cause of action is pending in some other court.</w:t>
      </w:r>
    </w:p>
    <w:p w:rsidR="008C2E25" w:rsidRDefault="008C2E25" w:rsidP="00A916EE">
      <w:pPr>
        <w:pStyle w:val="NoSpacing"/>
        <w:spacing w:line="360" w:lineRule="auto"/>
        <w:jc w:val="both"/>
        <w:rPr>
          <w:rFonts w:ascii="Times New Roman" w:hAnsi="Times New Roman" w:cs="Times New Roman"/>
          <w:szCs w:val="24"/>
        </w:rPr>
      </w:pPr>
    </w:p>
    <w:p w:rsidR="00715DC7" w:rsidRDefault="00715DC7"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It </w:t>
      </w:r>
      <w:r w:rsidR="00F56704">
        <w:rPr>
          <w:rFonts w:ascii="Times New Roman" w:hAnsi="Times New Roman" w:cs="Times New Roman"/>
          <w:szCs w:val="24"/>
        </w:rPr>
        <w:t>matter</w:t>
      </w:r>
      <w:r w:rsidR="009909F2">
        <w:rPr>
          <w:rFonts w:ascii="Times New Roman" w:hAnsi="Times New Roman" w:cs="Times New Roman"/>
          <w:szCs w:val="24"/>
        </w:rPr>
        <w:t>s</w:t>
      </w:r>
      <w:r w:rsidR="00F56704">
        <w:rPr>
          <w:rFonts w:ascii="Times New Roman" w:hAnsi="Times New Roman" w:cs="Times New Roman"/>
          <w:szCs w:val="24"/>
        </w:rPr>
        <w:t xml:space="preserve"> not, in my </w:t>
      </w:r>
      <w:proofErr w:type="gramStart"/>
      <w:r w:rsidR="00B21734">
        <w:rPr>
          <w:rFonts w:ascii="Times New Roman" w:hAnsi="Times New Roman" w:cs="Times New Roman"/>
          <w:szCs w:val="24"/>
        </w:rPr>
        <w:t>view, that</w:t>
      </w:r>
      <w:proofErr w:type="gramEnd"/>
      <w:r w:rsidR="008C2E25">
        <w:rPr>
          <w:rFonts w:ascii="Times New Roman" w:hAnsi="Times New Roman" w:cs="Times New Roman"/>
          <w:szCs w:val="24"/>
        </w:rPr>
        <w:t xml:space="preserve"> the matters have been brought by way of application and</w:t>
      </w:r>
      <w:r w:rsidR="00B21734">
        <w:rPr>
          <w:rFonts w:ascii="Times New Roman" w:hAnsi="Times New Roman" w:cs="Times New Roman"/>
          <w:szCs w:val="24"/>
        </w:rPr>
        <w:t xml:space="preserve"> the other by way of</w:t>
      </w:r>
      <w:r w:rsidR="008C2E25">
        <w:rPr>
          <w:rFonts w:ascii="Times New Roman" w:hAnsi="Times New Roman" w:cs="Times New Roman"/>
          <w:szCs w:val="24"/>
        </w:rPr>
        <w:t xml:space="preserve"> action.  It is not so much the vehicle by which the matters have been brought to court but the nature of the issues and relief sought, that is the substance and not the form.</w:t>
      </w:r>
    </w:p>
    <w:p w:rsidR="008C2E25" w:rsidRDefault="008C2E25" w:rsidP="00A916EE">
      <w:pPr>
        <w:pStyle w:val="NoSpacing"/>
        <w:spacing w:line="360" w:lineRule="auto"/>
        <w:ind w:firstLine="720"/>
        <w:jc w:val="both"/>
        <w:rPr>
          <w:rFonts w:ascii="Times New Roman" w:hAnsi="Times New Roman" w:cs="Times New Roman"/>
          <w:szCs w:val="24"/>
        </w:rPr>
      </w:pPr>
    </w:p>
    <w:p w:rsidR="008C2E25" w:rsidRDefault="008C2E25" w:rsidP="00873860">
      <w:pPr>
        <w:pStyle w:val="NoSpacing"/>
        <w:spacing w:line="360" w:lineRule="auto"/>
        <w:jc w:val="both"/>
        <w:rPr>
          <w:rFonts w:ascii="Times New Roman" w:hAnsi="Times New Roman" w:cs="Times New Roman"/>
          <w:szCs w:val="24"/>
        </w:rPr>
      </w:pPr>
      <w:r>
        <w:rPr>
          <w:rFonts w:ascii="Times New Roman" w:hAnsi="Times New Roman" w:cs="Times New Roman"/>
          <w:szCs w:val="24"/>
        </w:rPr>
        <w:t>That said, the learned authors, go on to say:-</w:t>
      </w:r>
    </w:p>
    <w:p w:rsidR="006E64AD" w:rsidRDefault="006E64AD"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“In </w:t>
      </w:r>
      <w:r w:rsidRPr="00F56704">
        <w:rPr>
          <w:rFonts w:ascii="Times New Roman" w:hAnsi="Times New Roman" w:cs="Times New Roman"/>
          <w:i/>
          <w:szCs w:val="24"/>
        </w:rPr>
        <w:t>Nestle (SA) (Pty) Ltd</w:t>
      </w:r>
      <w:r>
        <w:rPr>
          <w:rFonts w:ascii="Times New Roman" w:hAnsi="Times New Roman" w:cs="Times New Roman"/>
          <w:szCs w:val="24"/>
        </w:rPr>
        <w:t xml:space="preserve"> v </w:t>
      </w:r>
      <w:r w:rsidRPr="00F56704">
        <w:rPr>
          <w:rFonts w:ascii="Times New Roman" w:hAnsi="Times New Roman" w:cs="Times New Roman"/>
          <w:i/>
          <w:szCs w:val="24"/>
        </w:rPr>
        <w:t>Mars Incorporated</w:t>
      </w:r>
      <w:r>
        <w:rPr>
          <w:rFonts w:ascii="Times New Roman" w:hAnsi="Times New Roman" w:cs="Times New Roman"/>
          <w:szCs w:val="24"/>
        </w:rPr>
        <w:t xml:space="preserve"> (2001) 4 ALL SA 315 (SCA), it was stated as follows:</w:t>
      </w:r>
    </w:p>
    <w:p w:rsidR="006E64AD" w:rsidRDefault="0020522D"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The </w:t>
      </w:r>
      <w:proofErr w:type="spellStart"/>
      <w:r>
        <w:rPr>
          <w:rFonts w:ascii="Times New Roman" w:hAnsi="Times New Roman" w:cs="Times New Roman"/>
          <w:szCs w:val="24"/>
        </w:rPr>
        <w:t>defence</w:t>
      </w:r>
      <w:proofErr w:type="spellEnd"/>
      <w:r>
        <w:rPr>
          <w:rFonts w:ascii="Times New Roman" w:hAnsi="Times New Roman" w:cs="Times New Roman"/>
          <w:szCs w:val="24"/>
        </w:rPr>
        <w:t xml:space="preserve"> of </w:t>
      </w:r>
      <w:proofErr w:type="spellStart"/>
      <w:r w:rsidRPr="0020522D">
        <w:rPr>
          <w:rFonts w:ascii="Times New Roman" w:hAnsi="Times New Roman" w:cs="Times New Roman"/>
          <w:i/>
          <w:szCs w:val="24"/>
        </w:rPr>
        <w:t>l</w:t>
      </w:r>
      <w:r w:rsidR="00D35748">
        <w:rPr>
          <w:rFonts w:ascii="Times New Roman" w:hAnsi="Times New Roman" w:cs="Times New Roman"/>
          <w:i/>
          <w:szCs w:val="24"/>
        </w:rPr>
        <w:t>is</w:t>
      </w:r>
      <w:proofErr w:type="spellEnd"/>
      <w:r w:rsidR="00D35748">
        <w:rPr>
          <w:rFonts w:ascii="Times New Roman" w:hAnsi="Times New Roman" w:cs="Times New Roman"/>
          <w:i/>
          <w:szCs w:val="24"/>
        </w:rPr>
        <w:t xml:space="preserve"> alibi </w:t>
      </w:r>
      <w:proofErr w:type="spellStart"/>
      <w:r w:rsidR="00D35748">
        <w:rPr>
          <w:rFonts w:ascii="Times New Roman" w:hAnsi="Times New Roman" w:cs="Times New Roman"/>
          <w:i/>
          <w:szCs w:val="24"/>
        </w:rPr>
        <w:t>pe</w:t>
      </w:r>
      <w:r w:rsidR="006E64AD" w:rsidRPr="0020522D">
        <w:rPr>
          <w:rFonts w:ascii="Times New Roman" w:hAnsi="Times New Roman" w:cs="Times New Roman"/>
          <w:i/>
          <w:szCs w:val="24"/>
        </w:rPr>
        <w:t>ndens</w:t>
      </w:r>
      <w:proofErr w:type="spellEnd"/>
      <w:r w:rsidR="006E64AD">
        <w:rPr>
          <w:rFonts w:ascii="Times New Roman" w:hAnsi="Times New Roman" w:cs="Times New Roman"/>
          <w:szCs w:val="24"/>
        </w:rPr>
        <w:t xml:space="preserve"> shares features in common with the </w:t>
      </w:r>
      <w:proofErr w:type="spellStart"/>
      <w:r w:rsidR="006E64AD">
        <w:rPr>
          <w:rFonts w:ascii="Times New Roman" w:hAnsi="Times New Roman" w:cs="Times New Roman"/>
          <w:szCs w:val="24"/>
        </w:rPr>
        <w:t>defence</w:t>
      </w:r>
      <w:proofErr w:type="spellEnd"/>
      <w:r w:rsidR="006E64AD">
        <w:rPr>
          <w:rFonts w:ascii="Times New Roman" w:hAnsi="Times New Roman" w:cs="Times New Roman"/>
          <w:szCs w:val="24"/>
        </w:rPr>
        <w:t xml:space="preserve"> of </w:t>
      </w:r>
      <w:r w:rsidR="006E64AD" w:rsidRPr="0020522D">
        <w:rPr>
          <w:rFonts w:ascii="Times New Roman" w:hAnsi="Times New Roman" w:cs="Times New Roman"/>
          <w:i/>
          <w:szCs w:val="24"/>
        </w:rPr>
        <w:t xml:space="preserve">res </w:t>
      </w:r>
      <w:proofErr w:type="spellStart"/>
      <w:r w:rsidR="006E64AD" w:rsidRPr="0020522D">
        <w:rPr>
          <w:rFonts w:ascii="Times New Roman" w:hAnsi="Times New Roman" w:cs="Times New Roman"/>
          <w:i/>
          <w:szCs w:val="24"/>
        </w:rPr>
        <w:t>judicata</w:t>
      </w:r>
      <w:proofErr w:type="spellEnd"/>
      <w:r w:rsidR="006E64AD">
        <w:rPr>
          <w:rFonts w:ascii="Times New Roman" w:hAnsi="Times New Roman" w:cs="Times New Roman"/>
          <w:szCs w:val="24"/>
        </w:rPr>
        <w:t xml:space="preserve"> because they have a common underlying principle which is that there should be finality in litigation.  Once a suit has been commenced before a tribunal that </w:t>
      </w:r>
      <w:r w:rsidR="00F67910">
        <w:rPr>
          <w:rFonts w:ascii="Times New Roman" w:hAnsi="Times New Roman" w:cs="Times New Roman"/>
          <w:szCs w:val="24"/>
        </w:rPr>
        <w:t>is competent to adjudicate upon it the suit must generally be brought to its conclusion before that tribunal</w:t>
      </w:r>
      <w:r>
        <w:rPr>
          <w:rFonts w:ascii="Times New Roman" w:hAnsi="Times New Roman" w:cs="Times New Roman"/>
          <w:szCs w:val="24"/>
        </w:rPr>
        <w:t xml:space="preserve"> and should not be replicated (</w:t>
      </w:r>
      <w:proofErr w:type="spellStart"/>
      <w:r w:rsidRPr="0020522D">
        <w:rPr>
          <w:rFonts w:ascii="Times New Roman" w:hAnsi="Times New Roman" w:cs="Times New Roman"/>
          <w:i/>
          <w:szCs w:val="24"/>
        </w:rPr>
        <w:t>l</w:t>
      </w:r>
      <w:r w:rsidR="00F67910" w:rsidRPr="0020522D">
        <w:rPr>
          <w:rFonts w:ascii="Times New Roman" w:hAnsi="Times New Roman" w:cs="Times New Roman"/>
          <w:i/>
          <w:szCs w:val="24"/>
        </w:rPr>
        <w:t>is</w:t>
      </w:r>
      <w:proofErr w:type="spellEnd"/>
      <w:r w:rsidR="00F67910" w:rsidRPr="0020522D">
        <w:rPr>
          <w:rFonts w:ascii="Times New Roman" w:hAnsi="Times New Roman" w:cs="Times New Roman"/>
          <w:i/>
          <w:szCs w:val="24"/>
        </w:rPr>
        <w:t xml:space="preserve"> alibi </w:t>
      </w:r>
      <w:proofErr w:type="spellStart"/>
      <w:r w:rsidR="00F67910" w:rsidRPr="0020522D">
        <w:rPr>
          <w:rFonts w:ascii="Times New Roman" w:hAnsi="Times New Roman" w:cs="Times New Roman"/>
          <w:i/>
          <w:szCs w:val="24"/>
        </w:rPr>
        <w:t>pendens</w:t>
      </w:r>
      <w:proofErr w:type="spellEnd"/>
      <w:r w:rsidR="00F67910">
        <w:rPr>
          <w:rFonts w:ascii="Times New Roman" w:hAnsi="Times New Roman" w:cs="Times New Roman"/>
          <w:szCs w:val="24"/>
        </w:rPr>
        <w:t>).  By the same token the suit w</w:t>
      </w:r>
      <w:r w:rsidR="007D2E1D">
        <w:rPr>
          <w:rFonts w:ascii="Times New Roman" w:hAnsi="Times New Roman" w:cs="Times New Roman"/>
          <w:szCs w:val="24"/>
        </w:rPr>
        <w:t>ill not be permitted to be revi</w:t>
      </w:r>
      <w:r w:rsidR="00F67910">
        <w:rPr>
          <w:rFonts w:ascii="Times New Roman" w:hAnsi="Times New Roman" w:cs="Times New Roman"/>
          <w:szCs w:val="24"/>
        </w:rPr>
        <w:t>ved once it has been brought to its proper conclusion (</w:t>
      </w:r>
      <w:r w:rsidR="00F67910" w:rsidRPr="0020522D">
        <w:rPr>
          <w:rFonts w:ascii="Times New Roman" w:hAnsi="Times New Roman" w:cs="Times New Roman"/>
          <w:i/>
          <w:szCs w:val="24"/>
        </w:rPr>
        <w:t xml:space="preserve">res </w:t>
      </w:r>
      <w:proofErr w:type="spellStart"/>
      <w:r w:rsidR="00F67910" w:rsidRPr="0020522D">
        <w:rPr>
          <w:rFonts w:ascii="Times New Roman" w:hAnsi="Times New Roman" w:cs="Times New Roman"/>
          <w:i/>
          <w:szCs w:val="24"/>
        </w:rPr>
        <w:t>judicata</w:t>
      </w:r>
      <w:proofErr w:type="spellEnd"/>
      <w:r w:rsidR="00F67910">
        <w:rPr>
          <w:rFonts w:ascii="Times New Roman" w:hAnsi="Times New Roman" w:cs="Times New Roman"/>
          <w:szCs w:val="24"/>
        </w:rPr>
        <w:t xml:space="preserve">).  The same suit, between the same parties, should be brought only once and finally.  There is room for the application of that principle only where the same dispute, between the same parties, is sought to be </w:t>
      </w:r>
      <w:r>
        <w:rPr>
          <w:rFonts w:ascii="Times New Roman" w:hAnsi="Times New Roman" w:cs="Times New Roman"/>
          <w:szCs w:val="24"/>
        </w:rPr>
        <w:t xml:space="preserve">placed before the same tribunal </w:t>
      </w:r>
      <w:r w:rsidR="008B4E6A">
        <w:rPr>
          <w:rFonts w:ascii="Times New Roman" w:hAnsi="Times New Roman" w:cs="Times New Roman"/>
          <w:szCs w:val="24"/>
        </w:rPr>
        <w:t>(</w:t>
      </w:r>
      <w:r w:rsidR="00F67910">
        <w:rPr>
          <w:rFonts w:ascii="Times New Roman" w:hAnsi="Times New Roman" w:cs="Times New Roman"/>
          <w:szCs w:val="24"/>
        </w:rPr>
        <w:t xml:space="preserve">or two tribunals with equal competence to </w:t>
      </w:r>
      <w:r w:rsidR="00832F1B">
        <w:rPr>
          <w:rFonts w:ascii="Times New Roman" w:hAnsi="Times New Roman" w:cs="Times New Roman"/>
          <w:szCs w:val="24"/>
        </w:rPr>
        <w:t>end the dispute authoritatively</w:t>
      </w:r>
      <w:r w:rsidR="008B4E6A">
        <w:rPr>
          <w:rFonts w:ascii="Times New Roman" w:hAnsi="Times New Roman" w:cs="Times New Roman"/>
          <w:szCs w:val="24"/>
        </w:rPr>
        <w:t>)</w:t>
      </w:r>
      <w:r w:rsidR="00F67910">
        <w:rPr>
          <w:rFonts w:ascii="Times New Roman" w:hAnsi="Times New Roman" w:cs="Times New Roman"/>
          <w:szCs w:val="24"/>
        </w:rPr>
        <w:t>.  In the absence of any of these elements there is no potential for a duplication of actions.”</w:t>
      </w:r>
    </w:p>
    <w:p w:rsidR="007B444E" w:rsidRDefault="007B444E" w:rsidP="00A916EE">
      <w:pPr>
        <w:pStyle w:val="NoSpacing"/>
        <w:ind w:left="720"/>
        <w:jc w:val="both"/>
        <w:rPr>
          <w:rFonts w:ascii="Times New Roman" w:hAnsi="Times New Roman" w:cs="Times New Roman"/>
          <w:szCs w:val="24"/>
        </w:rPr>
      </w:pPr>
    </w:p>
    <w:p w:rsidR="007B444E" w:rsidRDefault="007B444E" w:rsidP="00A916EE">
      <w:pPr>
        <w:pStyle w:val="NoSpacing"/>
        <w:ind w:left="720"/>
        <w:jc w:val="both"/>
        <w:rPr>
          <w:rFonts w:ascii="Times New Roman" w:hAnsi="Times New Roman" w:cs="Times New Roman"/>
          <w:szCs w:val="24"/>
        </w:rPr>
      </w:pPr>
    </w:p>
    <w:p w:rsidR="00DA44FD" w:rsidRDefault="00F42DF5" w:rsidP="00A916EE">
      <w:pPr>
        <w:pStyle w:val="NoSpacing"/>
        <w:spacing w:line="360" w:lineRule="auto"/>
        <w:jc w:val="both"/>
        <w:rPr>
          <w:rFonts w:ascii="Times New Roman" w:hAnsi="Times New Roman" w:cs="Times New Roman"/>
          <w:szCs w:val="24"/>
        </w:rPr>
      </w:pPr>
      <w:r>
        <w:rPr>
          <w:rFonts w:ascii="Times New Roman" w:hAnsi="Times New Roman" w:cs="Times New Roman"/>
          <w:i/>
          <w:szCs w:val="24"/>
        </w:rPr>
        <w:lastRenderedPageBreak/>
        <w:t xml:space="preserve"> </w:t>
      </w:r>
      <w:r>
        <w:rPr>
          <w:rFonts w:ascii="Times New Roman" w:hAnsi="Times New Roman" w:cs="Times New Roman"/>
          <w:i/>
          <w:szCs w:val="24"/>
        </w:rPr>
        <w:tab/>
      </w:r>
      <w:r w:rsidR="007B444E">
        <w:rPr>
          <w:rFonts w:ascii="Times New Roman" w:hAnsi="Times New Roman" w:cs="Times New Roman"/>
          <w:i/>
          <w:szCs w:val="24"/>
        </w:rPr>
        <w:t>I</w:t>
      </w:r>
      <w:r w:rsidR="00F67910" w:rsidRPr="0020522D">
        <w:rPr>
          <w:rFonts w:ascii="Times New Roman" w:hAnsi="Times New Roman" w:cs="Times New Roman"/>
          <w:i/>
          <w:szCs w:val="24"/>
        </w:rPr>
        <w:t xml:space="preserve">n </w:t>
      </w:r>
      <w:proofErr w:type="spellStart"/>
      <w:r w:rsidR="00F67910" w:rsidRPr="0020522D">
        <w:rPr>
          <w:rFonts w:ascii="Times New Roman" w:hAnsi="Times New Roman" w:cs="Times New Roman"/>
          <w:i/>
          <w:szCs w:val="24"/>
        </w:rPr>
        <w:t>casu</w:t>
      </w:r>
      <w:proofErr w:type="spellEnd"/>
      <w:r w:rsidR="00F67910">
        <w:rPr>
          <w:rFonts w:ascii="Times New Roman" w:hAnsi="Times New Roman" w:cs="Times New Roman"/>
          <w:szCs w:val="24"/>
        </w:rPr>
        <w:t xml:space="preserve"> the same parties are involved, the fate of the 1</w:t>
      </w:r>
      <w:r w:rsidR="00F67910" w:rsidRPr="00F67910">
        <w:rPr>
          <w:rFonts w:ascii="Times New Roman" w:hAnsi="Times New Roman" w:cs="Times New Roman"/>
          <w:szCs w:val="24"/>
          <w:vertAlign w:val="superscript"/>
        </w:rPr>
        <w:t>st</w:t>
      </w:r>
      <w:r w:rsidR="00F67910">
        <w:rPr>
          <w:rFonts w:ascii="Times New Roman" w:hAnsi="Times New Roman" w:cs="Times New Roman"/>
          <w:szCs w:val="24"/>
        </w:rPr>
        <w:t xml:space="preserve"> respondent is a common feature in both matters and a decision made in HC 2085/19 will end the dispute authoritatively.  Why do I say so?  I say so because the applicant </w:t>
      </w:r>
      <w:r w:rsidR="00F67910" w:rsidRPr="0020522D">
        <w:rPr>
          <w:rFonts w:ascii="Times New Roman" w:hAnsi="Times New Roman" w:cs="Times New Roman"/>
          <w:i/>
          <w:szCs w:val="24"/>
        </w:rPr>
        <w:t xml:space="preserve">in </w:t>
      </w:r>
      <w:proofErr w:type="spellStart"/>
      <w:r w:rsidR="00F67910" w:rsidRPr="0020522D">
        <w:rPr>
          <w:rFonts w:ascii="Times New Roman" w:hAnsi="Times New Roman" w:cs="Times New Roman"/>
          <w:i/>
          <w:szCs w:val="24"/>
        </w:rPr>
        <w:t>casu</w:t>
      </w:r>
      <w:proofErr w:type="spellEnd"/>
      <w:r w:rsidR="00F67910">
        <w:rPr>
          <w:rFonts w:ascii="Times New Roman" w:hAnsi="Times New Roman" w:cs="Times New Roman"/>
          <w:szCs w:val="24"/>
        </w:rPr>
        <w:t xml:space="preserve"> premises his claim on the fact that he</w:t>
      </w:r>
      <w:r w:rsidR="002E7BFC">
        <w:rPr>
          <w:rFonts w:ascii="Times New Roman" w:hAnsi="Times New Roman" w:cs="Times New Roman"/>
          <w:szCs w:val="24"/>
        </w:rPr>
        <w:t xml:space="preserve"> is</w:t>
      </w:r>
      <w:r w:rsidR="00F67910">
        <w:rPr>
          <w:rFonts w:ascii="Times New Roman" w:hAnsi="Times New Roman" w:cs="Times New Roman"/>
          <w:szCs w:val="24"/>
        </w:rPr>
        <w:t xml:space="preserve"> a co-director and </w:t>
      </w:r>
      <w:proofErr w:type="gramStart"/>
      <w:r w:rsidR="00F67910">
        <w:rPr>
          <w:rFonts w:ascii="Times New Roman" w:hAnsi="Times New Roman" w:cs="Times New Roman"/>
          <w:szCs w:val="24"/>
        </w:rPr>
        <w:t>has</w:t>
      </w:r>
      <w:proofErr w:type="gramEnd"/>
      <w:r w:rsidR="00F67910">
        <w:rPr>
          <w:rFonts w:ascii="Times New Roman" w:hAnsi="Times New Roman" w:cs="Times New Roman"/>
          <w:szCs w:val="24"/>
        </w:rPr>
        <w:t xml:space="preserve"> a 50% stake in the 1</w:t>
      </w:r>
      <w:r w:rsidR="00F67910" w:rsidRPr="00F67910">
        <w:rPr>
          <w:rFonts w:ascii="Times New Roman" w:hAnsi="Times New Roman" w:cs="Times New Roman"/>
          <w:szCs w:val="24"/>
          <w:vertAlign w:val="superscript"/>
        </w:rPr>
        <w:t>st</w:t>
      </w:r>
      <w:r w:rsidR="00F67910">
        <w:rPr>
          <w:rFonts w:ascii="Times New Roman" w:hAnsi="Times New Roman" w:cs="Times New Roman"/>
          <w:szCs w:val="24"/>
        </w:rPr>
        <w:t xml:space="preserve"> respondent.  This is the stake he </w:t>
      </w:r>
      <w:r w:rsidR="000013C5">
        <w:rPr>
          <w:rFonts w:ascii="Times New Roman" w:hAnsi="Times New Roman" w:cs="Times New Roman"/>
          <w:szCs w:val="24"/>
        </w:rPr>
        <w:t>would like to have in seeking the winding up of the 1</w:t>
      </w:r>
      <w:r w:rsidR="000013C5" w:rsidRPr="000013C5">
        <w:rPr>
          <w:rFonts w:ascii="Times New Roman" w:hAnsi="Times New Roman" w:cs="Times New Roman"/>
          <w:szCs w:val="24"/>
          <w:vertAlign w:val="superscript"/>
        </w:rPr>
        <w:t>st</w:t>
      </w:r>
      <w:r w:rsidR="000013C5">
        <w:rPr>
          <w:rFonts w:ascii="Times New Roman" w:hAnsi="Times New Roman" w:cs="Times New Roman"/>
          <w:szCs w:val="24"/>
        </w:rPr>
        <w:t xml:space="preserve"> respondent.  In HC 2085/19 the 2</w:t>
      </w:r>
      <w:r w:rsidR="000013C5" w:rsidRPr="000013C5">
        <w:rPr>
          <w:rFonts w:ascii="Times New Roman" w:hAnsi="Times New Roman" w:cs="Times New Roman"/>
          <w:szCs w:val="24"/>
          <w:vertAlign w:val="superscript"/>
        </w:rPr>
        <w:t>nd</w:t>
      </w:r>
      <w:r w:rsidR="000013C5">
        <w:rPr>
          <w:rFonts w:ascii="Times New Roman" w:hAnsi="Times New Roman" w:cs="Times New Roman"/>
          <w:szCs w:val="24"/>
        </w:rPr>
        <w:t xml:space="preserve"> respondent is saying we own a number of businesses and I would like to be awarded the shares in 1</w:t>
      </w:r>
      <w:r w:rsidR="000013C5" w:rsidRPr="000013C5">
        <w:rPr>
          <w:rFonts w:ascii="Times New Roman" w:hAnsi="Times New Roman" w:cs="Times New Roman"/>
          <w:szCs w:val="24"/>
          <w:vertAlign w:val="superscript"/>
        </w:rPr>
        <w:t>st</w:t>
      </w:r>
      <w:r w:rsidR="000013C5">
        <w:rPr>
          <w:rFonts w:ascii="Times New Roman" w:hAnsi="Times New Roman" w:cs="Times New Roman"/>
          <w:szCs w:val="24"/>
        </w:rPr>
        <w:t xml:space="preserve"> respondent for the reason articulated in the declaration.  If the court in HC 2085/19 is persuaded by the 2</w:t>
      </w:r>
      <w:r w:rsidR="000013C5" w:rsidRPr="000013C5">
        <w:rPr>
          <w:rFonts w:ascii="Times New Roman" w:hAnsi="Times New Roman" w:cs="Times New Roman"/>
          <w:szCs w:val="24"/>
          <w:vertAlign w:val="superscript"/>
        </w:rPr>
        <w:t>nd</w:t>
      </w:r>
      <w:r w:rsidR="000013C5">
        <w:rPr>
          <w:rFonts w:ascii="Times New Roman" w:hAnsi="Times New Roman" w:cs="Times New Roman"/>
          <w:szCs w:val="24"/>
        </w:rPr>
        <w:t xml:space="preserve"> respondent’s argument and awards her the 100% shares in the 1</w:t>
      </w:r>
      <w:r w:rsidR="000013C5" w:rsidRPr="000013C5">
        <w:rPr>
          <w:rFonts w:ascii="Times New Roman" w:hAnsi="Times New Roman" w:cs="Times New Roman"/>
          <w:szCs w:val="24"/>
          <w:vertAlign w:val="superscript"/>
        </w:rPr>
        <w:t>st</w:t>
      </w:r>
      <w:r w:rsidR="000013C5">
        <w:rPr>
          <w:rFonts w:ascii="Times New Roman" w:hAnsi="Times New Roman" w:cs="Times New Roman"/>
          <w:szCs w:val="24"/>
        </w:rPr>
        <w:t xml:space="preserve"> </w:t>
      </w:r>
      <w:r w:rsidR="00DC179A">
        <w:rPr>
          <w:rFonts w:ascii="Times New Roman" w:hAnsi="Times New Roman" w:cs="Times New Roman"/>
          <w:szCs w:val="24"/>
        </w:rPr>
        <w:t>respondent that</w:t>
      </w:r>
      <w:r w:rsidR="000013C5">
        <w:rPr>
          <w:rFonts w:ascii="Times New Roman" w:hAnsi="Times New Roman" w:cs="Times New Roman"/>
          <w:szCs w:val="24"/>
        </w:rPr>
        <w:t xml:space="preserve"> decision is final and authoritatively disposes of the dispute between the parties.  If, on the other hand, the court decides that the parties should share equally as denoted by the 50-50 share regime currently </w:t>
      </w:r>
      <w:r w:rsidR="00DA44FD">
        <w:rPr>
          <w:rFonts w:ascii="Times New Roman" w:hAnsi="Times New Roman" w:cs="Times New Roman"/>
          <w:szCs w:val="24"/>
        </w:rPr>
        <w:t>obtaining, it means the applicant will get the relief he seeks in bringing this application.  Again that decision will authoritatively resolve the dispute between the parties.  Whichever way one looks at it there is finality in litigation with the resolution of HC 2085/19.  The fact that there are other assets sought to be shared does not change anything.  What is important to consider is the fact that the 1</w:t>
      </w:r>
      <w:r w:rsidR="00DA44FD" w:rsidRPr="00DA44FD">
        <w:rPr>
          <w:rFonts w:ascii="Times New Roman" w:hAnsi="Times New Roman" w:cs="Times New Roman"/>
          <w:szCs w:val="24"/>
          <w:vertAlign w:val="superscript"/>
        </w:rPr>
        <w:t>st</w:t>
      </w:r>
      <w:r w:rsidR="00DA44FD">
        <w:rPr>
          <w:rFonts w:ascii="Times New Roman" w:hAnsi="Times New Roman" w:cs="Times New Roman"/>
          <w:szCs w:val="24"/>
        </w:rPr>
        <w:t xml:space="preserve"> respondent is one of the assets sought to be shared under HC 2085/19.</w:t>
      </w:r>
    </w:p>
    <w:p w:rsidR="00DA44FD" w:rsidRDefault="00DA44FD" w:rsidP="00A916EE">
      <w:pPr>
        <w:pStyle w:val="NoSpacing"/>
        <w:spacing w:line="360" w:lineRule="auto"/>
        <w:jc w:val="both"/>
        <w:rPr>
          <w:rFonts w:ascii="Times New Roman" w:hAnsi="Times New Roman" w:cs="Times New Roman"/>
          <w:szCs w:val="24"/>
        </w:rPr>
      </w:pPr>
    </w:p>
    <w:p w:rsidR="00DA44FD" w:rsidRDefault="00DA44FD" w:rsidP="00A916EE">
      <w:pPr>
        <w:pStyle w:val="NoSpacing"/>
        <w:spacing w:line="360" w:lineRule="auto"/>
        <w:jc w:val="both"/>
        <w:rPr>
          <w:rFonts w:ascii="Times New Roman" w:hAnsi="Times New Roman" w:cs="Times New Roman"/>
          <w:szCs w:val="24"/>
        </w:rPr>
      </w:pPr>
      <w:r>
        <w:rPr>
          <w:rFonts w:ascii="Times New Roman" w:hAnsi="Times New Roman" w:cs="Times New Roman"/>
          <w:szCs w:val="24"/>
        </w:rPr>
        <w:tab/>
        <w:t xml:space="preserve">In saying this I do not lose sight of the fact that a plea of </w:t>
      </w:r>
      <w:proofErr w:type="spellStart"/>
      <w:r w:rsidRPr="0020522D">
        <w:rPr>
          <w:rFonts w:ascii="Times New Roman" w:hAnsi="Times New Roman" w:cs="Times New Roman"/>
          <w:i/>
          <w:szCs w:val="24"/>
        </w:rPr>
        <w:t>lis</w:t>
      </w:r>
      <w:proofErr w:type="spellEnd"/>
      <w:r w:rsidRPr="0020522D">
        <w:rPr>
          <w:rFonts w:ascii="Times New Roman" w:hAnsi="Times New Roman" w:cs="Times New Roman"/>
          <w:i/>
          <w:szCs w:val="24"/>
        </w:rPr>
        <w:t xml:space="preserve"> </w:t>
      </w:r>
      <w:proofErr w:type="spellStart"/>
      <w:r w:rsidRPr="0020522D">
        <w:rPr>
          <w:rFonts w:ascii="Times New Roman" w:hAnsi="Times New Roman" w:cs="Times New Roman"/>
          <w:i/>
          <w:szCs w:val="24"/>
        </w:rPr>
        <w:t>pendens</w:t>
      </w:r>
      <w:proofErr w:type="spellEnd"/>
      <w:r>
        <w:rPr>
          <w:rFonts w:ascii="Times New Roman" w:hAnsi="Times New Roman" w:cs="Times New Roman"/>
          <w:szCs w:val="24"/>
        </w:rPr>
        <w:t xml:space="preserve"> is not an absolute bar to t</w:t>
      </w:r>
      <w:r w:rsidR="00DC179A">
        <w:rPr>
          <w:rFonts w:ascii="Times New Roman" w:hAnsi="Times New Roman" w:cs="Times New Roman"/>
          <w:szCs w:val="24"/>
        </w:rPr>
        <w:t xml:space="preserve">he proceedings I am seized with. </w:t>
      </w:r>
      <w:r>
        <w:rPr>
          <w:rFonts w:ascii="Times New Roman" w:hAnsi="Times New Roman" w:cs="Times New Roman"/>
          <w:szCs w:val="24"/>
        </w:rPr>
        <w:t xml:space="preserve">On page 606, the learned authors </w:t>
      </w:r>
      <w:proofErr w:type="spellStart"/>
      <w:r>
        <w:rPr>
          <w:rFonts w:ascii="Times New Roman" w:hAnsi="Times New Roman" w:cs="Times New Roman"/>
          <w:szCs w:val="24"/>
        </w:rPr>
        <w:t>Herbstein</w:t>
      </w:r>
      <w:proofErr w:type="spellEnd"/>
      <w:r>
        <w:rPr>
          <w:rFonts w:ascii="Times New Roman" w:hAnsi="Times New Roman" w:cs="Times New Roman"/>
          <w:szCs w:val="24"/>
        </w:rPr>
        <w:t xml:space="preserve"> and Van </w:t>
      </w:r>
      <w:proofErr w:type="spellStart"/>
      <w:r>
        <w:rPr>
          <w:rFonts w:ascii="Times New Roman" w:hAnsi="Times New Roman" w:cs="Times New Roman"/>
          <w:szCs w:val="24"/>
        </w:rPr>
        <w:t>Winsen</w:t>
      </w:r>
      <w:proofErr w:type="spellEnd"/>
      <w:r>
        <w:rPr>
          <w:rFonts w:ascii="Times New Roman" w:hAnsi="Times New Roman" w:cs="Times New Roman"/>
          <w:szCs w:val="24"/>
        </w:rPr>
        <w:t xml:space="preserve"> put it thus:-</w:t>
      </w:r>
    </w:p>
    <w:p w:rsidR="00DA44FD" w:rsidRDefault="00DA44FD"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“A plea of </w:t>
      </w:r>
      <w:proofErr w:type="spellStart"/>
      <w:r w:rsidRPr="0020522D">
        <w:rPr>
          <w:rFonts w:ascii="Times New Roman" w:hAnsi="Times New Roman" w:cs="Times New Roman"/>
          <w:i/>
          <w:szCs w:val="24"/>
        </w:rPr>
        <w:t>lis</w:t>
      </w:r>
      <w:proofErr w:type="spellEnd"/>
      <w:r w:rsidRPr="0020522D">
        <w:rPr>
          <w:rFonts w:ascii="Times New Roman" w:hAnsi="Times New Roman" w:cs="Times New Roman"/>
          <w:i/>
          <w:szCs w:val="24"/>
        </w:rPr>
        <w:t xml:space="preserve"> </w:t>
      </w:r>
      <w:proofErr w:type="spellStart"/>
      <w:r w:rsidRPr="0020522D">
        <w:rPr>
          <w:rFonts w:ascii="Times New Roman" w:hAnsi="Times New Roman" w:cs="Times New Roman"/>
          <w:i/>
          <w:szCs w:val="24"/>
        </w:rPr>
        <w:t>pendens</w:t>
      </w:r>
      <w:proofErr w:type="spellEnd"/>
      <w:r>
        <w:rPr>
          <w:rFonts w:ascii="Times New Roman" w:hAnsi="Times New Roman" w:cs="Times New Roman"/>
          <w:szCs w:val="24"/>
        </w:rPr>
        <w:t xml:space="preserve"> does not have the effect of an absolute bar to the proceedings in which the </w:t>
      </w:r>
      <w:proofErr w:type="spellStart"/>
      <w:r>
        <w:rPr>
          <w:rFonts w:ascii="Times New Roman" w:hAnsi="Times New Roman" w:cs="Times New Roman"/>
          <w:szCs w:val="24"/>
        </w:rPr>
        <w:t>defence</w:t>
      </w:r>
      <w:proofErr w:type="spellEnd"/>
      <w:r>
        <w:rPr>
          <w:rFonts w:ascii="Times New Roman" w:hAnsi="Times New Roman" w:cs="Times New Roman"/>
          <w:szCs w:val="24"/>
        </w:rPr>
        <w:t xml:space="preserve"> is raised.  The court intervenes to stay one or other of the proceedings, because it is </w:t>
      </w:r>
      <w:r w:rsidRPr="00F56704">
        <w:rPr>
          <w:rFonts w:ascii="Times New Roman" w:hAnsi="Times New Roman" w:cs="Times New Roman"/>
          <w:i/>
          <w:szCs w:val="24"/>
        </w:rPr>
        <w:t>prima facie</w:t>
      </w:r>
      <w:r>
        <w:rPr>
          <w:rFonts w:ascii="Times New Roman" w:hAnsi="Times New Roman" w:cs="Times New Roman"/>
          <w:szCs w:val="24"/>
        </w:rPr>
        <w:t xml:space="preserve"> vexatious to bring two actions in respect of the same subject matter.  The court reserves a discretion in the matter even if all the essentials of the plea are present, and may in spite of that fact consider whether it is more just and equitable or convenient that it (the action against which the special plea is advanced) should be allowed to proceed.  It often happens that the court wil</w:t>
      </w:r>
      <w:r w:rsidR="0020522D">
        <w:rPr>
          <w:rFonts w:ascii="Times New Roman" w:hAnsi="Times New Roman" w:cs="Times New Roman"/>
          <w:szCs w:val="24"/>
        </w:rPr>
        <w:t>l</w:t>
      </w:r>
      <w:r>
        <w:rPr>
          <w:rFonts w:ascii="Times New Roman" w:hAnsi="Times New Roman" w:cs="Times New Roman"/>
          <w:szCs w:val="24"/>
        </w:rPr>
        <w:t xml:space="preserve"> decide that the </w:t>
      </w:r>
      <w:proofErr w:type="spellStart"/>
      <w:r w:rsidRPr="0020522D">
        <w:rPr>
          <w:rFonts w:ascii="Times New Roman" w:hAnsi="Times New Roman" w:cs="Times New Roman"/>
          <w:i/>
          <w:szCs w:val="24"/>
        </w:rPr>
        <w:t>lis</w:t>
      </w:r>
      <w:proofErr w:type="spellEnd"/>
      <w:r>
        <w:rPr>
          <w:rFonts w:ascii="Times New Roman" w:hAnsi="Times New Roman" w:cs="Times New Roman"/>
          <w:szCs w:val="24"/>
        </w:rPr>
        <w:t xml:space="preserve"> which was first commenced should be the one to proceed but this is not an immutable rule.</w:t>
      </w:r>
      <w:r w:rsidR="00CA474E">
        <w:rPr>
          <w:rFonts w:ascii="Times New Roman" w:hAnsi="Times New Roman" w:cs="Times New Roman"/>
          <w:szCs w:val="24"/>
        </w:rPr>
        <w:t>”</w:t>
      </w:r>
    </w:p>
    <w:p w:rsidR="00CA474E" w:rsidRDefault="00CA474E" w:rsidP="00A916EE">
      <w:pPr>
        <w:pStyle w:val="NoSpacing"/>
        <w:ind w:left="720"/>
        <w:jc w:val="both"/>
        <w:rPr>
          <w:rFonts w:ascii="Times New Roman" w:hAnsi="Times New Roman" w:cs="Times New Roman"/>
          <w:szCs w:val="24"/>
        </w:rPr>
      </w:pPr>
    </w:p>
    <w:p w:rsidR="00CA474E" w:rsidRDefault="00CA474E" w:rsidP="00A916EE">
      <w:pPr>
        <w:pStyle w:val="NoSpacing"/>
        <w:ind w:left="720"/>
        <w:jc w:val="both"/>
        <w:rPr>
          <w:rFonts w:ascii="Times New Roman" w:hAnsi="Times New Roman" w:cs="Times New Roman"/>
          <w:szCs w:val="24"/>
        </w:rPr>
      </w:pPr>
      <w:r>
        <w:rPr>
          <w:rFonts w:ascii="Times New Roman" w:hAnsi="Times New Roman" w:cs="Times New Roman"/>
          <w:szCs w:val="24"/>
        </w:rPr>
        <w:t>It is important to note the following:-</w:t>
      </w:r>
    </w:p>
    <w:p w:rsidR="00CA474E" w:rsidRDefault="00CA474E" w:rsidP="00A916EE">
      <w:pPr>
        <w:pStyle w:val="NoSpacing"/>
        <w:ind w:left="720"/>
        <w:jc w:val="both"/>
        <w:rPr>
          <w:rFonts w:ascii="Times New Roman" w:hAnsi="Times New Roman" w:cs="Times New Roman"/>
          <w:szCs w:val="24"/>
        </w:rPr>
      </w:pPr>
    </w:p>
    <w:p w:rsidR="00CA474E" w:rsidRDefault="00CA474E" w:rsidP="00A916EE">
      <w:pPr>
        <w:pStyle w:val="NoSpacing"/>
        <w:spacing w:line="360" w:lineRule="auto"/>
        <w:ind w:left="144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There is no evi</w:t>
      </w:r>
      <w:r w:rsidR="00837046">
        <w:rPr>
          <w:rFonts w:ascii="Times New Roman" w:hAnsi="Times New Roman" w:cs="Times New Roman"/>
          <w:szCs w:val="24"/>
        </w:rPr>
        <w:t>dence of impropriety on the par</w:t>
      </w:r>
      <w:r>
        <w:rPr>
          <w:rFonts w:ascii="Times New Roman" w:hAnsi="Times New Roman" w:cs="Times New Roman"/>
          <w:szCs w:val="24"/>
        </w:rPr>
        <w:t>t of the 2</w:t>
      </w:r>
      <w:r w:rsidRPr="00CA474E">
        <w:rPr>
          <w:rFonts w:ascii="Times New Roman" w:hAnsi="Times New Roman" w:cs="Times New Roman"/>
          <w:szCs w:val="24"/>
          <w:vertAlign w:val="superscript"/>
        </w:rPr>
        <w:t>nd</w:t>
      </w:r>
      <w:r>
        <w:rPr>
          <w:rFonts w:ascii="Times New Roman" w:hAnsi="Times New Roman" w:cs="Times New Roman"/>
          <w:szCs w:val="24"/>
        </w:rPr>
        <w:t xml:space="preserve"> respondent in running the 1</w:t>
      </w:r>
      <w:r w:rsidRPr="00CA474E">
        <w:rPr>
          <w:rFonts w:ascii="Times New Roman" w:hAnsi="Times New Roman" w:cs="Times New Roman"/>
          <w:szCs w:val="24"/>
          <w:vertAlign w:val="superscript"/>
        </w:rPr>
        <w:t>st</w:t>
      </w:r>
      <w:r>
        <w:rPr>
          <w:rFonts w:ascii="Times New Roman" w:hAnsi="Times New Roman" w:cs="Times New Roman"/>
          <w:szCs w:val="24"/>
        </w:rPr>
        <w:t xml:space="preserve"> </w:t>
      </w:r>
      <w:r w:rsidR="002D0E58">
        <w:rPr>
          <w:rFonts w:ascii="Times New Roman" w:hAnsi="Times New Roman" w:cs="Times New Roman"/>
          <w:szCs w:val="24"/>
        </w:rPr>
        <w:t>respondent. It is merely an unsubstantiated suspicion.</w:t>
      </w:r>
    </w:p>
    <w:p w:rsidR="00CA474E" w:rsidRDefault="00CA474E" w:rsidP="00A916EE">
      <w:pPr>
        <w:pStyle w:val="NoSpacing"/>
        <w:spacing w:line="360" w:lineRule="auto"/>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The applicant considers the 1</w:t>
      </w:r>
      <w:r w:rsidRPr="00CA474E">
        <w:rPr>
          <w:rFonts w:ascii="Times New Roman" w:hAnsi="Times New Roman" w:cs="Times New Roman"/>
          <w:szCs w:val="24"/>
          <w:vertAlign w:val="superscript"/>
        </w:rPr>
        <w:t>st</w:t>
      </w:r>
      <w:r>
        <w:rPr>
          <w:rFonts w:ascii="Times New Roman" w:hAnsi="Times New Roman" w:cs="Times New Roman"/>
          <w:szCs w:val="24"/>
        </w:rPr>
        <w:t xml:space="preserve"> respondent as the only means by which the 2</w:t>
      </w:r>
      <w:r w:rsidRPr="00CA474E">
        <w:rPr>
          <w:rFonts w:ascii="Times New Roman" w:hAnsi="Times New Roman" w:cs="Times New Roman"/>
          <w:szCs w:val="24"/>
          <w:vertAlign w:val="superscript"/>
        </w:rPr>
        <w:t>nd</w:t>
      </w:r>
      <w:r>
        <w:rPr>
          <w:rFonts w:ascii="Times New Roman" w:hAnsi="Times New Roman" w:cs="Times New Roman"/>
          <w:szCs w:val="24"/>
        </w:rPr>
        <w:t xml:space="preserve"> respondent can have financial muscle.</w:t>
      </w:r>
    </w:p>
    <w:p w:rsidR="00CA474E" w:rsidRDefault="00CA474E" w:rsidP="00A916EE">
      <w:pPr>
        <w:pStyle w:val="NoSpacing"/>
        <w:spacing w:line="360" w:lineRule="auto"/>
        <w:ind w:left="1440" w:hanging="720"/>
        <w:jc w:val="both"/>
        <w:rPr>
          <w:rFonts w:ascii="Times New Roman" w:hAnsi="Times New Roman" w:cs="Times New Roman"/>
          <w:szCs w:val="24"/>
        </w:rPr>
      </w:pPr>
      <w:r>
        <w:rPr>
          <w:rFonts w:ascii="Times New Roman" w:hAnsi="Times New Roman" w:cs="Times New Roman"/>
          <w:szCs w:val="24"/>
        </w:rPr>
        <w:lastRenderedPageBreak/>
        <w:t>3.</w:t>
      </w:r>
      <w:r>
        <w:rPr>
          <w:rFonts w:ascii="Times New Roman" w:hAnsi="Times New Roman" w:cs="Times New Roman"/>
          <w:szCs w:val="24"/>
        </w:rPr>
        <w:tab/>
        <w:t>The applicant’s inability to access the premises of the 1</w:t>
      </w:r>
      <w:r w:rsidRPr="00CA474E">
        <w:rPr>
          <w:rFonts w:ascii="Times New Roman" w:hAnsi="Times New Roman" w:cs="Times New Roman"/>
          <w:szCs w:val="24"/>
          <w:vertAlign w:val="superscript"/>
        </w:rPr>
        <w:t>st</w:t>
      </w:r>
      <w:r>
        <w:rPr>
          <w:rFonts w:ascii="Times New Roman" w:hAnsi="Times New Roman" w:cs="Times New Roman"/>
          <w:szCs w:val="24"/>
        </w:rPr>
        <w:t xml:space="preserve"> respondent is premised on a court order which was granted by consent and not the machinations of the 2</w:t>
      </w:r>
      <w:r w:rsidRPr="00CA474E">
        <w:rPr>
          <w:rFonts w:ascii="Times New Roman" w:hAnsi="Times New Roman" w:cs="Times New Roman"/>
          <w:szCs w:val="24"/>
          <w:vertAlign w:val="superscript"/>
        </w:rPr>
        <w:t>nd</w:t>
      </w:r>
      <w:r>
        <w:rPr>
          <w:rFonts w:ascii="Times New Roman" w:hAnsi="Times New Roman" w:cs="Times New Roman"/>
          <w:szCs w:val="24"/>
        </w:rPr>
        <w:t xml:space="preserve"> respondent.</w:t>
      </w:r>
    </w:p>
    <w:p w:rsidR="00CA474E" w:rsidRDefault="00CA474E" w:rsidP="00A916EE">
      <w:pPr>
        <w:pStyle w:val="NoSpacing"/>
        <w:spacing w:line="360" w:lineRule="auto"/>
        <w:ind w:left="1440" w:hanging="720"/>
        <w:jc w:val="both"/>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The 2</w:t>
      </w:r>
      <w:r w:rsidRPr="00CA474E">
        <w:rPr>
          <w:rFonts w:ascii="Times New Roman" w:hAnsi="Times New Roman" w:cs="Times New Roman"/>
          <w:szCs w:val="24"/>
          <w:vertAlign w:val="superscript"/>
        </w:rPr>
        <w:t>nd</w:t>
      </w:r>
      <w:r>
        <w:rPr>
          <w:rFonts w:ascii="Times New Roman" w:hAnsi="Times New Roman" w:cs="Times New Roman"/>
          <w:szCs w:val="24"/>
        </w:rPr>
        <w:t xml:space="preserve"> respondent is willing to have applicant’s proxy to attend at 1</w:t>
      </w:r>
      <w:r w:rsidRPr="00CA474E">
        <w:rPr>
          <w:rFonts w:ascii="Times New Roman" w:hAnsi="Times New Roman" w:cs="Times New Roman"/>
          <w:szCs w:val="24"/>
          <w:vertAlign w:val="superscript"/>
        </w:rPr>
        <w:t>st</w:t>
      </w:r>
      <w:r>
        <w:rPr>
          <w:rFonts w:ascii="Times New Roman" w:hAnsi="Times New Roman" w:cs="Times New Roman"/>
          <w:szCs w:val="24"/>
        </w:rPr>
        <w:t xml:space="preserve"> respondent to monitor the activities thereat at start of business and end of business on a daily basis to allay any fears of fraudulent activity.</w:t>
      </w:r>
    </w:p>
    <w:p w:rsidR="00CA474E" w:rsidRDefault="00CA474E" w:rsidP="00A916EE">
      <w:pPr>
        <w:pStyle w:val="NoSpacing"/>
        <w:spacing w:line="360" w:lineRule="auto"/>
        <w:ind w:left="1440" w:hanging="720"/>
        <w:jc w:val="both"/>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2</w:t>
      </w:r>
      <w:r w:rsidRPr="00CA474E">
        <w:rPr>
          <w:rFonts w:ascii="Times New Roman" w:hAnsi="Times New Roman" w:cs="Times New Roman"/>
          <w:szCs w:val="24"/>
          <w:vertAlign w:val="superscript"/>
        </w:rPr>
        <w:t>nd</w:t>
      </w:r>
      <w:r>
        <w:rPr>
          <w:rFonts w:ascii="Times New Roman" w:hAnsi="Times New Roman" w:cs="Times New Roman"/>
          <w:szCs w:val="24"/>
        </w:rPr>
        <w:t xml:space="preserve"> respondent will </w:t>
      </w:r>
      <w:r w:rsidR="00902FC5">
        <w:rPr>
          <w:rFonts w:ascii="Times New Roman" w:hAnsi="Times New Roman" w:cs="Times New Roman"/>
          <w:szCs w:val="24"/>
        </w:rPr>
        <w:t>be shooting herself in the foot if she runs down 1</w:t>
      </w:r>
      <w:r w:rsidR="00902FC5" w:rsidRPr="00902FC5">
        <w:rPr>
          <w:rFonts w:ascii="Times New Roman" w:hAnsi="Times New Roman" w:cs="Times New Roman"/>
          <w:szCs w:val="24"/>
          <w:vertAlign w:val="superscript"/>
        </w:rPr>
        <w:t>st</w:t>
      </w:r>
      <w:r w:rsidR="00902FC5">
        <w:rPr>
          <w:rFonts w:ascii="Times New Roman" w:hAnsi="Times New Roman" w:cs="Times New Roman"/>
          <w:szCs w:val="24"/>
        </w:rPr>
        <w:t xml:space="preserve"> respondent as that is the company she is seeking to be awarded in HC 2085/19.</w:t>
      </w:r>
    </w:p>
    <w:p w:rsidR="00902FC5" w:rsidRDefault="00902FC5" w:rsidP="00A916EE">
      <w:pPr>
        <w:pStyle w:val="NoSpacing"/>
        <w:spacing w:line="360" w:lineRule="auto"/>
        <w:ind w:left="1440" w:hanging="720"/>
        <w:jc w:val="both"/>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t>HC 2085/19 was commenced first and the applicant is aware of the suggested property distribution.</w:t>
      </w:r>
    </w:p>
    <w:p w:rsidR="00902FC5" w:rsidRDefault="00902FC5" w:rsidP="00A916EE">
      <w:pPr>
        <w:pStyle w:val="NoSpacing"/>
        <w:spacing w:line="360" w:lineRule="auto"/>
        <w:ind w:left="1440" w:hanging="720"/>
        <w:jc w:val="both"/>
        <w:rPr>
          <w:rFonts w:ascii="Times New Roman" w:hAnsi="Times New Roman" w:cs="Times New Roman"/>
          <w:szCs w:val="24"/>
        </w:rPr>
      </w:pPr>
    </w:p>
    <w:p w:rsidR="00902FC5" w:rsidRDefault="00902FC5"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In light of the foregoing, the discretion reposed in the court ought</w:t>
      </w:r>
      <w:r w:rsidR="00632F19">
        <w:rPr>
          <w:rFonts w:ascii="Times New Roman" w:hAnsi="Times New Roman" w:cs="Times New Roman"/>
          <w:szCs w:val="24"/>
        </w:rPr>
        <w:t xml:space="preserve"> </w:t>
      </w:r>
      <w:r w:rsidR="00FE184C">
        <w:rPr>
          <w:rFonts w:ascii="Times New Roman" w:hAnsi="Times New Roman" w:cs="Times New Roman"/>
          <w:szCs w:val="24"/>
        </w:rPr>
        <w:t>to</w:t>
      </w:r>
      <w:r>
        <w:rPr>
          <w:rFonts w:ascii="Times New Roman" w:hAnsi="Times New Roman" w:cs="Times New Roman"/>
          <w:szCs w:val="24"/>
        </w:rPr>
        <w:t xml:space="preserve"> be exercised judiciously.</w:t>
      </w:r>
    </w:p>
    <w:p w:rsidR="00902FC5" w:rsidRDefault="00902FC5" w:rsidP="00A916EE">
      <w:pPr>
        <w:pStyle w:val="NoSpacing"/>
        <w:spacing w:line="360" w:lineRule="auto"/>
        <w:ind w:firstLine="720"/>
        <w:jc w:val="both"/>
        <w:rPr>
          <w:rFonts w:ascii="Times New Roman" w:hAnsi="Times New Roman" w:cs="Times New Roman"/>
          <w:szCs w:val="24"/>
        </w:rPr>
      </w:pPr>
    </w:p>
    <w:p w:rsidR="00902FC5" w:rsidRDefault="00902FC5"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Counsel for the 2</w:t>
      </w:r>
      <w:r w:rsidRPr="00902FC5">
        <w:rPr>
          <w:rFonts w:ascii="Times New Roman" w:hAnsi="Times New Roman" w:cs="Times New Roman"/>
          <w:szCs w:val="24"/>
          <w:vertAlign w:val="superscript"/>
        </w:rPr>
        <w:t>nd</w:t>
      </w:r>
      <w:r>
        <w:rPr>
          <w:rFonts w:ascii="Times New Roman" w:hAnsi="Times New Roman" w:cs="Times New Roman"/>
          <w:szCs w:val="24"/>
        </w:rPr>
        <w:t xml:space="preserve"> respondent </w:t>
      </w:r>
      <w:r w:rsidR="003A7953">
        <w:rPr>
          <w:rFonts w:ascii="Times New Roman" w:hAnsi="Times New Roman" w:cs="Times New Roman"/>
          <w:szCs w:val="24"/>
        </w:rPr>
        <w:t>referred</w:t>
      </w:r>
      <w:r>
        <w:rPr>
          <w:rFonts w:ascii="Times New Roman" w:hAnsi="Times New Roman" w:cs="Times New Roman"/>
          <w:szCs w:val="24"/>
        </w:rPr>
        <w:t xml:space="preserve"> the court to the case of </w:t>
      </w:r>
      <w:proofErr w:type="spellStart"/>
      <w:r w:rsidRPr="0020522D">
        <w:rPr>
          <w:rFonts w:ascii="Times New Roman" w:hAnsi="Times New Roman" w:cs="Times New Roman"/>
          <w:i/>
          <w:szCs w:val="24"/>
        </w:rPr>
        <w:t>Caesarstone</w:t>
      </w:r>
      <w:proofErr w:type="spellEnd"/>
      <w:r w:rsidRPr="0020522D">
        <w:rPr>
          <w:rFonts w:ascii="Times New Roman" w:hAnsi="Times New Roman" w:cs="Times New Roman"/>
          <w:i/>
          <w:szCs w:val="24"/>
        </w:rPr>
        <w:t xml:space="preserve"> </w:t>
      </w:r>
      <w:proofErr w:type="spellStart"/>
      <w:r w:rsidRPr="0020522D">
        <w:rPr>
          <w:rFonts w:ascii="Times New Roman" w:hAnsi="Times New Roman" w:cs="Times New Roman"/>
          <w:i/>
          <w:szCs w:val="24"/>
        </w:rPr>
        <w:t>Sdot</w:t>
      </w:r>
      <w:proofErr w:type="spellEnd"/>
      <w:r>
        <w:rPr>
          <w:rFonts w:ascii="Times New Roman" w:hAnsi="Times New Roman" w:cs="Times New Roman"/>
          <w:szCs w:val="24"/>
        </w:rPr>
        <w:t xml:space="preserve"> – </w:t>
      </w:r>
      <w:r w:rsidRPr="0020522D">
        <w:rPr>
          <w:rFonts w:ascii="Times New Roman" w:hAnsi="Times New Roman" w:cs="Times New Roman"/>
          <w:i/>
          <w:szCs w:val="24"/>
        </w:rPr>
        <w:t>Yam Ltd</w:t>
      </w:r>
      <w:r>
        <w:rPr>
          <w:rFonts w:ascii="Times New Roman" w:hAnsi="Times New Roman" w:cs="Times New Roman"/>
          <w:szCs w:val="24"/>
        </w:rPr>
        <w:t xml:space="preserve"> v </w:t>
      </w:r>
      <w:r w:rsidRPr="0020522D">
        <w:rPr>
          <w:rFonts w:ascii="Times New Roman" w:hAnsi="Times New Roman" w:cs="Times New Roman"/>
          <w:i/>
          <w:szCs w:val="24"/>
        </w:rPr>
        <w:t>The World of Marble and Granite</w:t>
      </w:r>
      <w:r>
        <w:rPr>
          <w:rFonts w:ascii="Times New Roman" w:hAnsi="Times New Roman" w:cs="Times New Roman"/>
          <w:szCs w:val="24"/>
        </w:rPr>
        <w:t xml:space="preserve"> CC (741/12) (293) ZASCA 129.  I do not intend to go into the facts of that matter for purposes of this judgment.  Suffice to say in the exercise of the discretion reposed in the court, the following excerpt</w:t>
      </w:r>
      <w:r w:rsidR="003F19FB">
        <w:rPr>
          <w:rFonts w:ascii="Times New Roman" w:hAnsi="Times New Roman" w:cs="Times New Roman"/>
          <w:szCs w:val="24"/>
        </w:rPr>
        <w:t xml:space="preserve"> from the </w:t>
      </w:r>
      <w:proofErr w:type="spellStart"/>
      <w:r w:rsidR="003F19FB">
        <w:rPr>
          <w:rFonts w:ascii="Times New Roman" w:hAnsi="Times New Roman" w:cs="Times New Roman"/>
          <w:szCs w:val="24"/>
        </w:rPr>
        <w:t>Caesar</w:t>
      </w:r>
      <w:r w:rsidR="002E1015">
        <w:rPr>
          <w:rFonts w:ascii="Times New Roman" w:hAnsi="Times New Roman" w:cs="Times New Roman"/>
          <w:szCs w:val="24"/>
        </w:rPr>
        <w:t>stone</w:t>
      </w:r>
      <w:proofErr w:type="spellEnd"/>
      <w:r w:rsidR="002E1015">
        <w:rPr>
          <w:rFonts w:ascii="Times New Roman" w:hAnsi="Times New Roman" w:cs="Times New Roman"/>
          <w:szCs w:val="24"/>
        </w:rPr>
        <w:t xml:space="preserve"> case is a</w:t>
      </w:r>
      <w:r>
        <w:rPr>
          <w:rFonts w:ascii="Times New Roman" w:hAnsi="Times New Roman" w:cs="Times New Roman"/>
          <w:szCs w:val="24"/>
        </w:rPr>
        <w:t>pposite:-</w:t>
      </w:r>
    </w:p>
    <w:p w:rsidR="00942CE6" w:rsidRDefault="00942CE6"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“As its name indicates, a plea of </w:t>
      </w:r>
      <w:proofErr w:type="spellStart"/>
      <w:r w:rsidRPr="0020522D">
        <w:rPr>
          <w:rFonts w:ascii="Times New Roman" w:hAnsi="Times New Roman" w:cs="Times New Roman"/>
          <w:i/>
          <w:szCs w:val="24"/>
        </w:rPr>
        <w:t>lis</w:t>
      </w:r>
      <w:proofErr w:type="spellEnd"/>
      <w:r w:rsidRPr="0020522D">
        <w:rPr>
          <w:rFonts w:ascii="Times New Roman" w:hAnsi="Times New Roman" w:cs="Times New Roman"/>
          <w:i/>
          <w:szCs w:val="24"/>
        </w:rPr>
        <w:t xml:space="preserve"> alibi </w:t>
      </w:r>
      <w:proofErr w:type="spellStart"/>
      <w:r w:rsidRPr="0020522D">
        <w:rPr>
          <w:rFonts w:ascii="Times New Roman" w:hAnsi="Times New Roman" w:cs="Times New Roman"/>
          <w:i/>
          <w:szCs w:val="24"/>
        </w:rPr>
        <w:t>pendens</w:t>
      </w:r>
      <w:proofErr w:type="spellEnd"/>
      <w:r>
        <w:rPr>
          <w:rFonts w:ascii="Times New Roman" w:hAnsi="Times New Roman" w:cs="Times New Roman"/>
          <w:szCs w:val="24"/>
        </w:rPr>
        <w:t xml:space="preserve"> is based on the proposition that the dispute (</w:t>
      </w:r>
      <w:proofErr w:type="spellStart"/>
      <w:r w:rsidRPr="0020522D">
        <w:rPr>
          <w:rFonts w:ascii="Times New Roman" w:hAnsi="Times New Roman" w:cs="Times New Roman"/>
          <w:i/>
          <w:szCs w:val="24"/>
        </w:rPr>
        <w:t>lis</w:t>
      </w:r>
      <w:proofErr w:type="spellEnd"/>
      <w:r>
        <w:rPr>
          <w:rFonts w:ascii="Times New Roman" w:hAnsi="Times New Roman" w:cs="Times New Roman"/>
          <w:szCs w:val="24"/>
        </w:rPr>
        <w:t>) between the parties is being litigated elsewhere and therefore it is inappropriate for it to be litigated in the court in which the plea is raised.  The policy underpinning it is that there should be a limit to the extent to which the same issue is litigated between the same parties and that it is desirable that there be finality in litigation.  The courts are also concerned to avoid a situation where different courts pronounce on the same issue with the risk that they may reach differing conclusions.”</w:t>
      </w:r>
    </w:p>
    <w:p w:rsidR="00942CE6" w:rsidRDefault="00942CE6" w:rsidP="00A916EE">
      <w:pPr>
        <w:pStyle w:val="NoSpacing"/>
        <w:ind w:left="720"/>
        <w:jc w:val="both"/>
        <w:rPr>
          <w:rFonts w:ascii="Times New Roman" w:hAnsi="Times New Roman" w:cs="Times New Roman"/>
          <w:szCs w:val="24"/>
        </w:rPr>
      </w:pPr>
    </w:p>
    <w:p w:rsidR="00C41F40" w:rsidRDefault="00942CE6"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lastRenderedPageBreak/>
        <w:t xml:space="preserve">What is to be gained by bringing two actions that essentially speak to the same issue?  My answer will be there is nothing to be gained and such a course is only inconvenient to not only the party who instituted a similar action first but to the court.  It smacks of some kind of a gamble, where a litigant makes the conscious decision that </w:t>
      </w:r>
      <w:r w:rsidR="00C41F40">
        <w:rPr>
          <w:rFonts w:ascii="Times New Roman" w:hAnsi="Times New Roman" w:cs="Times New Roman"/>
          <w:szCs w:val="24"/>
        </w:rPr>
        <w:t xml:space="preserve">“I will also bring an action similar in nature to the one brought against me </w:t>
      </w:r>
      <w:r w:rsidR="0020522D">
        <w:rPr>
          <w:rFonts w:ascii="Times New Roman" w:hAnsi="Times New Roman" w:cs="Times New Roman"/>
          <w:szCs w:val="24"/>
        </w:rPr>
        <w:t xml:space="preserve">and should mine carry the day, </w:t>
      </w:r>
      <w:r w:rsidR="00C41F40">
        <w:rPr>
          <w:rFonts w:ascii="Times New Roman" w:hAnsi="Times New Roman" w:cs="Times New Roman"/>
          <w:szCs w:val="24"/>
        </w:rPr>
        <w:t xml:space="preserve">I will have successfully pulled the rug from underneath my adversary.”  This </w:t>
      </w:r>
      <w:r w:rsidR="0020522D">
        <w:rPr>
          <w:rFonts w:ascii="Times New Roman" w:hAnsi="Times New Roman" w:cs="Times New Roman"/>
          <w:szCs w:val="24"/>
        </w:rPr>
        <w:t xml:space="preserve">is </w:t>
      </w:r>
      <w:r w:rsidR="00C41F40">
        <w:rPr>
          <w:rFonts w:ascii="Times New Roman" w:hAnsi="Times New Roman" w:cs="Times New Roman"/>
          <w:szCs w:val="24"/>
        </w:rPr>
        <w:t>not what litigation should be about.  Litigation should be there to resolve real issues and not to score points against each other.</w:t>
      </w:r>
    </w:p>
    <w:p w:rsidR="00632F19" w:rsidRDefault="00632F19" w:rsidP="00A916EE">
      <w:pPr>
        <w:pStyle w:val="NoSpacing"/>
        <w:spacing w:line="360" w:lineRule="auto"/>
        <w:ind w:firstLine="720"/>
        <w:jc w:val="both"/>
        <w:rPr>
          <w:rFonts w:ascii="Times New Roman" w:hAnsi="Times New Roman" w:cs="Times New Roman"/>
          <w:szCs w:val="24"/>
        </w:rPr>
      </w:pPr>
    </w:p>
    <w:p w:rsidR="00C41F40" w:rsidRDefault="00C41F40"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It amounts to a duplication of actions where one party seeks more or less the same remedy to that which the other party seeks in a different action.</w:t>
      </w:r>
    </w:p>
    <w:p w:rsidR="00C41F40" w:rsidRDefault="00C41F40" w:rsidP="00A916EE">
      <w:pPr>
        <w:pStyle w:val="NoSpacing"/>
        <w:spacing w:line="360" w:lineRule="auto"/>
        <w:ind w:firstLine="720"/>
        <w:jc w:val="both"/>
        <w:rPr>
          <w:rFonts w:ascii="Times New Roman" w:hAnsi="Times New Roman" w:cs="Times New Roman"/>
          <w:szCs w:val="24"/>
        </w:rPr>
      </w:pPr>
    </w:p>
    <w:p w:rsidR="00C41F40" w:rsidRDefault="0020522D"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w:t>
      </w:r>
      <w:r w:rsidR="00C41F40">
        <w:rPr>
          <w:rFonts w:ascii="Times New Roman" w:hAnsi="Times New Roman" w:cs="Times New Roman"/>
          <w:szCs w:val="24"/>
        </w:rPr>
        <w:t>Concise Oxford Dictionary, eleventh edition defines similar as:</w:t>
      </w:r>
    </w:p>
    <w:p w:rsidR="00C41F40" w:rsidRDefault="00C41F40" w:rsidP="00A916EE">
      <w:pPr>
        <w:pStyle w:val="NoSpacing"/>
        <w:spacing w:line="360" w:lineRule="auto"/>
        <w:ind w:left="1440"/>
        <w:jc w:val="both"/>
        <w:rPr>
          <w:rFonts w:ascii="Times New Roman" w:hAnsi="Times New Roman" w:cs="Times New Roman"/>
          <w:szCs w:val="24"/>
        </w:rPr>
      </w:pPr>
      <w:r>
        <w:rPr>
          <w:rFonts w:ascii="Times New Roman" w:hAnsi="Times New Roman" w:cs="Times New Roman"/>
          <w:szCs w:val="24"/>
        </w:rPr>
        <w:t>“</w:t>
      </w:r>
      <w:proofErr w:type="gramStart"/>
      <w:r>
        <w:rPr>
          <w:rFonts w:ascii="Times New Roman" w:hAnsi="Times New Roman" w:cs="Times New Roman"/>
          <w:szCs w:val="24"/>
        </w:rPr>
        <w:t>of</w:t>
      </w:r>
      <w:proofErr w:type="gramEnd"/>
      <w:r>
        <w:rPr>
          <w:rFonts w:ascii="Times New Roman" w:hAnsi="Times New Roman" w:cs="Times New Roman"/>
          <w:szCs w:val="24"/>
        </w:rPr>
        <w:t xml:space="preserve"> the same kind in appearance, character, or qu</w:t>
      </w:r>
      <w:r w:rsidR="003A7953">
        <w:rPr>
          <w:rFonts w:ascii="Times New Roman" w:hAnsi="Times New Roman" w:cs="Times New Roman"/>
          <w:szCs w:val="24"/>
        </w:rPr>
        <w:t>antity, without being identical</w:t>
      </w:r>
      <w:r>
        <w:rPr>
          <w:rFonts w:ascii="Times New Roman" w:hAnsi="Times New Roman" w:cs="Times New Roman"/>
          <w:szCs w:val="24"/>
        </w:rPr>
        <w:t>”</w:t>
      </w:r>
    </w:p>
    <w:p w:rsidR="00632F19" w:rsidRDefault="00C41F40" w:rsidP="00632F19">
      <w:pPr>
        <w:pStyle w:val="NoSpacing"/>
        <w:spacing w:line="360" w:lineRule="auto"/>
        <w:jc w:val="both"/>
        <w:rPr>
          <w:rFonts w:ascii="Times New Roman" w:hAnsi="Times New Roman" w:cs="Times New Roman"/>
          <w:szCs w:val="24"/>
        </w:rPr>
      </w:pPr>
      <w:r>
        <w:rPr>
          <w:rFonts w:ascii="Times New Roman" w:hAnsi="Times New Roman" w:cs="Times New Roman"/>
          <w:szCs w:val="24"/>
        </w:rPr>
        <w:tab/>
      </w:r>
    </w:p>
    <w:p w:rsidR="007D746B" w:rsidRDefault="00C41F40" w:rsidP="00632F19">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An action which seeks to wind up a company so that a party gets what they perceive as their share and another action that seeks to achieve a sharing of the </w:t>
      </w:r>
      <w:r w:rsidR="007D746B">
        <w:rPr>
          <w:rFonts w:ascii="Times New Roman" w:hAnsi="Times New Roman" w:cs="Times New Roman"/>
          <w:szCs w:val="24"/>
        </w:rPr>
        <w:t xml:space="preserve">property with one party arguing for an award of the whole is to me similar, it is of the same character in terms of what is sought to be achieved.  Both actions stem from the </w:t>
      </w:r>
      <w:r w:rsidR="00A45F28">
        <w:rPr>
          <w:rFonts w:ascii="Times New Roman" w:hAnsi="Times New Roman" w:cs="Times New Roman"/>
          <w:szCs w:val="24"/>
        </w:rPr>
        <w:t>breakdown</w:t>
      </w:r>
      <w:r w:rsidR="007D746B">
        <w:rPr>
          <w:rFonts w:ascii="Times New Roman" w:hAnsi="Times New Roman" w:cs="Times New Roman"/>
          <w:szCs w:val="24"/>
        </w:rPr>
        <w:t xml:space="preserve"> of the parties’ relationship.</w:t>
      </w:r>
    </w:p>
    <w:p w:rsidR="007D746B" w:rsidRDefault="007D746B" w:rsidP="00A916EE">
      <w:pPr>
        <w:pStyle w:val="NoSpacing"/>
        <w:spacing w:line="360" w:lineRule="auto"/>
        <w:ind w:firstLine="720"/>
        <w:jc w:val="both"/>
        <w:rPr>
          <w:rFonts w:ascii="Times New Roman" w:hAnsi="Times New Roman" w:cs="Times New Roman"/>
          <w:szCs w:val="24"/>
        </w:rPr>
      </w:pPr>
    </w:p>
    <w:p w:rsidR="007D746B" w:rsidRDefault="007D746B"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Vexatious in the Concise Oxford Dictionary is defined as “causing annoyance or worry, law (</w:t>
      </w:r>
      <w:r w:rsidR="00A45F28">
        <w:rPr>
          <w:rFonts w:ascii="Times New Roman" w:hAnsi="Times New Roman" w:cs="Times New Roman"/>
          <w:szCs w:val="24"/>
        </w:rPr>
        <w:t>of an</w:t>
      </w:r>
      <w:r>
        <w:rPr>
          <w:rFonts w:ascii="Times New Roman" w:hAnsi="Times New Roman" w:cs="Times New Roman"/>
          <w:szCs w:val="24"/>
        </w:rPr>
        <w:t xml:space="preserve"> action) brought without sufficient grounds for winning, purely to cause annoyance to the defendants.”</w:t>
      </w:r>
    </w:p>
    <w:p w:rsidR="00D94DD1" w:rsidRDefault="00D94DD1" w:rsidP="00A916EE">
      <w:pPr>
        <w:pStyle w:val="NoSpacing"/>
        <w:spacing w:line="360" w:lineRule="auto"/>
        <w:ind w:firstLine="720"/>
        <w:jc w:val="both"/>
        <w:rPr>
          <w:rFonts w:ascii="Times New Roman" w:hAnsi="Times New Roman" w:cs="Times New Roman"/>
          <w:szCs w:val="24"/>
        </w:rPr>
      </w:pPr>
    </w:p>
    <w:p w:rsidR="00D94DD1" w:rsidRDefault="007D746B"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court was </w:t>
      </w:r>
      <w:r w:rsidR="00AF08FA">
        <w:rPr>
          <w:rFonts w:ascii="Times New Roman" w:hAnsi="Times New Roman" w:cs="Times New Roman"/>
          <w:szCs w:val="24"/>
        </w:rPr>
        <w:t>referred</w:t>
      </w:r>
      <w:r>
        <w:rPr>
          <w:rFonts w:ascii="Times New Roman" w:hAnsi="Times New Roman" w:cs="Times New Roman"/>
          <w:szCs w:val="24"/>
        </w:rPr>
        <w:t xml:space="preserve"> to the cases of </w:t>
      </w:r>
      <w:proofErr w:type="spellStart"/>
      <w:r w:rsidRPr="0020522D">
        <w:rPr>
          <w:rFonts w:ascii="Times New Roman" w:hAnsi="Times New Roman" w:cs="Times New Roman"/>
          <w:i/>
          <w:szCs w:val="24"/>
        </w:rPr>
        <w:t>Michaelson</w:t>
      </w:r>
      <w:proofErr w:type="spellEnd"/>
      <w:r>
        <w:rPr>
          <w:rFonts w:ascii="Times New Roman" w:hAnsi="Times New Roman" w:cs="Times New Roman"/>
          <w:szCs w:val="24"/>
        </w:rPr>
        <w:t xml:space="preserve"> v </w:t>
      </w:r>
      <w:r w:rsidR="00AF08FA">
        <w:rPr>
          <w:rFonts w:ascii="Times New Roman" w:hAnsi="Times New Roman" w:cs="Times New Roman"/>
          <w:i/>
          <w:szCs w:val="24"/>
        </w:rPr>
        <w:t>Low</w:t>
      </w:r>
      <w:r w:rsidRPr="0020522D">
        <w:rPr>
          <w:rFonts w:ascii="Times New Roman" w:hAnsi="Times New Roman" w:cs="Times New Roman"/>
          <w:i/>
          <w:szCs w:val="24"/>
        </w:rPr>
        <w:t>enstein</w:t>
      </w:r>
      <w:r>
        <w:rPr>
          <w:rFonts w:ascii="Times New Roman" w:hAnsi="Times New Roman" w:cs="Times New Roman"/>
          <w:szCs w:val="24"/>
        </w:rPr>
        <w:t xml:space="preserve"> 1905 TS 325, </w:t>
      </w:r>
      <w:proofErr w:type="spellStart"/>
      <w:r w:rsidRPr="0020522D">
        <w:rPr>
          <w:rFonts w:ascii="Times New Roman" w:hAnsi="Times New Roman" w:cs="Times New Roman"/>
          <w:i/>
          <w:szCs w:val="24"/>
        </w:rPr>
        <w:t>Corderoy</w:t>
      </w:r>
      <w:proofErr w:type="spellEnd"/>
      <w:r>
        <w:rPr>
          <w:rFonts w:ascii="Times New Roman" w:hAnsi="Times New Roman" w:cs="Times New Roman"/>
          <w:szCs w:val="24"/>
        </w:rPr>
        <w:t xml:space="preserve"> v </w:t>
      </w:r>
      <w:r w:rsidRPr="0020522D">
        <w:rPr>
          <w:rFonts w:ascii="Times New Roman" w:hAnsi="Times New Roman" w:cs="Times New Roman"/>
          <w:i/>
          <w:szCs w:val="24"/>
        </w:rPr>
        <w:t>Union Government (Ministers of France</w:t>
      </w:r>
      <w:r>
        <w:rPr>
          <w:rFonts w:ascii="Times New Roman" w:hAnsi="Times New Roman" w:cs="Times New Roman"/>
          <w:szCs w:val="24"/>
        </w:rPr>
        <w:t xml:space="preserve">) 1918 AD 512, on the proposition that </w:t>
      </w:r>
    </w:p>
    <w:p w:rsidR="007D746B" w:rsidRDefault="0020522D" w:rsidP="005373E6">
      <w:pPr>
        <w:pStyle w:val="NoSpacing"/>
        <w:spacing w:line="360" w:lineRule="auto"/>
        <w:jc w:val="both"/>
        <w:rPr>
          <w:rFonts w:ascii="Times New Roman" w:hAnsi="Times New Roman" w:cs="Times New Roman"/>
          <w:szCs w:val="24"/>
        </w:rPr>
      </w:pPr>
      <w:proofErr w:type="gramStart"/>
      <w:r>
        <w:rPr>
          <w:rFonts w:ascii="Times New Roman" w:hAnsi="Times New Roman" w:cs="Times New Roman"/>
          <w:szCs w:val="24"/>
        </w:rPr>
        <w:t>on</w:t>
      </w:r>
      <w:proofErr w:type="gramEnd"/>
      <w:r>
        <w:rPr>
          <w:rFonts w:ascii="Times New Roman" w:hAnsi="Times New Roman" w:cs="Times New Roman"/>
          <w:szCs w:val="24"/>
        </w:rPr>
        <w:t xml:space="preserve"> the face of it</w:t>
      </w:r>
      <w:r w:rsidR="00AF08FA">
        <w:rPr>
          <w:rFonts w:ascii="Times New Roman" w:hAnsi="Times New Roman" w:cs="Times New Roman"/>
          <w:szCs w:val="24"/>
        </w:rPr>
        <w:t>, it</w:t>
      </w:r>
      <w:r>
        <w:rPr>
          <w:rFonts w:ascii="Times New Roman" w:hAnsi="Times New Roman" w:cs="Times New Roman"/>
          <w:szCs w:val="24"/>
        </w:rPr>
        <w:t xml:space="preserve"> </w:t>
      </w:r>
      <w:r w:rsidR="007D746B">
        <w:rPr>
          <w:rFonts w:ascii="Times New Roman" w:hAnsi="Times New Roman" w:cs="Times New Roman"/>
          <w:szCs w:val="24"/>
        </w:rPr>
        <w:t>is vexatious to bring two different proceedings in respect of the same subject matter.</w:t>
      </w:r>
    </w:p>
    <w:p w:rsidR="005373E6" w:rsidRDefault="005373E6" w:rsidP="00A916EE">
      <w:pPr>
        <w:pStyle w:val="NoSpacing"/>
        <w:spacing w:line="360" w:lineRule="auto"/>
        <w:ind w:firstLine="720"/>
        <w:jc w:val="both"/>
        <w:rPr>
          <w:rFonts w:ascii="Times New Roman" w:hAnsi="Times New Roman" w:cs="Times New Roman"/>
          <w:szCs w:val="24"/>
        </w:rPr>
      </w:pPr>
    </w:p>
    <w:p w:rsidR="00D3483B" w:rsidRDefault="007D746B"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lastRenderedPageBreak/>
        <w:t>I would say the application for the placement of 1</w:t>
      </w:r>
      <w:r w:rsidRPr="007D746B">
        <w:rPr>
          <w:rFonts w:ascii="Times New Roman" w:hAnsi="Times New Roman" w:cs="Times New Roman"/>
          <w:szCs w:val="24"/>
          <w:vertAlign w:val="superscript"/>
        </w:rPr>
        <w:t>st</w:t>
      </w:r>
      <w:r w:rsidR="005373E6">
        <w:rPr>
          <w:rFonts w:ascii="Times New Roman" w:hAnsi="Times New Roman" w:cs="Times New Roman"/>
          <w:szCs w:val="24"/>
        </w:rPr>
        <w:t xml:space="preserve"> respondent under Provisional Judicial M</w:t>
      </w:r>
      <w:r>
        <w:rPr>
          <w:rFonts w:ascii="Times New Roman" w:hAnsi="Times New Roman" w:cs="Times New Roman"/>
          <w:szCs w:val="24"/>
        </w:rPr>
        <w:t>anagement is vexatious in</w:t>
      </w:r>
      <w:r w:rsidR="005373E6">
        <w:rPr>
          <w:rFonts w:ascii="Times New Roman" w:hAnsi="Times New Roman" w:cs="Times New Roman"/>
          <w:szCs w:val="24"/>
        </w:rPr>
        <w:t xml:space="preserve"> the circumstances.  It is meant</w:t>
      </w:r>
      <w:r w:rsidR="00197471">
        <w:rPr>
          <w:rFonts w:ascii="Times New Roman" w:hAnsi="Times New Roman" w:cs="Times New Roman"/>
          <w:szCs w:val="24"/>
        </w:rPr>
        <w:t xml:space="preserve"> to rattl</w:t>
      </w:r>
      <w:r>
        <w:rPr>
          <w:rFonts w:ascii="Times New Roman" w:hAnsi="Times New Roman" w:cs="Times New Roman"/>
          <w:szCs w:val="24"/>
        </w:rPr>
        <w:t>e the 2</w:t>
      </w:r>
      <w:r w:rsidRPr="007D746B">
        <w:rPr>
          <w:rFonts w:ascii="Times New Roman" w:hAnsi="Times New Roman" w:cs="Times New Roman"/>
          <w:szCs w:val="24"/>
          <w:vertAlign w:val="superscript"/>
        </w:rPr>
        <w:t>nd</w:t>
      </w:r>
      <w:r>
        <w:rPr>
          <w:rFonts w:ascii="Times New Roman" w:hAnsi="Times New Roman" w:cs="Times New Roman"/>
          <w:szCs w:val="24"/>
        </w:rPr>
        <w:t xml:space="preserve"> respondent and put spanners in an action that is already before the courts, an action which </w:t>
      </w:r>
      <w:r w:rsidR="00D3483B">
        <w:rPr>
          <w:rFonts w:ascii="Times New Roman" w:hAnsi="Times New Roman" w:cs="Times New Roman"/>
          <w:szCs w:val="24"/>
        </w:rPr>
        <w:t>was instituted first and which ought to be allowed to run its course and be determined.</w:t>
      </w:r>
    </w:p>
    <w:p w:rsidR="005373E6" w:rsidRDefault="005373E6" w:rsidP="00A916EE">
      <w:pPr>
        <w:pStyle w:val="NoSpacing"/>
        <w:spacing w:line="360" w:lineRule="auto"/>
        <w:ind w:firstLine="720"/>
        <w:jc w:val="both"/>
        <w:rPr>
          <w:rFonts w:ascii="Times New Roman" w:hAnsi="Times New Roman" w:cs="Times New Roman"/>
          <w:szCs w:val="24"/>
        </w:rPr>
      </w:pPr>
    </w:p>
    <w:p w:rsidR="00D3483B" w:rsidRDefault="00D3483B"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In </w:t>
      </w:r>
      <w:r w:rsidRPr="0020522D">
        <w:rPr>
          <w:rFonts w:ascii="Times New Roman" w:hAnsi="Times New Roman" w:cs="Times New Roman"/>
          <w:i/>
          <w:szCs w:val="24"/>
        </w:rPr>
        <w:t>University of Botswana</w:t>
      </w:r>
      <w:r>
        <w:rPr>
          <w:rFonts w:ascii="Times New Roman" w:hAnsi="Times New Roman" w:cs="Times New Roman"/>
          <w:szCs w:val="24"/>
        </w:rPr>
        <w:t xml:space="preserve"> v </w:t>
      </w:r>
      <w:proofErr w:type="spellStart"/>
      <w:r w:rsidRPr="0020522D">
        <w:rPr>
          <w:rFonts w:ascii="Times New Roman" w:hAnsi="Times New Roman" w:cs="Times New Roman"/>
          <w:i/>
          <w:szCs w:val="24"/>
        </w:rPr>
        <w:t>Kole</w:t>
      </w:r>
      <w:proofErr w:type="spellEnd"/>
      <w:r w:rsidRPr="0020522D">
        <w:rPr>
          <w:rFonts w:ascii="Times New Roman" w:hAnsi="Times New Roman" w:cs="Times New Roman"/>
          <w:i/>
          <w:szCs w:val="24"/>
        </w:rPr>
        <w:t xml:space="preserve"> </w:t>
      </w:r>
      <w:r w:rsidR="005373E6">
        <w:rPr>
          <w:rFonts w:ascii="Times New Roman" w:hAnsi="Times New Roman" w:cs="Times New Roman"/>
          <w:szCs w:val="24"/>
        </w:rPr>
        <w:t>2012 2 BCR 278 HC, t</w:t>
      </w:r>
      <w:r>
        <w:rPr>
          <w:rFonts w:ascii="Times New Roman" w:hAnsi="Times New Roman" w:cs="Times New Roman"/>
          <w:szCs w:val="24"/>
        </w:rPr>
        <w:t xml:space="preserve">he court dealt with the requirements of </w:t>
      </w:r>
      <w:proofErr w:type="spellStart"/>
      <w:r w:rsidRPr="005373E6">
        <w:rPr>
          <w:rFonts w:ascii="Times New Roman" w:hAnsi="Times New Roman" w:cs="Times New Roman"/>
          <w:i/>
          <w:szCs w:val="24"/>
        </w:rPr>
        <w:t>lis</w:t>
      </w:r>
      <w:proofErr w:type="spellEnd"/>
      <w:r w:rsidRPr="005373E6">
        <w:rPr>
          <w:rFonts w:ascii="Times New Roman" w:hAnsi="Times New Roman" w:cs="Times New Roman"/>
          <w:i/>
          <w:szCs w:val="24"/>
        </w:rPr>
        <w:t xml:space="preserve"> </w:t>
      </w:r>
      <w:proofErr w:type="spellStart"/>
      <w:r w:rsidRPr="005373E6">
        <w:rPr>
          <w:rFonts w:ascii="Times New Roman" w:hAnsi="Times New Roman" w:cs="Times New Roman"/>
          <w:i/>
          <w:szCs w:val="24"/>
        </w:rPr>
        <w:t>pendens</w:t>
      </w:r>
      <w:proofErr w:type="spellEnd"/>
      <w:r>
        <w:rPr>
          <w:rFonts w:ascii="Times New Roman" w:hAnsi="Times New Roman" w:cs="Times New Roman"/>
          <w:szCs w:val="24"/>
        </w:rPr>
        <w:t xml:space="preserve">.  I propose to quote the headnote verbatim as it captures salient issues which apply with equal force </w:t>
      </w:r>
      <w:r w:rsidRPr="0020522D">
        <w:rPr>
          <w:rFonts w:ascii="Times New Roman" w:hAnsi="Times New Roman" w:cs="Times New Roman"/>
          <w:i/>
          <w:szCs w:val="24"/>
        </w:rPr>
        <w:t xml:space="preserve">in </w:t>
      </w:r>
      <w:proofErr w:type="spellStart"/>
      <w:r w:rsidRPr="0020522D">
        <w:rPr>
          <w:rFonts w:ascii="Times New Roman" w:hAnsi="Times New Roman" w:cs="Times New Roman"/>
          <w:i/>
          <w:szCs w:val="24"/>
        </w:rPr>
        <w:t>casu</w:t>
      </w:r>
      <w:proofErr w:type="spellEnd"/>
      <w:r w:rsidRPr="0020522D">
        <w:rPr>
          <w:rFonts w:ascii="Times New Roman" w:hAnsi="Times New Roman" w:cs="Times New Roman"/>
          <w:i/>
          <w:szCs w:val="24"/>
        </w:rPr>
        <w:t>.</w:t>
      </w:r>
    </w:p>
    <w:p w:rsidR="00D3483B" w:rsidRDefault="00D3483B" w:rsidP="00A916EE">
      <w:pPr>
        <w:pStyle w:val="NoSpacing"/>
        <w:spacing w:line="360" w:lineRule="auto"/>
        <w:ind w:firstLine="720"/>
        <w:jc w:val="both"/>
        <w:rPr>
          <w:rFonts w:ascii="Times New Roman" w:hAnsi="Times New Roman" w:cs="Times New Roman"/>
          <w:szCs w:val="24"/>
        </w:rPr>
      </w:pPr>
    </w:p>
    <w:p w:rsidR="00C41F40" w:rsidRDefault="00013696" w:rsidP="00013696">
      <w:pPr>
        <w:pStyle w:val="NoSpacing"/>
        <w:ind w:left="720"/>
        <w:jc w:val="both"/>
        <w:rPr>
          <w:rFonts w:ascii="Times New Roman" w:hAnsi="Times New Roman" w:cs="Times New Roman"/>
          <w:szCs w:val="24"/>
        </w:rPr>
      </w:pPr>
      <w:r>
        <w:rPr>
          <w:rFonts w:ascii="Times New Roman" w:hAnsi="Times New Roman" w:cs="Times New Roman"/>
          <w:szCs w:val="24"/>
        </w:rPr>
        <w:t>“</w:t>
      </w:r>
      <w:r w:rsidR="00D3483B">
        <w:rPr>
          <w:rFonts w:ascii="Times New Roman" w:hAnsi="Times New Roman" w:cs="Times New Roman"/>
          <w:szCs w:val="24"/>
        </w:rPr>
        <w:t>The defendant was sponsored by her employer, the plaintiff, to complete her university studies in the USA.  According to the plaintiff, the defendant breached her contract of employment by failing to r</w:t>
      </w:r>
      <w:r w:rsidR="00406A03">
        <w:rPr>
          <w:rFonts w:ascii="Times New Roman" w:hAnsi="Times New Roman" w:cs="Times New Roman"/>
          <w:szCs w:val="24"/>
        </w:rPr>
        <w:t>eturn to work after the complet</w:t>
      </w:r>
      <w:r w:rsidR="00D3483B">
        <w:rPr>
          <w:rFonts w:ascii="Times New Roman" w:hAnsi="Times New Roman" w:cs="Times New Roman"/>
          <w:szCs w:val="24"/>
        </w:rPr>
        <w:t>ion of her studies.  The plaintiff terminated her employment and claimed repayment of the sponsorship moneys.  The defendant denied br</w:t>
      </w:r>
      <w:r w:rsidR="00406A03">
        <w:rPr>
          <w:rFonts w:ascii="Times New Roman" w:hAnsi="Times New Roman" w:cs="Times New Roman"/>
          <w:szCs w:val="24"/>
        </w:rPr>
        <w:t>e</w:t>
      </w:r>
      <w:r w:rsidR="00D3483B">
        <w:rPr>
          <w:rFonts w:ascii="Times New Roman" w:hAnsi="Times New Roman" w:cs="Times New Roman"/>
          <w:szCs w:val="24"/>
        </w:rPr>
        <w:t>aching her contract, alleging that she failed to return to work because she was unlawf</w:t>
      </w:r>
      <w:r w:rsidR="000E7516">
        <w:rPr>
          <w:rFonts w:ascii="Times New Roman" w:hAnsi="Times New Roman" w:cs="Times New Roman"/>
          <w:szCs w:val="24"/>
        </w:rPr>
        <w:t>ully dismissed by the plaintiff</w:t>
      </w:r>
      <w:r w:rsidR="00D3483B">
        <w:rPr>
          <w:rFonts w:ascii="Times New Roman" w:hAnsi="Times New Roman" w:cs="Times New Roman"/>
          <w:szCs w:val="24"/>
        </w:rPr>
        <w:t xml:space="preserve">.  In fact, she contended the matter was </w:t>
      </w:r>
      <w:proofErr w:type="spellStart"/>
      <w:r w:rsidR="000E7516">
        <w:rPr>
          <w:rFonts w:ascii="Times New Roman" w:hAnsi="Times New Roman" w:cs="Times New Roman"/>
          <w:i/>
          <w:szCs w:val="24"/>
        </w:rPr>
        <w:t>lis</w:t>
      </w:r>
      <w:proofErr w:type="spellEnd"/>
      <w:r w:rsidR="000E7516">
        <w:rPr>
          <w:rFonts w:ascii="Times New Roman" w:hAnsi="Times New Roman" w:cs="Times New Roman"/>
          <w:i/>
          <w:szCs w:val="24"/>
        </w:rPr>
        <w:t xml:space="preserve"> alibi </w:t>
      </w:r>
      <w:proofErr w:type="spellStart"/>
      <w:r w:rsidR="000E7516">
        <w:rPr>
          <w:rFonts w:ascii="Times New Roman" w:hAnsi="Times New Roman" w:cs="Times New Roman"/>
          <w:i/>
          <w:szCs w:val="24"/>
        </w:rPr>
        <w:t>pe</w:t>
      </w:r>
      <w:r w:rsidR="00D3483B" w:rsidRPr="0063503C">
        <w:rPr>
          <w:rFonts w:ascii="Times New Roman" w:hAnsi="Times New Roman" w:cs="Times New Roman"/>
          <w:i/>
          <w:szCs w:val="24"/>
        </w:rPr>
        <w:t>ndens</w:t>
      </w:r>
      <w:proofErr w:type="spellEnd"/>
      <w:r w:rsidR="00D3483B">
        <w:rPr>
          <w:rFonts w:ascii="Times New Roman" w:hAnsi="Times New Roman" w:cs="Times New Roman"/>
          <w:szCs w:val="24"/>
        </w:rPr>
        <w:t xml:space="preserve"> as she had lodged a claim in the Industrial Court for reinstatement following her unlawful dis</w:t>
      </w:r>
      <w:r w:rsidR="00406A03">
        <w:rPr>
          <w:rFonts w:ascii="Times New Roman" w:hAnsi="Times New Roman" w:cs="Times New Roman"/>
          <w:szCs w:val="24"/>
        </w:rPr>
        <w:t>missal.</w:t>
      </w:r>
      <w:r w:rsidR="00C41F40">
        <w:rPr>
          <w:rFonts w:ascii="Times New Roman" w:hAnsi="Times New Roman" w:cs="Times New Roman"/>
          <w:szCs w:val="24"/>
        </w:rPr>
        <w:t xml:space="preserve">  </w:t>
      </w:r>
    </w:p>
    <w:p w:rsidR="00406A03" w:rsidRPr="00967D34" w:rsidRDefault="00406A03" w:rsidP="00013696">
      <w:pPr>
        <w:pStyle w:val="NoSpacing"/>
        <w:ind w:left="720"/>
        <w:jc w:val="both"/>
        <w:rPr>
          <w:rFonts w:ascii="Times New Roman" w:hAnsi="Times New Roman" w:cs="Times New Roman"/>
          <w:i/>
          <w:szCs w:val="24"/>
        </w:rPr>
      </w:pPr>
    </w:p>
    <w:p w:rsidR="00406A03" w:rsidRDefault="00406A03" w:rsidP="00013696">
      <w:pPr>
        <w:pStyle w:val="NoSpacing"/>
        <w:ind w:left="720"/>
        <w:jc w:val="both"/>
        <w:rPr>
          <w:rFonts w:ascii="Times New Roman" w:hAnsi="Times New Roman" w:cs="Times New Roman"/>
          <w:szCs w:val="24"/>
        </w:rPr>
      </w:pPr>
      <w:r w:rsidRPr="00967D34">
        <w:rPr>
          <w:rFonts w:ascii="Times New Roman" w:hAnsi="Times New Roman" w:cs="Times New Roman"/>
          <w:i/>
          <w:szCs w:val="24"/>
        </w:rPr>
        <w:t>Held</w:t>
      </w:r>
      <w:r>
        <w:rPr>
          <w:rFonts w:ascii="Times New Roman" w:hAnsi="Times New Roman" w:cs="Times New Roman"/>
          <w:szCs w:val="24"/>
        </w:rPr>
        <w:t xml:space="preserve"> (1) A successful plea of </w:t>
      </w:r>
      <w:proofErr w:type="spellStart"/>
      <w:r w:rsidR="007E71C0">
        <w:rPr>
          <w:rFonts w:ascii="Times New Roman" w:hAnsi="Times New Roman" w:cs="Times New Roman"/>
          <w:i/>
          <w:szCs w:val="24"/>
        </w:rPr>
        <w:t>lis</w:t>
      </w:r>
      <w:proofErr w:type="spellEnd"/>
      <w:r w:rsidR="007E71C0">
        <w:rPr>
          <w:rFonts w:ascii="Times New Roman" w:hAnsi="Times New Roman" w:cs="Times New Roman"/>
          <w:i/>
          <w:szCs w:val="24"/>
        </w:rPr>
        <w:t xml:space="preserve"> </w:t>
      </w:r>
      <w:proofErr w:type="spellStart"/>
      <w:r w:rsidR="007E71C0">
        <w:rPr>
          <w:rFonts w:ascii="Times New Roman" w:hAnsi="Times New Roman" w:cs="Times New Roman"/>
          <w:i/>
          <w:szCs w:val="24"/>
        </w:rPr>
        <w:t>pe</w:t>
      </w:r>
      <w:r w:rsidRPr="0063503C">
        <w:rPr>
          <w:rFonts w:ascii="Times New Roman" w:hAnsi="Times New Roman" w:cs="Times New Roman"/>
          <w:i/>
          <w:szCs w:val="24"/>
        </w:rPr>
        <w:t>ndens</w:t>
      </w:r>
      <w:proofErr w:type="spellEnd"/>
      <w:r>
        <w:rPr>
          <w:rFonts w:ascii="Times New Roman" w:hAnsi="Times New Roman" w:cs="Times New Roman"/>
          <w:szCs w:val="24"/>
        </w:rPr>
        <w:t xml:space="preserve"> required the same parties, same cause of action and same subject matter in the two actions.</w:t>
      </w:r>
    </w:p>
    <w:p w:rsidR="00406A03" w:rsidRDefault="00406A03" w:rsidP="00013696">
      <w:pPr>
        <w:pStyle w:val="NoSpacing"/>
        <w:ind w:left="720"/>
        <w:jc w:val="both"/>
        <w:rPr>
          <w:rFonts w:ascii="Times New Roman" w:hAnsi="Times New Roman" w:cs="Times New Roman"/>
          <w:szCs w:val="24"/>
        </w:rPr>
      </w:pPr>
      <w:r>
        <w:rPr>
          <w:rFonts w:ascii="Times New Roman" w:hAnsi="Times New Roman" w:cs="Times New Roman"/>
          <w:szCs w:val="24"/>
        </w:rPr>
        <w:t xml:space="preserve">2. Determination of the plaintiff’s claim would necessarily involve a finding on </w:t>
      </w:r>
    </w:p>
    <w:p w:rsidR="00406A03" w:rsidRDefault="00406A03" w:rsidP="00013696">
      <w:pPr>
        <w:pStyle w:val="NoSpacing"/>
        <w:ind w:left="720"/>
        <w:jc w:val="both"/>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whether</w:t>
      </w:r>
      <w:proofErr w:type="gramEnd"/>
      <w:r>
        <w:rPr>
          <w:rFonts w:ascii="Times New Roman" w:hAnsi="Times New Roman" w:cs="Times New Roman"/>
          <w:szCs w:val="24"/>
        </w:rPr>
        <w:t xml:space="preserve"> the defendant was unlawfully dismissed.</w:t>
      </w:r>
    </w:p>
    <w:p w:rsidR="00406A03" w:rsidRDefault="00406A03" w:rsidP="00013696">
      <w:pPr>
        <w:pStyle w:val="NoSpacing"/>
        <w:ind w:left="720"/>
        <w:jc w:val="both"/>
        <w:rPr>
          <w:rFonts w:ascii="Times New Roman" w:hAnsi="Times New Roman" w:cs="Times New Roman"/>
          <w:szCs w:val="24"/>
        </w:rPr>
      </w:pPr>
      <w:r>
        <w:rPr>
          <w:rFonts w:ascii="Times New Roman" w:hAnsi="Times New Roman" w:cs="Times New Roman"/>
          <w:szCs w:val="24"/>
        </w:rPr>
        <w:t>3.</w:t>
      </w:r>
      <w:r w:rsidR="007E71C0">
        <w:rPr>
          <w:rFonts w:ascii="Times New Roman" w:hAnsi="Times New Roman" w:cs="Times New Roman"/>
          <w:szCs w:val="24"/>
        </w:rPr>
        <w:t xml:space="preserve"> The proceedings in the two cour</w:t>
      </w:r>
      <w:r>
        <w:rPr>
          <w:rFonts w:ascii="Times New Roman" w:hAnsi="Times New Roman" w:cs="Times New Roman"/>
          <w:szCs w:val="24"/>
        </w:rPr>
        <w:t xml:space="preserve">ts involved the same parties, same cause of action </w:t>
      </w:r>
    </w:p>
    <w:p w:rsidR="00013696" w:rsidRDefault="0063503C" w:rsidP="00967D34">
      <w:pPr>
        <w:pStyle w:val="NoSpacing"/>
        <w:ind w:left="720"/>
        <w:jc w:val="both"/>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a</w:t>
      </w:r>
      <w:r w:rsidR="00406A03">
        <w:rPr>
          <w:rFonts w:ascii="Times New Roman" w:hAnsi="Times New Roman" w:cs="Times New Roman"/>
          <w:szCs w:val="24"/>
        </w:rPr>
        <w:t>nd</w:t>
      </w:r>
      <w:proofErr w:type="gramEnd"/>
      <w:r w:rsidR="00406A03">
        <w:rPr>
          <w:rFonts w:ascii="Times New Roman" w:hAnsi="Times New Roman" w:cs="Times New Roman"/>
          <w:szCs w:val="24"/>
        </w:rPr>
        <w:t xml:space="preserve"> same subject matter and the special plea had to be upheld.”</w:t>
      </w:r>
    </w:p>
    <w:p w:rsidR="00013696" w:rsidRDefault="00013696" w:rsidP="00A916EE">
      <w:pPr>
        <w:pStyle w:val="NoSpacing"/>
        <w:spacing w:line="360" w:lineRule="auto"/>
        <w:ind w:left="720"/>
        <w:jc w:val="both"/>
        <w:rPr>
          <w:rFonts w:ascii="Times New Roman" w:hAnsi="Times New Roman" w:cs="Times New Roman"/>
          <w:szCs w:val="24"/>
        </w:rPr>
      </w:pPr>
    </w:p>
    <w:p w:rsidR="00406A03" w:rsidRDefault="00406A03" w:rsidP="00A916E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The learned Judge</w:t>
      </w:r>
      <w:r w:rsidR="006A4B46">
        <w:rPr>
          <w:rFonts w:ascii="Times New Roman" w:hAnsi="Times New Roman" w:cs="Times New Roman"/>
          <w:szCs w:val="24"/>
        </w:rPr>
        <w:t xml:space="preserve"> in that case</w:t>
      </w:r>
      <w:r>
        <w:rPr>
          <w:rFonts w:ascii="Times New Roman" w:hAnsi="Times New Roman" w:cs="Times New Roman"/>
          <w:szCs w:val="24"/>
        </w:rPr>
        <w:t xml:space="preserve"> had this to say:-</w:t>
      </w:r>
    </w:p>
    <w:p w:rsidR="00406A03" w:rsidRDefault="00406A03"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“I am satisfied that </w:t>
      </w:r>
      <w:r w:rsidR="00AB4E3F">
        <w:rPr>
          <w:rFonts w:ascii="Times New Roman" w:hAnsi="Times New Roman" w:cs="Times New Roman"/>
          <w:szCs w:val="24"/>
        </w:rPr>
        <w:t>fairness and convenience dictate that it is undesirable that the same issue should be the subject of litigation in two different courts even if both have jurisdiction to deal with the matter, unless good reason is shown that the court where the action was first commenced should not be allowed to carry on with the proceedings.”</w:t>
      </w:r>
    </w:p>
    <w:p w:rsidR="00AB4E3F" w:rsidRDefault="00AB4E3F" w:rsidP="00A916EE">
      <w:pPr>
        <w:pStyle w:val="NoSpacing"/>
        <w:ind w:left="720"/>
        <w:jc w:val="both"/>
        <w:rPr>
          <w:rFonts w:ascii="Times New Roman" w:hAnsi="Times New Roman" w:cs="Times New Roman"/>
          <w:szCs w:val="24"/>
        </w:rPr>
      </w:pPr>
    </w:p>
    <w:p w:rsidR="00AB4E3F" w:rsidRDefault="00AB4E3F"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 would say the same </w:t>
      </w:r>
      <w:r w:rsidRPr="00D94DD1">
        <w:rPr>
          <w:rFonts w:ascii="Times New Roman" w:hAnsi="Times New Roman" w:cs="Times New Roman"/>
          <w:i/>
          <w:szCs w:val="24"/>
        </w:rPr>
        <w:t xml:space="preserve">in </w:t>
      </w:r>
      <w:proofErr w:type="spellStart"/>
      <w:proofErr w:type="gramStart"/>
      <w:r w:rsidRPr="00D94DD1">
        <w:rPr>
          <w:rFonts w:ascii="Times New Roman" w:hAnsi="Times New Roman" w:cs="Times New Roman"/>
          <w:i/>
          <w:szCs w:val="24"/>
        </w:rPr>
        <w:t>casu</w:t>
      </w:r>
      <w:proofErr w:type="spellEnd"/>
      <w:r>
        <w:rPr>
          <w:rFonts w:ascii="Times New Roman" w:hAnsi="Times New Roman" w:cs="Times New Roman"/>
          <w:szCs w:val="24"/>
        </w:rPr>
        <w:t>,</w:t>
      </w:r>
      <w:proofErr w:type="gramEnd"/>
      <w:r>
        <w:rPr>
          <w:rFonts w:ascii="Times New Roman" w:hAnsi="Times New Roman" w:cs="Times New Roman"/>
          <w:szCs w:val="24"/>
        </w:rPr>
        <w:t xml:space="preserve"> it is un</w:t>
      </w:r>
      <w:r w:rsidR="00E15EF8">
        <w:rPr>
          <w:rFonts w:ascii="Times New Roman" w:hAnsi="Times New Roman" w:cs="Times New Roman"/>
          <w:szCs w:val="24"/>
        </w:rPr>
        <w:t>desirable that the issue of the</w:t>
      </w:r>
      <w:r>
        <w:rPr>
          <w:rFonts w:ascii="Times New Roman" w:hAnsi="Times New Roman" w:cs="Times New Roman"/>
          <w:szCs w:val="24"/>
        </w:rPr>
        <w:t xml:space="preserve"> fa</w:t>
      </w:r>
      <w:r w:rsidR="00D94DD1">
        <w:rPr>
          <w:rFonts w:ascii="Times New Roman" w:hAnsi="Times New Roman" w:cs="Times New Roman"/>
          <w:szCs w:val="24"/>
        </w:rPr>
        <w:t>te of the 1</w:t>
      </w:r>
      <w:r w:rsidR="00D94DD1" w:rsidRPr="00D94DD1">
        <w:rPr>
          <w:rFonts w:ascii="Times New Roman" w:hAnsi="Times New Roman" w:cs="Times New Roman"/>
          <w:szCs w:val="24"/>
          <w:vertAlign w:val="superscript"/>
        </w:rPr>
        <w:t>st</w:t>
      </w:r>
      <w:r w:rsidR="00D94DD1">
        <w:rPr>
          <w:rFonts w:ascii="Times New Roman" w:hAnsi="Times New Roman" w:cs="Times New Roman"/>
          <w:szCs w:val="24"/>
        </w:rPr>
        <w:t xml:space="preserve"> respondent should unnecessarily be litigated in two different </w:t>
      </w:r>
      <w:proofErr w:type="spellStart"/>
      <w:r w:rsidR="00D94DD1">
        <w:rPr>
          <w:rFonts w:ascii="Times New Roman" w:hAnsi="Times New Roman" w:cs="Times New Roman"/>
          <w:szCs w:val="24"/>
        </w:rPr>
        <w:t>fora</w:t>
      </w:r>
      <w:proofErr w:type="spellEnd"/>
      <w:r w:rsidR="00D94DD1">
        <w:rPr>
          <w:rFonts w:ascii="Times New Roman" w:hAnsi="Times New Roman" w:cs="Times New Roman"/>
          <w:szCs w:val="24"/>
        </w:rPr>
        <w:t xml:space="preserve">.  It is neither fair nor convenient and there is no good reason </w:t>
      </w:r>
      <w:r w:rsidR="00E15EF8">
        <w:rPr>
          <w:rFonts w:ascii="Times New Roman" w:hAnsi="Times New Roman" w:cs="Times New Roman"/>
          <w:szCs w:val="24"/>
        </w:rPr>
        <w:t>proffered</w:t>
      </w:r>
      <w:r w:rsidR="00D94DD1">
        <w:rPr>
          <w:rFonts w:ascii="Times New Roman" w:hAnsi="Times New Roman" w:cs="Times New Roman"/>
          <w:szCs w:val="24"/>
        </w:rPr>
        <w:t xml:space="preserve"> why the action first commenced should not be allowed to carry on to finality.</w:t>
      </w:r>
    </w:p>
    <w:p w:rsidR="00D94DD1" w:rsidRDefault="00D94DD1" w:rsidP="00A916EE">
      <w:pPr>
        <w:pStyle w:val="NoSpacing"/>
        <w:spacing w:line="360" w:lineRule="auto"/>
        <w:ind w:firstLine="720"/>
        <w:jc w:val="both"/>
        <w:rPr>
          <w:rFonts w:ascii="Times New Roman" w:hAnsi="Times New Roman" w:cs="Times New Roman"/>
          <w:szCs w:val="24"/>
        </w:rPr>
      </w:pPr>
    </w:p>
    <w:p w:rsidR="00D94DD1" w:rsidRDefault="00D94DD1"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first point </w:t>
      </w:r>
      <w:r w:rsidRPr="00D94DD1">
        <w:rPr>
          <w:rFonts w:ascii="Times New Roman" w:hAnsi="Times New Roman" w:cs="Times New Roman"/>
          <w:i/>
          <w:szCs w:val="24"/>
        </w:rPr>
        <w:t xml:space="preserve">in </w:t>
      </w:r>
      <w:proofErr w:type="spellStart"/>
      <w:r w:rsidRPr="00D94DD1">
        <w:rPr>
          <w:rFonts w:ascii="Times New Roman" w:hAnsi="Times New Roman" w:cs="Times New Roman"/>
          <w:i/>
          <w:szCs w:val="24"/>
        </w:rPr>
        <w:t>limine</w:t>
      </w:r>
      <w:proofErr w:type="spellEnd"/>
      <w:r>
        <w:rPr>
          <w:rFonts w:ascii="Times New Roman" w:hAnsi="Times New Roman" w:cs="Times New Roman"/>
          <w:szCs w:val="24"/>
        </w:rPr>
        <w:t xml:space="preserve"> was therefore properly taken and must succeed.</w:t>
      </w:r>
    </w:p>
    <w:p w:rsidR="00D94DD1" w:rsidRDefault="00D94DD1" w:rsidP="00A916EE">
      <w:pPr>
        <w:pStyle w:val="NoSpacing"/>
        <w:spacing w:line="360" w:lineRule="auto"/>
        <w:ind w:firstLine="720"/>
        <w:jc w:val="both"/>
        <w:rPr>
          <w:rFonts w:ascii="Times New Roman" w:hAnsi="Times New Roman" w:cs="Times New Roman"/>
          <w:szCs w:val="24"/>
        </w:rPr>
      </w:pPr>
    </w:p>
    <w:p w:rsidR="00D94DD1" w:rsidRDefault="00D94DD1"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lastRenderedPageBreak/>
        <w:t>I deal with the second point only for completeness</w:t>
      </w:r>
      <w:r w:rsidR="00C94CEF">
        <w:rPr>
          <w:rFonts w:ascii="Times New Roman" w:hAnsi="Times New Roman" w:cs="Times New Roman"/>
          <w:szCs w:val="24"/>
        </w:rPr>
        <w:t>’</w:t>
      </w:r>
      <w:r>
        <w:rPr>
          <w:rFonts w:ascii="Times New Roman" w:hAnsi="Times New Roman" w:cs="Times New Roman"/>
          <w:szCs w:val="24"/>
        </w:rPr>
        <w:t xml:space="preserve"> sake.</w:t>
      </w:r>
      <w:r w:rsidR="003266F1">
        <w:rPr>
          <w:rFonts w:ascii="Times New Roman" w:hAnsi="Times New Roman" w:cs="Times New Roman"/>
          <w:szCs w:val="24"/>
        </w:rPr>
        <w:t xml:space="preserve"> This is so because the first point </w:t>
      </w:r>
      <w:r w:rsidR="003266F1" w:rsidRPr="003266F1">
        <w:rPr>
          <w:rFonts w:ascii="Times New Roman" w:hAnsi="Times New Roman" w:cs="Times New Roman"/>
          <w:i/>
          <w:szCs w:val="24"/>
        </w:rPr>
        <w:t xml:space="preserve">in </w:t>
      </w:r>
      <w:proofErr w:type="spellStart"/>
      <w:r w:rsidR="003266F1" w:rsidRPr="003266F1">
        <w:rPr>
          <w:rFonts w:ascii="Times New Roman" w:hAnsi="Times New Roman" w:cs="Times New Roman"/>
          <w:i/>
          <w:szCs w:val="24"/>
        </w:rPr>
        <w:t>limine</w:t>
      </w:r>
      <w:proofErr w:type="spellEnd"/>
      <w:r w:rsidR="003266F1">
        <w:rPr>
          <w:rFonts w:ascii="Times New Roman" w:hAnsi="Times New Roman" w:cs="Times New Roman"/>
          <w:szCs w:val="24"/>
        </w:rPr>
        <w:t xml:space="preserve"> disposes of the matter</w:t>
      </w:r>
      <w:r>
        <w:rPr>
          <w:rFonts w:ascii="Times New Roman" w:hAnsi="Times New Roman" w:cs="Times New Roman"/>
          <w:szCs w:val="24"/>
        </w:rPr>
        <w:t xml:space="preserve">  The applicant’s case was premised on the provisions of the Companies Act (Chapter 24:03) specifically </w:t>
      </w:r>
      <w:r w:rsidR="00AA0872">
        <w:rPr>
          <w:rFonts w:ascii="Times New Roman" w:hAnsi="Times New Roman" w:cs="Times New Roman"/>
          <w:szCs w:val="24"/>
        </w:rPr>
        <w:t>section 207 and read with section 206 (g).  The 2</w:t>
      </w:r>
      <w:r w:rsidR="00AA0872" w:rsidRPr="00AA0872">
        <w:rPr>
          <w:rFonts w:ascii="Times New Roman" w:hAnsi="Times New Roman" w:cs="Times New Roman"/>
          <w:szCs w:val="24"/>
          <w:vertAlign w:val="superscript"/>
        </w:rPr>
        <w:t>nd</w:t>
      </w:r>
      <w:r w:rsidR="00AA0872">
        <w:rPr>
          <w:rFonts w:ascii="Times New Roman" w:hAnsi="Times New Roman" w:cs="Times New Roman"/>
          <w:szCs w:val="24"/>
        </w:rPr>
        <w:t xml:space="preserve"> respondent answered to the application as per the applicant’s founding affidavit.  There was no reference to the Insolvency Act, Chapter 6:07.</w:t>
      </w:r>
    </w:p>
    <w:p w:rsidR="00AA0872" w:rsidRDefault="00AA0872" w:rsidP="00A916EE">
      <w:pPr>
        <w:pStyle w:val="NoSpacing"/>
        <w:spacing w:line="360" w:lineRule="auto"/>
        <w:ind w:firstLine="720"/>
        <w:jc w:val="both"/>
        <w:rPr>
          <w:rFonts w:ascii="Times New Roman" w:hAnsi="Times New Roman" w:cs="Times New Roman"/>
          <w:szCs w:val="24"/>
        </w:rPr>
      </w:pPr>
    </w:p>
    <w:p w:rsidR="00AA0872" w:rsidRDefault="00AA0872" w:rsidP="00A916EE">
      <w:pPr>
        <w:pStyle w:val="NoSpacing"/>
        <w:spacing w:line="360" w:lineRule="auto"/>
        <w:ind w:firstLine="720"/>
        <w:jc w:val="both"/>
        <w:rPr>
          <w:rFonts w:ascii="Times New Roman" w:hAnsi="Times New Roman" w:cs="Times New Roman"/>
          <w:szCs w:val="24"/>
        </w:rPr>
      </w:pPr>
      <w:proofErr w:type="spellStart"/>
      <w:r w:rsidRPr="00013696">
        <w:rPr>
          <w:rFonts w:ascii="Times New Roman" w:hAnsi="Times New Roman" w:cs="Times New Roman"/>
          <w:i/>
          <w:szCs w:val="24"/>
        </w:rPr>
        <w:t>Mrs</w:t>
      </w:r>
      <w:proofErr w:type="spellEnd"/>
      <w:r w:rsidRPr="00013696">
        <w:rPr>
          <w:rFonts w:ascii="Times New Roman" w:hAnsi="Times New Roman" w:cs="Times New Roman"/>
          <w:i/>
          <w:szCs w:val="24"/>
        </w:rPr>
        <w:t xml:space="preserve"> </w:t>
      </w:r>
      <w:proofErr w:type="spellStart"/>
      <w:r w:rsidRPr="00013696">
        <w:rPr>
          <w:rFonts w:ascii="Times New Roman" w:hAnsi="Times New Roman" w:cs="Times New Roman"/>
          <w:i/>
          <w:szCs w:val="24"/>
        </w:rPr>
        <w:t>Khuphe</w:t>
      </w:r>
      <w:proofErr w:type="spellEnd"/>
      <w:r>
        <w:rPr>
          <w:rFonts w:ascii="Times New Roman" w:hAnsi="Times New Roman" w:cs="Times New Roman"/>
          <w:szCs w:val="24"/>
        </w:rPr>
        <w:t xml:space="preserve"> contended that the principles espoused in the Companies Act are the same as regards the issue of deadlock </w:t>
      </w:r>
      <w:r w:rsidR="003266F1">
        <w:rPr>
          <w:rFonts w:ascii="Times New Roman" w:hAnsi="Times New Roman" w:cs="Times New Roman"/>
          <w:szCs w:val="24"/>
        </w:rPr>
        <w:t>as provided for in section 5 (c)</w:t>
      </w:r>
      <w:r>
        <w:rPr>
          <w:rFonts w:ascii="Times New Roman" w:hAnsi="Times New Roman" w:cs="Times New Roman"/>
          <w:szCs w:val="24"/>
        </w:rPr>
        <w:t xml:space="preserve"> (</w:t>
      </w:r>
      <w:proofErr w:type="spellStart"/>
      <w:r>
        <w:rPr>
          <w:rFonts w:ascii="Times New Roman" w:hAnsi="Times New Roman" w:cs="Times New Roman"/>
          <w:szCs w:val="24"/>
        </w:rPr>
        <w:t>i</w:t>
      </w:r>
      <w:proofErr w:type="spellEnd"/>
      <w:r>
        <w:rPr>
          <w:rFonts w:ascii="Times New Roman" w:hAnsi="Times New Roman" w:cs="Times New Roman"/>
          <w:szCs w:val="24"/>
        </w:rPr>
        <w:t>) of the Insolvency Act.</w:t>
      </w:r>
    </w:p>
    <w:p w:rsidR="00AA0872" w:rsidRDefault="00AA0872"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point, as contended by </w:t>
      </w:r>
      <w:proofErr w:type="spellStart"/>
      <w:r w:rsidRPr="00013696">
        <w:rPr>
          <w:rFonts w:ascii="Times New Roman" w:hAnsi="Times New Roman" w:cs="Times New Roman"/>
          <w:i/>
          <w:szCs w:val="24"/>
        </w:rPr>
        <w:t>Mr</w:t>
      </w:r>
      <w:proofErr w:type="spellEnd"/>
      <w:r w:rsidRPr="00013696">
        <w:rPr>
          <w:rFonts w:ascii="Times New Roman" w:hAnsi="Times New Roman" w:cs="Times New Roman"/>
          <w:i/>
          <w:szCs w:val="24"/>
        </w:rPr>
        <w:t xml:space="preserve"> </w:t>
      </w:r>
      <w:proofErr w:type="spellStart"/>
      <w:r w:rsidRPr="00013696">
        <w:rPr>
          <w:rFonts w:ascii="Times New Roman" w:hAnsi="Times New Roman" w:cs="Times New Roman"/>
          <w:i/>
          <w:szCs w:val="24"/>
        </w:rPr>
        <w:t>Masiye</w:t>
      </w:r>
      <w:proofErr w:type="spellEnd"/>
      <w:r>
        <w:rPr>
          <w:rFonts w:ascii="Times New Roman" w:hAnsi="Times New Roman" w:cs="Times New Roman"/>
          <w:szCs w:val="24"/>
        </w:rPr>
        <w:t>, is that the Companies Act under which the applicant’s case is hinged speaks to the applicant being a contributory and it is in that capacity that the action was brought whereas the Insolvency Act speak</w:t>
      </w:r>
      <w:r w:rsidR="0079421B">
        <w:rPr>
          <w:rFonts w:ascii="Times New Roman" w:hAnsi="Times New Roman" w:cs="Times New Roman"/>
          <w:szCs w:val="24"/>
        </w:rPr>
        <w:t>s to the company being a debtor.</w:t>
      </w:r>
      <w:r>
        <w:rPr>
          <w:rFonts w:ascii="Times New Roman" w:hAnsi="Times New Roman" w:cs="Times New Roman"/>
          <w:szCs w:val="24"/>
        </w:rPr>
        <w:t xml:space="preserve"> </w:t>
      </w:r>
      <w:r w:rsidR="0079421B">
        <w:rPr>
          <w:rFonts w:ascii="Times New Roman" w:hAnsi="Times New Roman" w:cs="Times New Roman"/>
          <w:szCs w:val="24"/>
        </w:rPr>
        <w:t>Section</w:t>
      </w:r>
      <w:r>
        <w:rPr>
          <w:rFonts w:ascii="Times New Roman" w:hAnsi="Times New Roman" w:cs="Times New Roman"/>
          <w:szCs w:val="24"/>
        </w:rPr>
        <w:t xml:space="preserve"> 14</w:t>
      </w:r>
      <w:r w:rsidR="0079421B">
        <w:rPr>
          <w:rFonts w:ascii="Times New Roman" w:hAnsi="Times New Roman" w:cs="Times New Roman"/>
          <w:szCs w:val="24"/>
        </w:rPr>
        <w:t xml:space="preserve"> of the Insolvency Act</w:t>
      </w:r>
      <w:r>
        <w:rPr>
          <w:rFonts w:ascii="Times New Roman" w:hAnsi="Times New Roman" w:cs="Times New Roman"/>
          <w:szCs w:val="24"/>
        </w:rPr>
        <w:t xml:space="preserve"> specifically provides that:-</w:t>
      </w:r>
    </w:p>
    <w:p w:rsidR="00AA0872" w:rsidRDefault="00AA0872" w:rsidP="00A916EE">
      <w:pPr>
        <w:pStyle w:val="NoSpacing"/>
        <w:ind w:left="720"/>
        <w:jc w:val="both"/>
        <w:rPr>
          <w:rFonts w:ascii="Times New Roman" w:hAnsi="Times New Roman" w:cs="Times New Roman"/>
          <w:szCs w:val="24"/>
        </w:rPr>
      </w:pPr>
      <w:r>
        <w:rPr>
          <w:rFonts w:ascii="Times New Roman" w:hAnsi="Times New Roman" w:cs="Times New Roman"/>
          <w:szCs w:val="24"/>
        </w:rPr>
        <w:t xml:space="preserve">“The court may grant a provisional order for the liquidation of the estate of a debtor if the court is satisfied on the face of the documents that the applicable requirements of section 4, 5 or 6 have been complied with.”  </w:t>
      </w:r>
    </w:p>
    <w:p w:rsidR="00AA0872" w:rsidRDefault="00AA0872" w:rsidP="00A916EE">
      <w:pPr>
        <w:pStyle w:val="NoSpacing"/>
        <w:ind w:left="720"/>
        <w:jc w:val="both"/>
        <w:rPr>
          <w:rFonts w:ascii="Times New Roman" w:hAnsi="Times New Roman" w:cs="Times New Roman"/>
          <w:szCs w:val="24"/>
        </w:rPr>
      </w:pPr>
    </w:p>
    <w:p w:rsidR="00AA0872" w:rsidRDefault="00AA0872"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It is therefore the subject matter of the particular provision that the court looks at and applies such principles under the </w:t>
      </w:r>
      <w:r w:rsidR="00454025">
        <w:rPr>
          <w:rFonts w:ascii="Times New Roman" w:hAnsi="Times New Roman" w:cs="Times New Roman"/>
          <w:szCs w:val="24"/>
        </w:rPr>
        <w:t>over arching umbrella of the particular statute.</w:t>
      </w:r>
    </w:p>
    <w:p w:rsidR="00454025" w:rsidRDefault="00454025" w:rsidP="00A916EE">
      <w:pPr>
        <w:pStyle w:val="NoSpacing"/>
        <w:spacing w:line="360" w:lineRule="auto"/>
        <w:ind w:firstLine="720"/>
        <w:jc w:val="both"/>
        <w:rPr>
          <w:rFonts w:ascii="Times New Roman" w:hAnsi="Times New Roman" w:cs="Times New Roman"/>
          <w:szCs w:val="24"/>
        </w:rPr>
      </w:pPr>
    </w:p>
    <w:p w:rsidR="00454025" w:rsidRDefault="00454025"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applicant could have brought the action under the Insolvency Act if that was the appropriate piece of legislation applicable to the circumstances.  Introducing the Insolvency Act in an answering </w:t>
      </w:r>
      <w:r w:rsidR="00CB3518">
        <w:rPr>
          <w:rFonts w:ascii="Times New Roman" w:hAnsi="Times New Roman" w:cs="Times New Roman"/>
          <w:szCs w:val="24"/>
        </w:rPr>
        <w:t xml:space="preserve">affidavit is therefore tantamount to building up a case which ought to have been built in the founding affidavit.  An answering affidavit, as the term denotes, answers to the opposing affidavit and does not seek to introduce new issues.  </w:t>
      </w:r>
      <w:r w:rsidR="00CB3518" w:rsidRPr="00013696">
        <w:rPr>
          <w:rFonts w:ascii="Times New Roman" w:hAnsi="Times New Roman" w:cs="Times New Roman"/>
          <w:i/>
          <w:szCs w:val="24"/>
        </w:rPr>
        <w:t>(Jozistat (Pty)</w:t>
      </w:r>
      <w:r w:rsidR="00CB3518">
        <w:rPr>
          <w:rFonts w:ascii="Times New Roman" w:hAnsi="Times New Roman" w:cs="Times New Roman"/>
          <w:szCs w:val="24"/>
        </w:rPr>
        <w:t xml:space="preserve"> </w:t>
      </w:r>
      <w:r w:rsidR="00CB3518" w:rsidRPr="00013696">
        <w:rPr>
          <w:rFonts w:ascii="Times New Roman" w:hAnsi="Times New Roman" w:cs="Times New Roman"/>
          <w:i/>
          <w:szCs w:val="24"/>
        </w:rPr>
        <w:t xml:space="preserve">Ltd and </w:t>
      </w:r>
      <w:proofErr w:type="spellStart"/>
      <w:r w:rsidR="00CB3518" w:rsidRPr="00013696">
        <w:rPr>
          <w:rFonts w:ascii="Times New Roman" w:hAnsi="Times New Roman" w:cs="Times New Roman"/>
          <w:i/>
          <w:szCs w:val="24"/>
        </w:rPr>
        <w:t>Topazi</w:t>
      </w:r>
      <w:r w:rsidR="00E37613">
        <w:rPr>
          <w:rFonts w:ascii="Times New Roman" w:hAnsi="Times New Roman" w:cs="Times New Roman"/>
          <w:i/>
          <w:szCs w:val="24"/>
        </w:rPr>
        <w:t>s</w:t>
      </w:r>
      <w:r w:rsidR="00CB3518" w:rsidRPr="00013696">
        <w:rPr>
          <w:rFonts w:ascii="Times New Roman" w:hAnsi="Times New Roman" w:cs="Times New Roman"/>
          <w:i/>
          <w:szCs w:val="24"/>
        </w:rPr>
        <w:t>ky</w:t>
      </w:r>
      <w:proofErr w:type="spellEnd"/>
      <w:r w:rsidR="00CB3518" w:rsidRPr="00013696">
        <w:rPr>
          <w:rFonts w:ascii="Times New Roman" w:hAnsi="Times New Roman" w:cs="Times New Roman"/>
          <w:i/>
          <w:szCs w:val="24"/>
        </w:rPr>
        <w:t xml:space="preserve"> Trading 217 (Pty) Ltd and Another </w:t>
      </w:r>
      <w:r w:rsidR="00017618">
        <w:rPr>
          <w:rFonts w:ascii="Times New Roman" w:hAnsi="Times New Roman" w:cs="Times New Roman"/>
          <w:szCs w:val="24"/>
        </w:rPr>
        <w:t>(2011/299</w:t>
      </w:r>
      <w:r w:rsidR="00CB3518">
        <w:rPr>
          <w:rFonts w:ascii="Times New Roman" w:hAnsi="Times New Roman" w:cs="Times New Roman"/>
          <w:szCs w:val="24"/>
        </w:rPr>
        <w:t>88) (2011) ZAGP JHC 91).</w:t>
      </w:r>
    </w:p>
    <w:p w:rsidR="00CB3518" w:rsidRDefault="00CB3518" w:rsidP="00A916EE">
      <w:pPr>
        <w:pStyle w:val="NoSpacing"/>
        <w:spacing w:line="360" w:lineRule="auto"/>
        <w:ind w:firstLine="720"/>
        <w:jc w:val="both"/>
        <w:rPr>
          <w:rFonts w:ascii="Times New Roman" w:hAnsi="Times New Roman" w:cs="Times New Roman"/>
          <w:szCs w:val="24"/>
        </w:rPr>
      </w:pPr>
    </w:p>
    <w:p w:rsidR="00CB3518" w:rsidRDefault="00CB3518"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In </w:t>
      </w:r>
      <w:proofErr w:type="spellStart"/>
      <w:r w:rsidR="00017618">
        <w:rPr>
          <w:rFonts w:ascii="Times New Roman" w:hAnsi="Times New Roman" w:cs="Times New Roman"/>
          <w:i/>
          <w:szCs w:val="24"/>
        </w:rPr>
        <w:t>Bramw</w:t>
      </w:r>
      <w:r w:rsidRPr="00013696">
        <w:rPr>
          <w:rFonts w:ascii="Times New Roman" w:hAnsi="Times New Roman" w:cs="Times New Roman"/>
          <w:i/>
          <w:szCs w:val="24"/>
        </w:rPr>
        <w:t>ell</w:t>
      </w:r>
      <w:proofErr w:type="spellEnd"/>
      <w:r w:rsidRPr="00013696">
        <w:rPr>
          <w:rFonts w:ascii="Times New Roman" w:hAnsi="Times New Roman" w:cs="Times New Roman"/>
          <w:i/>
          <w:szCs w:val="24"/>
        </w:rPr>
        <w:t xml:space="preserve"> </w:t>
      </w:r>
      <w:proofErr w:type="spellStart"/>
      <w:r w:rsidRPr="00013696">
        <w:rPr>
          <w:rFonts w:ascii="Times New Roman" w:hAnsi="Times New Roman" w:cs="Times New Roman"/>
          <w:i/>
          <w:szCs w:val="24"/>
        </w:rPr>
        <w:t>Bushu</w:t>
      </w:r>
      <w:proofErr w:type="spellEnd"/>
      <w:r>
        <w:rPr>
          <w:rFonts w:ascii="Times New Roman" w:hAnsi="Times New Roman" w:cs="Times New Roman"/>
          <w:szCs w:val="24"/>
        </w:rPr>
        <w:t xml:space="preserve"> v </w:t>
      </w:r>
      <w:r w:rsidRPr="00013696">
        <w:rPr>
          <w:rFonts w:ascii="Times New Roman" w:hAnsi="Times New Roman" w:cs="Times New Roman"/>
          <w:i/>
          <w:szCs w:val="24"/>
        </w:rPr>
        <w:t>Grain Marketing Board and 2 Others</w:t>
      </w:r>
      <w:r>
        <w:rPr>
          <w:rFonts w:ascii="Times New Roman" w:hAnsi="Times New Roman" w:cs="Times New Roman"/>
          <w:szCs w:val="24"/>
        </w:rPr>
        <w:t xml:space="preserve"> HH 326-17 C</w:t>
      </w:r>
      <w:r w:rsidRPr="00013696">
        <w:rPr>
          <w:rFonts w:ascii="Times New Roman" w:hAnsi="Times New Roman" w:cs="Times New Roman"/>
          <w:sz w:val="20"/>
          <w:szCs w:val="20"/>
        </w:rPr>
        <w:t xml:space="preserve">HITAPI J </w:t>
      </w:r>
      <w:r>
        <w:rPr>
          <w:rFonts w:ascii="Times New Roman" w:hAnsi="Times New Roman" w:cs="Times New Roman"/>
          <w:szCs w:val="24"/>
        </w:rPr>
        <w:t>put it thus:-</w:t>
      </w:r>
    </w:p>
    <w:p w:rsidR="00CB3518" w:rsidRDefault="00CB3518" w:rsidP="00A916E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 xml:space="preserve">“It is trite that an application stands or falls on the founding affidavit.  The following is stated in </w:t>
      </w:r>
      <w:proofErr w:type="spellStart"/>
      <w:r>
        <w:rPr>
          <w:rFonts w:ascii="Times New Roman" w:hAnsi="Times New Roman" w:cs="Times New Roman"/>
          <w:szCs w:val="24"/>
        </w:rPr>
        <w:t>Herbstein</w:t>
      </w:r>
      <w:proofErr w:type="spellEnd"/>
      <w:r>
        <w:rPr>
          <w:rFonts w:ascii="Times New Roman" w:hAnsi="Times New Roman" w:cs="Times New Roman"/>
          <w:szCs w:val="24"/>
        </w:rPr>
        <w:t xml:space="preserve"> and Van </w:t>
      </w:r>
      <w:proofErr w:type="spellStart"/>
      <w:r>
        <w:rPr>
          <w:rFonts w:ascii="Times New Roman" w:hAnsi="Times New Roman" w:cs="Times New Roman"/>
          <w:szCs w:val="24"/>
        </w:rPr>
        <w:t>Winsen</w:t>
      </w:r>
      <w:proofErr w:type="spellEnd"/>
      <w:proofErr w:type="gramStart"/>
      <w:r w:rsidR="001639E5">
        <w:rPr>
          <w:rFonts w:ascii="Times New Roman" w:hAnsi="Times New Roman" w:cs="Times New Roman"/>
          <w:szCs w:val="24"/>
        </w:rPr>
        <w:t>:-</w:t>
      </w:r>
      <w:proofErr w:type="gramEnd"/>
      <w:r w:rsidR="001639E5">
        <w:rPr>
          <w:rFonts w:ascii="Times New Roman" w:hAnsi="Times New Roman" w:cs="Times New Roman"/>
          <w:szCs w:val="24"/>
        </w:rPr>
        <w:t xml:space="preserve"> </w:t>
      </w:r>
      <w:r w:rsidR="001639E5" w:rsidRPr="00013696">
        <w:rPr>
          <w:rFonts w:ascii="Times New Roman" w:hAnsi="Times New Roman" w:cs="Times New Roman"/>
          <w:i/>
          <w:szCs w:val="24"/>
        </w:rPr>
        <w:t>The Civil Practice of the High Courts and the</w:t>
      </w:r>
      <w:r w:rsidR="001639E5">
        <w:rPr>
          <w:rFonts w:ascii="Times New Roman" w:hAnsi="Times New Roman" w:cs="Times New Roman"/>
          <w:szCs w:val="24"/>
        </w:rPr>
        <w:t xml:space="preserve"> </w:t>
      </w:r>
      <w:r w:rsidR="001639E5" w:rsidRPr="00013696">
        <w:rPr>
          <w:rFonts w:ascii="Times New Roman" w:hAnsi="Times New Roman" w:cs="Times New Roman"/>
          <w:i/>
          <w:szCs w:val="24"/>
        </w:rPr>
        <w:t>Supreme Courts of Appeal South Africa 5</w:t>
      </w:r>
      <w:r w:rsidR="001639E5" w:rsidRPr="00013696">
        <w:rPr>
          <w:rFonts w:ascii="Times New Roman" w:hAnsi="Times New Roman" w:cs="Times New Roman"/>
          <w:i/>
          <w:szCs w:val="24"/>
          <w:vertAlign w:val="superscript"/>
        </w:rPr>
        <w:t>th</w:t>
      </w:r>
      <w:r w:rsidR="001639E5" w:rsidRPr="00013696">
        <w:rPr>
          <w:rFonts w:ascii="Times New Roman" w:hAnsi="Times New Roman" w:cs="Times New Roman"/>
          <w:i/>
          <w:szCs w:val="24"/>
        </w:rPr>
        <w:t xml:space="preserve"> Edition</w:t>
      </w:r>
      <w:r w:rsidR="001639E5">
        <w:rPr>
          <w:rFonts w:ascii="Times New Roman" w:hAnsi="Times New Roman" w:cs="Times New Roman"/>
          <w:szCs w:val="24"/>
        </w:rPr>
        <w:t xml:space="preserve"> at pp 440-441:-</w:t>
      </w:r>
    </w:p>
    <w:p w:rsidR="001639E5" w:rsidRDefault="001639E5" w:rsidP="00A916EE">
      <w:pPr>
        <w:pStyle w:val="NoSpacing"/>
        <w:spacing w:line="360" w:lineRule="auto"/>
        <w:ind w:left="720"/>
        <w:jc w:val="both"/>
        <w:rPr>
          <w:rFonts w:ascii="Times New Roman" w:hAnsi="Times New Roman" w:cs="Times New Roman"/>
          <w:szCs w:val="24"/>
        </w:rPr>
      </w:pPr>
    </w:p>
    <w:p w:rsidR="005F56A9" w:rsidRDefault="001639E5" w:rsidP="00A916E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lastRenderedPageBreak/>
        <w:t>“The general rule which has been laid down</w:t>
      </w:r>
      <w:r w:rsidR="005F56A9">
        <w:rPr>
          <w:rFonts w:ascii="Times New Roman" w:hAnsi="Times New Roman" w:cs="Times New Roman"/>
          <w:szCs w:val="24"/>
        </w:rPr>
        <w:t xml:space="preserve"> repeatedly is that an applicant must stand or fall by the founding affidavit and the facts alleged in it and that although sometimes it is permissible to supplement the allegations contained in that affidavit, still the main foundation of the application is the allegation of facts that the respondent is called up either to affirm or deny. The Appellate Division has held that it is not permissible to make out new grounds for an application in a replying affidavit………………………………………………………………………………..</w:t>
      </w:r>
    </w:p>
    <w:p w:rsidR="005F56A9" w:rsidRDefault="005F56A9" w:rsidP="00A916EE">
      <w:pPr>
        <w:pStyle w:val="NoSpacing"/>
        <w:spacing w:line="360" w:lineRule="auto"/>
        <w:ind w:left="720"/>
        <w:jc w:val="both"/>
        <w:rPr>
          <w:rFonts w:ascii="Times New Roman" w:hAnsi="Times New Roman" w:cs="Times New Roman"/>
          <w:szCs w:val="24"/>
        </w:rPr>
      </w:pPr>
    </w:p>
    <w:p w:rsidR="005F56A9" w:rsidRDefault="005F56A9" w:rsidP="00A916E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When, as in this case, the proceedings are launched by way of notice of motion, it is to the founding affidavit which a Judge will look to determine what the complaint is.”</w:t>
      </w:r>
      <w:r w:rsidR="001639E5">
        <w:rPr>
          <w:rFonts w:ascii="Times New Roman" w:hAnsi="Times New Roman" w:cs="Times New Roman"/>
          <w:szCs w:val="24"/>
        </w:rPr>
        <w:t xml:space="preserve"> </w:t>
      </w:r>
    </w:p>
    <w:p w:rsidR="005F56A9" w:rsidRDefault="005F56A9" w:rsidP="00A916EE">
      <w:pPr>
        <w:pStyle w:val="NoSpacing"/>
        <w:spacing w:line="360" w:lineRule="auto"/>
        <w:ind w:left="720"/>
        <w:jc w:val="both"/>
        <w:rPr>
          <w:rFonts w:ascii="Times New Roman" w:hAnsi="Times New Roman" w:cs="Times New Roman"/>
          <w:szCs w:val="24"/>
        </w:rPr>
      </w:pPr>
    </w:p>
    <w:p w:rsidR="00A04C6F" w:rsidRDefault="005F56A9" w:rsidP="00A916E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 xml:space="preserve">So it is </w:t>
      </w:r>
      <w:r w:rsidRPr="00DC6A95">
        <w:rPr>
          <w:rFonts w:ascii="Times New Roman" w:hAnsi="Times New Roman" w:cs="Times New Roman"/>
          <w:i/>
          <w:szCs w:val="24"/>
        </w:rPr>
        <w:t xml:space="preserve">in </w:t>
      </w:r>
      <w:proofErr w:type="spellStart"/>
      <w:r w:rsidRPr="00DC6A95">
        <w:rPr>
          <w:rFonts w:ascii="Times New Roman" w:hAnsi="Times New Roman" w:cs="Times New Roman"/>
          <w:i/>
          <w:szCs w:val="24"/>
        </w:rPr>
        <w:t>casu</w:t>
      </w:r>
      <w:proofErr w:type="spellEnd"/>
      <w:r>
        <w:rPr>
          <w:rFonts w:ascii="Times New Roman" w:hAnsi="Times New Roman" w:cs="Times New Roman"/>
          <w:szCs w:val="24"/>
        </w:rPr>
        <w:t xml:space="preserve">, it is to the applicant’s founding affidavit that I look and the basis for the application is rooted in the Companies </w:t>
      </w:r>
      <w:r w:rsidR="00A04C6F">
        <w:rPr>
          <w:rFonts w:ascii="Times New Roman" w:hAnsi="Times New Roman" w:cs="Times New Roman"/>
          <w:szCs w:val="24"/>
        </w:rPr>
        <w:t>Act, the</w:t>
      </w:r>
      <w:r>
        <w:rPr>
          <w:rFonts w:ascii="Times New Roman" w:hAnsi="Times New Roman" w:cs="Times New Roman"/>
          <w:szCs w:val="24"/>
        </w:rPr>
        <w:t xml:space="preserve"> reference to the Insolvency Act in the answering affidavit is therefore misplaced and ought to be expunged</w:t>
      </w:r>
      <w:r w:rsidR="00A04C6F">
        <w:rPr>
          <w:rFonts w:ascii="Times New Roman" w:hAnsi="Times New Roman" w:cs="Times New Roman"/>
          <w:szCs w:val="24"/>
        </w:rPr>
        <w:t>.</w:t>
      </w:r>
    </w:p>
    <w:p w:rsidR="00A04C6F" w:rsidRDefault="00A04C6F" w:rsidP="00A916EE">
      <w:pPr>
        <w:pStyle w:val="NoSpacing"/>
        <w:spacing w:line="360" w:lineRule="auto"/>
        <w:ind w:left="720"/>
        <w:jc w:val="both"/>
        <w:rPr>
          <w:rFonts w:ascii="Times New Roman" w:hAnsi="Times New Roman" w:cs="Times New Roman"/>
          <w:szCs w:val="24"/>
        </w:rPr>
      </w:pPr>
    </w:p>
    <w:p w:rsidR="00A04C6F" w:rsidRDefault="00A04C6F" w:rsidP="00A916E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 xml:space="preserve">The second point </w:t>
      </w:r>
      <w:r w:rsidRPr="00A04C6F">
        <w:rPr>
          <w:rFonts w:ascii="Times New Roman" w:hAnsi="Times New Roman" w:cs="Times New Roman"/>
          <w:i/>
          <w:szCs w:val="24"/>
        </w:rPr>
        <w:t xml:space="preserve">in </w:t>
      </w:r>
      <w:proofErr w:type="spellStart"/>
      <w:r w:rsidRPr="00A04C6F">
        <w:rPr>
          <w:rFonts w:ascii="Times New Roman" w:hAnsi="Times New Roman" w:cs="Times New Roman"/>
          <w:i/>
          <w:szCs w:val="24"/>
        </w:rPr>
        <w:t>limine</w:t>
      </w:r>
      <w:proofErr w:type="spellEnd"/>
      <w:r>
        <w:rPr>
          <w:rFonts w:ascii="Times New Roman" w:hAnsi="Times New Roman" w:cs="Times New Roman"/>
          <w:i/>
          <w:szCs w:val="24"/>
        </w:rPr>
        <w:t xml:space="preserve"> </w:t>
      </w:r>
      <w:r>
        <w:rPr>
          <w:rFonts w:ascii="Times New Roman" w:hAnsi="Times New Roman" w:cs="Times New Roman"/>
          <w:szCs w:val="24"/>
        </w:rPr>
        <w:t>is accordingly upheld.</w:t>
      </w:r>
    </w:p>
    <w:p w:rsidR="00A04C6F" w:rsidRDefault="00A04C6F" w:rsidP="00A04C6F">
      <w:pPr>
        <w:pStyle w:val="NoSpacing"/>
        <w:spacing w:line="360" w:lineRule="auto"/>
        <w:ind w:left="720"/>
        <w:jc w:val="both"/>
        <w:rPr>
          <w:rFonts w:ascii="Times New Roman" w:hAnsi="Times New Roman" w:cs="Times New Roman"/>
          <w:szCs w:val="24"/>
        </w:rPr>
      </w:pPr>
    </w:p>
    <w:p w:rsidR="001639E5" w:rsidRDefault="00A04C6F" w:rsidP="00A04C6F">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 xml:space="preserve">The prayer is for the dismissal of the application with punitive costs. Punitive costs are to be sparingly awarded. The court’s censure ought to be visited against a litigant whose conduct deserves such </w:t>
      </w:r>
      <w:r w:rsidR="00C90657">
        <w:rPr>
          <w:rFonts w:ascii="Times New Roman" w:hAnsi="Times New Roman" w:cs="Times New Roman"/>
          <w:szCs w:val="24"/>
        </w:rPr>
        <w:t>censure. Whilst</w:t>
      </w:r>
      <w:r w:rsidR="001639E5">
        <w:rPr>
          <w:rFonts w:ascii="Times New Roman" w:hAnsi="Times New Roman" w:cs="Times New Roman"/>
          <w:szCs w:val="24"/>
        </w:rPr>
        <w:t xml:space="preserve"> the parties’ acrimonious relationship appears to have been the driving force in the mounting of this application, given the history or background of the matter, I do not hold that the applicant should be penalised by an award of punitive costs.  It was within his rights to seek to enforce what he believed was his right to.</w:t>
      </w:r>
    </w:p>
    <w:p w:rsidR="002F2247" w:rsidRDefault="002F2247" w:rsidP="00A916EE">
      <w:pPr>
        <w:pStyle w:val="NoSpacing"/>
        <w:spacing w:line="360" w:lineRule="auto"/>
        <w:ind w:left="720"/>
        <w:jc w:val="both"/>
        <w:rPr>
          <w:rFonts w:ascii="Times New Roman" w:hAnsi="Times New Roman" w:cs="Times New Roman"/>
          <w:szCs w:val="24"/>
        </w:rPr>
      </w:pPr>
    </w:p>
    <w:p w:rsidR="008A4BAA" w:rsidRDefault="002F2247"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I am not persuaded to accept that this is a matter deserving of censure.  Costs being in the discretion of the court, I will shy away from awarding punitive costs.  As regards dismissal</w:t>
      </w:r>
      <w:r w:rsidR="00077524">
        <w:rPr>
          <w:rFonts w:ascii="Times New Roman" w:hAnsi="Times New Roman" w:cs="Times New Roman"/>
          <w:szCs w:val="24"/>
        </w:rPr>
        <w:t xml:space="preserve"> of the application</w:t>
      </w:r>
      <w:r>
        <w:rPr>
          <w:rFonts w:ascii="Times New Roman" w:hAnsi="Times New Roman" w:cs="Times New Roman"/>
          <w:szCs w:val="24"/>
        </w:rPr>
        <w:t>, this</w:t>
      </w:r>
      <w:r w:rsidR="00077524">
        <w:rPr>
          <w:rFonts w:ascii="Times New Roman" w:hAnsi="Times New Roman" w:cs="Times New Roman"/>
          <w:szCs w:val="24"/>
        </w:rPr>
        <w:t xml:space="preserve"> in my </w:t>
      </w:r>
      <w:r w:rsidR="00314B00">
        <w:rPr>
          <w:rFonts w:ascii="Times New Roman" w:hAnsi="Times New Roman" w:cs="Times New Roman"/>
          <w:szCs w:val="24"/>
        </w:rPr>
        <w:t>view</w:t>
      </w:r>
      <w:r>
        <w:rPr>
          <w:rFonts w:ascii="Times New Roman" w:hAnsi="Times New Roman" w:cs="Times New Roman"/>
          <w:szCs w:val="24"/>
        </w:rPr>
        <w:t xml:space="preserve"> will be the appropriate order as the matter in HC 2085/19 will authoritatively dispose of the dispute.  This application should therefore not be stayed. </w:t>
      </w:r>
    </w:p>
    <w:p w:rsidR="002F2247" w:rsidRDefault="002F2247" w:rsidP="00A916EE">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 In the result, I make the following order:-</w:t>
      </w:r>
    </w:p>
    <w:p w:rsidR="002F2247" w:rsidRDefault="002F2247" w:rsidP="00A916EE">
      <w:pPr>
        <w:pStyle w:val="NoSpacing"/>
        <w:spacing w:line="360" w:lineRule="auto"/>
        <w:ind w:firstLine="720"/>
        <w:jc w:val="both"/>
        <w:rPr>
          <w:rFonts w:ascii="Times New Roman" w:hAnsi="Times New Roman" w:cs="Times New Roman"/>
          <w:szCs w:val="24"/>
        </w:rPr>
      </w:pPr>
    </w:p>
    <w:p w:rsidR="002F2247" w:rsidRDefault="002F2247" w:rsidP="00A916EE">
      <w:pPr>
        <w:pStyle w:val="NoSpacing"/>
        <w:numPr>
          <w:ilvl w:val="0"/>
          <w:numId w:val="1"/>
        </w:numPr>
        <w:spacing w:line="360" w:lineRule="auto"/>
        <w:jc w:val="both"/>
        <w:rPr>
          <w:rFonts w:ascii="Times New Roman" w:hAnsi="Times New Roman" w:cs="Times New Roman"/>
          <w:szCs w:val="24"/>
        </w:rPr>
      </w:pPr>
      <w:r>
        <w:rPr>
          <w:rFonts w:ascii="Times New Roman" w:hAnsi="Times New Roman" w:cs="Times New Roman"/>
          <w:szCs w:val="24"/>
        </w:rPr>
        <w:t>The application be and is hereby dismissed.</w:t>
      </w:r>
    </w:p>
    <w:p w:rsidR="002F2247" w:rsidRDefault="002F2247" w:rsidP="00A916EE">
      <w:pPr>
        <w:pStyle w:val="NoSpacing"/>
        <w:numPr>
          <w:ilvl w:val="0"/>
          <w:numId w:val="1"/>
        </w:numPr>
        <w:spacing w:line="360" w:lineRule="auto"/>
        <w:jc w:val="both"/>
        <w:rPr>
          <w:rFonts w:ascii="Times New Roman" w:hAnsi="Times New Roman" w:cs="Times New Roman"/>
          <w:szCs w:val="24"/>
        </w:rPr>
      </w:pPr>
      <w:r>
        <w:rPr>
          <w:rFonts w:ascii="Times New Roman" w:hAnsi="Times New Roman" w:cs="Times New Roman"/>
          <w:szCs w:val="24"/>
        </w:rPr>
        <w:lastRenderedPageBreak/>
        <w:t>The applicant shall pay costs at the ordinary scale.</w:t>
      </w:r>
    </w:p>
    <w:p w:rsidR="00A916EE" w:rsidRDefault="00A916EE" w:rsidP="00A916EE">
      <w:pPr>
        <w:pStyle w:val="NoSpacing"/>
        <w:spacing w:line="360" w:lineRule="auto"/>
        <w:jc w:val="both"/>
        <w:rPr>
          <w:rFonts w:ascii="Times New Roman" w:hAnsi="Times New Roman" w:cs="Times New Roman"/>
          <w:szCs w:val="24"/>
        </w:rPr>
      </w:pPr>
    </w:p>
    <w:p w:rsidR="00A916EE" w:rsidRDefault="00A916EE" w:rsidP="00A916EE">
      <w:pPr>
        <w:pStyle w:val="NoSpacing"/>
        <w:spacing w:line="360" w:lineRule="auto"/>
        <w:jc w:val="both"/>
        <w:rPr>
          <w:rFonts w:ascii="Times New Roman" w:hAnsi="Times New Roman" w:cs="Times New Roman"/>
          <w:szCs w:val="24"/>
        </w:rPr>
      </w:pPr>
    </w:p>
    <w:p w:rsidR="00A916EE" w:rsidRDefault="00A916EE" w:rsidP="00A916EE">
      <w:pPr>
        <w:pStyle w:val="NoSpacing"/>
        <w:jc w:val="both"/>
        <w:rPr>
          <w:rFonts w:ascii="Times New Roman" w:hAnsi="Times New Roman" w:cs="Times New Roman"/>
          <w:szCs w:val="24"/>
        </w:rPr>
      </w:pPr>
      <w:r w:rsidRPr="00A916EE">
        <w:rPr>
          <w:rFonts w:ascii="Times New Roman" w:hAnsi="Times New Roman" w:cs="Times New Roman"/>
          <w:i/>
          <w:szCs w:val="24"/>
        </w:rPr>
        <w:t xml:space="preserve">Liberty </w:t>
      </w:r>
      <w:proofErr w:type="spellStart"/>
      <w:r w:rsidRPr="00A916EE">
        <w:rPr>
          <w:rFonts w:ascii="Times New Roman" w:hAnsi="Times New Roman" w:cs="Times New Roman"/>
          <w:i/>
          <w:szCs w:val="24"/>
        </w:rPr>
        <w:t>Mcijo</w:t>
      </w:r>
      <w:proofErr w:type="spellEnd"/>
      <w:r w:rsidRPr="00A916EE">
        <w:rPr>
          <w:rFonts w:ascii="Times New Roman" w:hAnsi="Times New Roman" w:cs="Times New Roman"/>
          <w:i/>
          <w:szCs w:val="24"/>
        </w:rPr>
        <w:t xml:space="preserve"> &amp; Associates</w:t>
      </w:r>
      <w:r>
        <w:rPr>
          <w:rFonts w:ascii="Times New Roman" w:hAnsi="Times New Roman" w:cs="Times New Roman"/>
          <w:szCs w:val="24"/>
        </w:rPr>
        <w:t>, applicant’s legal practitioners</w:t>
      </w:r>
    </w:p>
    <w:p w:rsidR="00A916EE" w:rsidRDefault="00A916EE" w:rsidP="00A916EE">
      <w:pPr>
        <w:pStyle w:val="NoSpacing"/>
        <w:jc w:val="both"/>
        <w:rPr>
          <w:rFonts w:ascii="Times New Roman" w:hAnsi="Times New Roman" w:cs="Times New Roman"/>
          <w:szCs w:val="24"/>
        </w:rPr>
      </w:pPr>
      <w:proofErr w:type="spellStart"/>
      <w:r w:rsidRPr="00A916EE">
        <w:rPr>
          <w:rFonts w:ascii="Times New Roman" w:hAnsi="Times New Roman" w:cs="Times New Roman"/>
          <w:i/>
          <w:szCs w:val="24"/>
        </w:rPr>
        <w:t>Masiye-Moyo</w:t>
      </w:r>
      <w:proofErr w:type="spellEnd"/>
      <w:r w:rsidRPr="00A916EE">
        <w:rPr>
          <w:rFonts w:ascii="Times New Roman" w:hAnsi="Times New Roman" w:cs="Times New Roman"/>
          <w:i/>
          <w:szCs w:val="24"/>
        </w:rPr>
        <w:t xml:space="preserve"> &amp; Associates</w:t>
      </w:r>
      <w:r>
        <w:rPr>
          <w:rFonts w:ascii="Times New Roman" w:hAnsi="Times New Roman" w:cs="Times New Roman"/>
          <w:szCs w:val="24"/>
        </w:rPr>
        <w:t>, 2</w:t>
      </w:r>
      <w:r w:rsidRPr="00A916EE">
        <w:rPr>
          <w:rFonts w:ascii="Times New Roman" w:hAnsi="Times New Roman" w:cs="Times New Roman"/>
          <w:szCs w:val="24"/>
          <w:vertAlign w:val="superscript"/>
        </w:rPr>
        <w:t>nd</w:t>
      </w:r>
      <w:r>
        <w:rPr>
          <w:rFonts w:ascii="Times New Roman" w:hAnsi="Times New Roman" w:cs="Times New Roman"/>
          <w:szCs w:val="24"/>
        </w:rPr>
        <w:t xml:space="preserve"> respondent’s legal practitioners</w:t>
      </w:r>
    </w:p>
    <w:p w:rsidR="002F2247" w:rsidRDefault="002F2247" w:rsidP="00A916EE">
      <w:pPr>
        <w:pStyle w:val="NoSpacing"/>
        <w:ind w:firstLine="720"/>
        <w:rPr>
          <w:rFonts w:ascii="Times New Roman" w:hAnsi="Times New Roman" w:cs="Times New Roman"/>
          <w:szCs w:val="24"/>
        </w:rPr>
      </w:pPr>
    </w:p>
    <w:p w:rsidR="002F2247" w:rsidRDefault="002F2247" w:rsidP="002F2247">
      <w:pPr>
        <w:pStyle w:val="NoSpacing"/>
        <w:spacing w:line="360" w:lineRule="auto"/>
        <w:ind w:firstLine="720"/>
        <w:rPr>
          <w:rFonts w:ascii="Times New Roman" w:hAnsi="Times New Roman" w:cs="Times New Roman"/>
          <w:szCs w:val="24"/>
        </w:rPr>
      </w:pPr>
    </w:p>
    <w:p w:rsidR="00DA44FD" w:rsidRDefault="00DA44FD" w:rsidP="00454025">
      <w:pPr>
        <w:pStyle w:val="NoSpacing"/>
        <w:spacing w:line="360" w:lineRule="auto"/>
        <w:rPr>
          <w:rFonts w:ascii="Times New Roman" w:hAnsi="Times New Roman" w:cs="Times New Roman"/>
          <w:szCs w:val="24"/>
        </w:rPr>
      </w:pPr>
      <w:r>
        <w:rPr>
          <w:rFonts w:ascii="Times New Roman" w:hAnsi="Times New Roman" w:cs="Times New Roman"/>
          <w:szCs w:val="24"/>
        </w:rPr>
        <w:tab/>
      </w:r>
    </w:p>
    <w:p w:rsidR="00F67910" w:rsidRDefault="00DA44FD" w:rsidP="00F67910">
      <w:pPr>
        <w:pStyle w:val="NoSpacing"/>
        <w:spacing w:line="360" w:lineRule="auto"/>
        <w:rPr>
          <w:rFonts w:ascii="Times New Roman" w:hAnsi="Times New Roman" w:cs="Times New Roman"/>
          <w:szCs w:val="24"/>
        </w:rPr>
      </w:pPr>
      <w:r>
        <w:rPr>
          <w:rFonts w:ascii="Times New Roman" w:hAnsi="Times New Roman" w:cs="Times New Roman"/>
          <w:szCs w:val="24"/>
        </w:rPr>
        <w:tab/>
      </w:r>
      <w:r w:rsidR="000013C5">
        <w:rPr>
          <w:rFonts w:ascii="Times New Roman" w:hAnsi="Times New Roman" w:cs="Times New Roman"/>
          <w:szCs w:val="24"/>
        </w:rPr>
        <w:t xml:space="preserve">  </w:t>
      </w:r>
    </w:p>
    <w:p w:rsidR="008C2E25" w:rsidRDefault="008C2E25" w:rsidP="00F67910">
      <w:pPr>
        <w:pStyle w:val="NoSpacing"/>
        <w:spacing w:line="360" w:lineRule="auto"/>
        <w:ind w:left="720"/>
        <w:rPr>
          <w:rFonts w:ascii="Times New Roman" w:hAnsi="Times New Roman" w:cs="Times New Roman"/>
          <w:szCs w:val="24"/>
        </w:rPr>
      </w:pPr>
    </w:p>
    <w:p w:rsidR="00715DC7" w:rsidRDefault="00715DC7" w:rsidP="00715DC7">
      <w:pPr>
        <w:pStyle w:val="NoSpacing"/>
        <w:spacing w:line="360" w:lineRule="auto"/>
        <w:ind w:left="720"/>
        <w:rPr>
          <w:rFonts w:ascii="Times New Roman" w:hAnsi="Times New Roman" w:cs="Times New Roman"/>
          <w:szCs w:val="24"/>
        </w:rPr>
      </w:pPr>
    </w:p>
    <w:p w:rsidR="004D0AE2" w:rsidRDefault="004D0AE2" w:rsidP="00591BF4">
      <w:pPr>
        <w:pStyle w:val="NoSpacing"/>
        <w:spacing w:line="360" w:lineRule="auto"/>
        <w:rPr>
          <w:rFonts w:ascii="Times New Roman" w:hAnsi="Times New Roman" w:cs="Times New Roman"/>
          <w:szCs w:val="24"/>
        </w:rPr>
      </w:pPr>
    </w:p>
    <w:p w:rsidR="004D0AE2" w:rsidRPr="004D0AE2" w:rsidRDefault="004D0AE2" w:rsidP="004D0AE2">
      <w:pPr>
        <w:pStyle w:val="NoSpacing"/>
        <w:spacing w:line="360" w:lineRule="auto"/>
        <w:rPr>
          <w:rFonts w:ascii="Times New Roman" w:hAnsi="Times New Roman" w:cs="Times New Roman"/>
          <w:szCs w:val="24"/>
        </w:rPr>
      </w:pPr>
      <w:r>
        <w:rPr>
          <w:rFonts w:ascii="Times New Roman" w:hAnsi="Times New Roman" w:cs="Times New Roman"/>
          <w:szCs w:val="24"/>
        </w:rPr>
        <w:tab/>
      </w:r>
    </w:p>
    <w:p w:rsidR="001D08C3" w:rsidRDefault="001D08C3"/>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16" w:rsidRDefault="00E62516" w:rsidP="00A916EE">
      <w:pPr>
        <w:spacing w:after="0" w:line="240" w:lineRule="auto"/>
      </w:pPr>
      <w:r>
        <w:separator/>
      </w:r>
    </w:p>
  </w:endnote>
  <w:endnote w:type="continuationSeparator" w:id="1">
    <w:p w:rsidR="00E62516" w:rsidRDefault="00E62516" w:rsidP="00A91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16" w:rsidRDefault="00E62516" w:rsidP="00A916EE">
      <w:pPr>
        <w:spacing w:after="0" w:line="240" w:lineRule="auto"/>
      </w:pPr>
      <w:r>
        <w:separator/>
      </w:r>
    </w:p>
  </w:footnote>
  <w:footnote w:type="continuationSeparator" w:id="1">
    <w:p w:rsidR="00E62516" w:rsidRDefault="00E62516" w:rsidP="00A916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5096"/>
      <w:docPartObj>
        <w:docPartGallery w:val="Page Numbers (Top of Page)"/>
        <w:docPartUnique/>
      </w:docPartObj>
    </w:sdtPr>
    <w:sdtEndPr>
      <w:rPr>
        <w:rFonts w:ascii="Times New Roman" w:hAnsi="Times New Roman" w:cs="Times New Roman"/>
        <w:sz w:val="24"/>
        <w:szCs w:val="24"/>
      </w:rPr>
    </w:sdtEndPr>
    <w:sdtContent>
      <w:p w:rsidR="00A916EE" w:rsidRPr="00A916EE" w:rsidRDefault="007955AE">
        <w:pPr>
          <w:pStyle w:val="Header"/>
          <w:jc w:val="right"/>
          <w:rPr>
            <w:rFonts w:ascii="Times New Roman" w:hAnsi="Times New Roman" w:cs="Times New Roman"/>
            <w:sz w:val="24"/>
            <w:szCs w:val="24"/>
          </w:rPr>
        </w:pPr>
        <w:r w:rsidRPr="00A916EE">
          <w:rPr>
            <w:rFonts w:ascii="Times New Roman" w:hAnsi="Times New Roman" w:cs="Times New Roman"/>
            <w:sz w:val="24"/>
            <w:szCs w:val="24"/>
          </w:rPr>
          <w:fldChar w:fldCharType="begin"/>
        </w:r>
        <w:r w:rsidR="00A916EE" w:rsidRPr="00A916EE">
          <w:rPr>
            <w:rFonts w:ascii="Times New Roman" w:hAnsi="Times New Roman" w:cs="Times New Roman"/>
            <w:sz w:val="24"/>
            <w:szCs w:val="24"/>
          </w:rPr>
          <w:instrText xml:space="preserve"> PAGE   \* MERGEFORMAT </w:instrText>
        </w:r>
        <w:r w:rsidRPr="00A916EE">
          <w:rPr>
            <w:rFonts w:ascii="Times New Roman" w:hAnsi="Times New Roman" w:cs="Times New Roman"/>
            <w:sz w:val="24"/>
            <w:szCs w:val="24"/>
          </w:rPr>
          <w:fldChar w:fldCharType="separate"/>
        </w:r>
        <w:r w:rsidR="00F42DF5">
          <w:rPr>
            <w:rFonts w:ascii="Times New Roman" w:hAnsi="Times New Roman" w:cs="Times New Roman"/>
            <w:noProof/>
            <w:sz w:val="24"/>
            <w:szCs w:val="24"/>
          </w:rPr>
          <w:t>5</w:t>
        </w:r>
        <w:r w:rsidRPr="00A916EE">
          <w:rPr>
            <w:rFonts w:ascii="Times New Roman" w:hAnsi="Times New Roman" w:cs="Times New Roman"/>
            <w:sz w:val="24"/>
            <w:szCs w:val="24"/>
          </w:rPr>
          <w:fldChar w:fldCharType="end"/>
        </w:r>
      </w:p>
      <w:p w:rsidR="00A916EE" w:rsidRPr="00A916EE" w:rsidRDefault="00A916EE">
        <w:pPr>
          <w:pStyle w:val="Header"/>
          <w:jc w:val="right"/>
          <w:rPr>
            <w:rFonts w:ascii="Times New Roman" w:hAnsi="Times New Roman" w:cs="Times New Roman"/>
            <w:sz w:val="24"/>
            <w:szCs w:val="24"/>
          </w:rPr>
        </w:pPr>
        <w:r w:rsidRPr="00A916EE">
          <w:rPr>
            <w:rFonts w:ascii="Times New Roman" w:hAnsi="Times New Roman" w:cs="Times New Roman"/>
            <w:sz w:val="24"/>
            <w:szCs w:val="24"/>
          </w:rPr>
          <w:t>HC 2332/19</w:t>
        </w:r>
      </w:p>
      <w:p w:rsidR="00A916EE" w:rsidRPr="00A916EE" w:rsidRDefault="00A916EE">
        <w:pPr>
          <w:pStyle w:val="Header"/>
          <w:jc w:val="right"/>
          <w:rPr>
            <w:rFonts w:ascii="Times New Roman" w:hAnsi="Times New Roman" w:cs="Times New Roman"/>
            <w:sz w:val="24"/>
            <w:szCs w:val="24"/>
          </w:rPr>
        </w:pPr>
        <w:r w:rsidRPr="00A916EE">
          <w:rPr>
            <w:rFonts w:ascii="Times New Roman" w:hAnsi="Times New Roman" w:cs="Times New Roman"/>
            <w:sz w:val="24"/>
            <w:szCs w:val="24"/>
          </w:rPr>
          <w:t>XREF HC 2301/19, 2313/19, 2085/19</w:t>
        </w:r>
      </w:p>
    </w:sdtContent>
  </w:sdt>
  <w:p w:rsidR="00A916EE" w:rsidRDefault="00A916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A63E9"/>
    <w:multiLevelType w:val="hybridMultilevel"/>
    <w:tmpl w:val="5A085378"/>
    <w:lvl w:ilvl="0" w:tplc="99D27C1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D0AE2"/>
    <w:rsid w:val="000013C5"/>
    <w:rsid w:val="00013696"/>
    <w:rsid w:val="00017618"/>
    <w:rsid w:val="00076A89"/>
    <w:rsid w:val="00077524"/>
    <w:rsid w:val="000C03A1"/>
    <w:rsid w:val="000E7516"/>
    <w:rsid w:val="000F3B94"/>
    <w:rsid w:val="00102193"/>
    <w:rsid w:val="001639E5"/>
    <w:rsid w:val="00197471"/>
    <w:rsid w:val="00197BA7"/>
    <w:rsid w:val="001D08C3"/>
    <w:rsid w:val="001E7B5E"/>
    <w:rsid w:val="0020522D"/>
    <w:rsid w:val="00245715"/>
    <w:rsid w:val="00257B32"/>
    <w:rsid w:val="00273A11"/>
    <w:rsid w:val="002B369D"/>
    <w:rsid w:val="002B7BE0"/>
    <w:rsid w:val="002D0E58"/>
    <w:rsid w:val="002D6639"/>
    <w:rsid w:val="002E1015"/>
    <w:rsid w:val="002E7BFC"/>
    <w:rsid w:val="002F2247"/>
    <w:rsid w:val="00314B00"/>
    <w:rsid w:val="003266F1"/>
    <w:rsid w:val="00357494"/>
    <w:rsid w:val="00371690"/>
    <w:rsid w:val="00374A2D"/>
    <w:rsid w:val="003829EE"/>
    <w:rsid w:val="00392779"/>
    <w:rsid w:val="003A7953"/>
    <w:rsid w:val="003B6D27"/>
    <w:rsid w:val="003D7726"/>
    <w:rsid w:val="003F19FB"/>
    <w:rsid w:val="00400245"/>
    <w:rsid w:val="00401A1B"/>
    <w:rsid w:val="004035C9"/>
    <w:rsid w:val="00406A03"/>
    <w:rsid w:val="004151E4"/>
    <w:rsid w:val="00416E36"/>
    <w:rsid w:val="00445CE5"/>
    <w:rsid w:val="00454025"/>
    <w:rsid w:val="004D0AE2"/>
    <w:rsid w:val="005373E6"/>
    <w:rsid w:val="0055272A"/>
    <w:rsid w:val="005756A2"/>
    <w:rsid w:val="00591BF4"/>
    <w:rsid w:val="005C79AB"/>
    <w:rsid w:val="005D241E"/>
    <w:rsid w:val="005F56A9"/>
    <w:rsid w:val="0060653E"/>
    <w:rsid w:val="00625130"/>
    <w:rsid w:val="00632F19"/>
    <w:rsid w:val="0063503C"/>
    <w:rsid w:val="00642462"/>
    <w:rsid w:val="006A4B46"/>
    <w:rsid w:val="006E64AD"/>
    <w:rsid w:val="00715DC7"/>
    <w:rsid w:val="0074010D"/>
    <w:rsid w:val="00744962"/>
    <w:rsid w:val="00771813"/>
    <w:rsid w:val="00794157"/>
    <w:rsid w:val="0079421B"/>
    <w:rsid w:val="007955AE"/>
    <w:rsid w:val="007B444E"/>
    <w:rsid w:val="007C5505"/>
    <w:rsid w:val="007D2E1D"/>
    <w:rsid w:val="007D746B"/>
    <w:rsid w:val="007E71C0"/>
    <w:rsid w:val="00832F1B"/>
    <w:rsid w:val="00837046"/>
    <w:rsid w:val="008503C1"/>
    <w:rsid w:val="00873860"/>
    <w:rsid w:val="00894610"/>
    <w:rsid w:val="008A4BAA"/>
    <w:rsid w:val="008B4E6A"/>
    <w:rsid w:val="008C2E25"/>
    <w:rsid w:val="008E388E"/>
    <w:rsid w:val="00902FC5"/>
    <w:rsid w:val="00942CE6"/>
    <w:rsid w:val="00967D34"/>
    <w:rsid w:val="009909F2"/>
    <w:rsid w:val="009C2E52"/>
    <w:rsid w:val="00A04C6F"/>
    <w:rsid w:val="00A45AE7"/>
    <w:rsid w:val="00A45F28"/>
    <w:rsid w:val="00A916EE"/>
    <w:rsid w:val="00A97786"/>
    <w:rsid w:val="00AA0872"/>
    <w:rsid w:val="00AB4087"/>
    <w:rsid w:val="00AB4E3F"/>
    <w:rsid w:val="00AC540E"/>
    <w:rsid w:val="00AF08FA"/>
    <w:rsid w:val="00B015F2"/>
    <w:rsid w:val="00B12E7C"/>
    <w:rsid w:val="00B21734"/>
    <w:rsid w:val="00B836B9"/>
    <w:rsid w:val="00C41F40"/>
    <w:rsid w:val="00C44FE4"/>
    <w:rsid w:val="00C90657"/>
    <w:rsid w:val="00C94CEF"/>
    <w:rsid w:val="00CA474E"/>
    <w:rsid w:val="00CB3518"/>
    <w:rsid w:val="00CC2538"/>
    <w:rsid w:val="00D07B1C"/>
    <w:rsid w:val="00D20C47"/>
    <w:rsid w:val="00D3483B"/>
    <w:rsid w:val="00D35748"/>
    <w:rsid w:val="00D44924"/>
    <w:rsid w:val="00D740BA"/>
    <w:rsid w:val="00D94DD1"/>
    <w:rsid w:val="00DA44FD"/>
    <w:rsid w:val="00DB5D77"/>
    <w:rsid w:val="00DC179A"/>
    <w:rsid w:val="00DC6A95"/>
    <w:rsid w:val="00E15EF8"/>
    <w:rsid w:val="00E37613"/>
    <w:rsid w:val="00E62516"/>
    <w:rsid w:val="00EE0883"/>
    <w:rsid w:val="00F23624"/>
    <w:rsid w:val="00F42DF5"/>
    <w:rsid w:val="00F53187"/>
    <w:rsid w:val="00F56704"/>
    <w:rsid w:val="00F67910"/>
    <w:rsid w:val="00FB6DE0"/>
    <w:rsid w:val="00FE184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AE2"/>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A91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6EE"/>
  </w:style>
  <w:style w:type="paragraph" w:styleId="Footer">
    <w:name w:val="footer"/>
    <w:basedOn w:val="Normal"/>
    <w:link w:val="FooterChar"/>
    <w:uiPriority w:val="99"/>
    <w:semiHidden/>
    <w:unhideWhenUsed/>
    <w:rsid w:val="00A916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16EE"/>
  </w:style>
</w:styles>
</file>

<file path=word/webSettings.xml><?xml version="1.0" encoding="utf-8"?>
<w:webSettings xmlns:r="http://schemas.openxmlformats.org/officeDocument/2006/relationships" xmlns:w="http://schemas.openxmlformats.org/wordprocessingml/2006/main">
  <w:divs>
    <w:div w:id="143774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11</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61</cp:revision>
  <dcterms:created xsi:type="dcterms:W3CDTF">2020-02-24T06:34:00Z</dcterms:created>
  <dcterms:modified xsi:type="dcterms:W3CDTF">2020-02-26T12:41:00Z</dcterms:modified>
</cp:coreProperties>
</file>