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Default="00391A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 TENDAI MUNYUKWA </w:t>
      </w:r>
      <w:r w:rsidR="00EE78D1">
        <w:rPr>
          <w:rFonts w:ascii="Times New Roman" w:hAnsi="Times New Roman" w:cs="Times New Roman"/>
          <w:sz w:val="24"/>
          <w:szCs w:val="24"/>
        </w:rPr>
        <w:t xml:space="preserve"> </w:t>
      </w:r>
    </w:p>
    <w:p w:rsidR="0096091F" w:rsidRDefault="00F96775" w:rsidP="003E5395">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EE78D1">
        <w:rPr>
          <w:rFonts w:ascii="Times New Roman" w:hAnsi="Times New Roman" w:cs="Times New Roman"/>
          <w:sz w:val="24"/>
          <w:szCs w:val="24"/>
        </w:rPr>
        <w:t>ersus</w:t>
      </w:r>
      <w:proofErr w:type="gramEnd"/>
    </w:p>
    <w:p w:rsidR="00EE78D1" w:rsidRDefault="00391A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FORTUNE MATUKA </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391A60" w:rsidP="003E5395">
      <w:pPr>
        <w:spacing w:after="0"/>
        <w:jc w:val="both"/>
        <w:rPr>
          <w:rFonts w:ascii="Times New Roman" w:hAnsi="Times New Roman" w:cs="Times New Roman"/>
          <w:sz w:val="24"/>
          <w:szCs w:val="24"/>
        </w:rPr>
      </w:pPr>
      <w:r>
        <w:rPr>
          <w:rFonts w:ascii="Times New Roman" w:hAnsi="Times New Roman" w:cs="Times New Roman"/>
          <w:sz w:val="24"/>
          <w:szCs w:val="24"/>
        </w:rPr>
        <w:t>MWAYERA</w:t>
      </w:r>
      <w:r w:rsidR="0088188E">
        <w:rPr>
          <w:rFonts w:ascii="Times New Roman" w:hAnsi="Times New Roman" w:cs="Times New Roman"/>
          <w:sz w:val="24"/>
          <w:szCs w:val="24"/>
        </w:rPr>
        <w:t xml:space="preserve"> &amp; MUZENDA JJ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w:t>
      </w:r>
      <w:r w:rsidR="006919BD">
        <w:rPr>
          <w:rFonts w:ascii="Times New Roman" w:hAnsi="Times New Roman" w:cs="Times New Roman"/>
          <w:sz w:val="24"/>
          <w:szCs w:val="24"/>
        </w:rPr>
        <w:t xml:space="preserve">ARE, </w:t>
      </w:r>
      <w:r w:rsidR="007F7941">
        <w:rPr>
          <w:rFonts w:ascii="Times New Roman" w:hAnsi="Times New Roman" w:cs="Times New Roman"/>
          <w:sz w:val="24"/>
          <w:szCs w:val="24"/>
        </w:rPr>
        <w:t>24 March 2021 and 20</w:t>
      </w:r>
      <w:r w:rsidR="00391A60">
        <w:rPr>
          <w:rFonts w:ascii="Times New Roman" w:hAnsi="Times New Roman" w:cs="Times New Roman"/>
          <w:sz w:val="24"/>
          <w:szCs w:val="24"/>
        </w:rPr>
        <w:t xml:space="preserve"> May </w:t>
      </w:r>
      <w:r w:rsidR="00C26757">
        <w:rPr>
          <w:rFonts w:ascii="Times New Roman" w:hAnsi="Times New Roman" w:cs="Times New Roman"/>
          <w:sz w:val="24"/>
          <w:szCs w:val="24"/>
        </w:rPr>
        <w:t>2021</w:t>
      </w:r>
    </w:p>
    <w:p w:rsidR="00C40160" w:rsidRDefault="00C40160" w:rsidP="003E5395">
      <w:pPr>
        <w:spacing w:after="0"/>
        <w:jc w:val="both"/>
        <w:rPr>
          <w:rFonts w:ascii="Times New Roman" w:hAnsi="Times New Roman" w:cs="Times New Roman"/>
          <w:sz w:val="24"/>
          <w:szCs w:val="24"/>
        </w:rPr>
      </w:pPr>
    </w:p>
    <w:p w:rsidR="00EF05BC" w:rsidRDefault="00EF05BC" w:rsidP="003E5395">
      <w:pPr>
        <w:spacing w:after="0"/>
        <w:jc w:val="both"/>
        <w:rPr>
          <w:rFonts w:ascii="Times New Roman" w:hAnsi="Times New Roman" w:cs="Times New Roman"/>
          <w:sz w:val="24"/>
          <w:szCs w:val="24"/>
        </w:rPr>
      </w:pPr>
    </w:p>
    <w:p w:rsidR="00C26757" w:rsidRDefault="006919BD" w:rsidP="003E5395">
      <w:pPr>
        <w:spacing w:after="0"/>
        <w:jc w:val="both"/>
        <w:rPr>
          <w:rFonts w:ascii="Times New Roman" w:hAnsi="Times New Roman" w:cs="Times New Roman"/>
          <w:b/>
          <w:sz w:val="24"/>
          <w:szCs w:val="24"/>
        </w:rPr>
      </w:pPr>
      <w:r>
        <w:rPr>
          <w:rFonts w:ascii="Times New Roman" w:hAnsi="Times New Roman" w:cs="Times New Roman"/>
          <w:b/>
          <w:sz w:val="24"/>
          <w:szCs w:val="24"/>
        </w:rPr>
        <w:t>Civil Appeal</w:t>
      </w:r>
    </w:p>
    <w:p w:rsidR="00391A60" w:rsidRDefault="00391A60" w:rsidP="003E5395">
      <w:pPr>
        <w:spacing w:after="0"/>
        <w:jc w:val="both"/>
        <w:rPr>
          <w:rFonts w:ascii="Times New Roman" w:hAnsi="Times New Roman" w:cs="Times New Roman"/>
          <w:b/>
          <w:sz w:val="24"/>
          <w:szCs w:val="24"/>
        </w:rPr>
      </w:pPr>
    </w:p>
    <w:p w:rsidR="00391A60" w:rsidRDefault="00391A60" w:rsidP="003E5395">
      <w:pPr>
        <w:spacing w:after="0"/>
        <w:jc w:val="both"/>
        <w:rPr>
          <w:rFonts w:ascii="Times New Roman" w:hAnsi="Times New Roman" w:cs="Times New Roman"/>
          <w:b/>
          <w:sz w:val="24"/>
          <w:szCs w:val="24"/>
        </w:rPr>
      </w:pPr>
    </w:p>
    <w:p w:rsidR="00391A60" w:rsidRPr="00391A60" w:rsidRDefault="00391A60" w:rsidP="003E5395">
      <w:pPr>
        <w:spacing w:after="0"/>
        <w:jc w:val="both"/>
        <w:rPr>
          <w:rFonts w:ascii="Times New Roman" w:hAnsi="Times New Roman" w:cs="Times New Roman"/>
          <w:sz w:val="24"/>
          <w:szCs w:val="24"/>
        </w:rPr>
      </w:pPr>
      <w:r w:rsidRPr="00391A60">
        <w:rPr>
          <w:rFonts w:ascii="Times New Roman" w:hAnsi="Times New Roman" w:cs="Times New Roman"/>
          <w:sz w:val="24"/>
          <w:szCs w:val="24"/>
        </w:rPr>
        <w:t xml:space="preserve">Appellant in person </w:t>
      </w:r>
    </w:p>
    <w:p w:rsidR="00391A60" w:rsidRPr="00391A60" w:rsidRDefault="00391A60" w:rsidP="003E5395">
      <w:pPr>
        <w:spacing w:after="0"/>
        <w:jc w:val="both"/>
        <w:rPr>
          <w:rFonts w:ascii="Times New Roman" w:hAnsi="Times New Roman" w:cs="Times New Roman"/>
          <w:sz w:val="24"/>
          <w:szCs w:val="24"/>
        </w:rPr>
      </w:pPr>
      <w:r w:rsidRPr="00391A60">
        <w:rPr>
          <w:rFonts w:ascii="Times New Roman" w:hAnsi="Times New Roman" w:cs="Times New Roman"/>
          <w:sz w:val="24"/>
          <w:szCs w:val="24"/>
        </w:rPr>
        <w:t xml:space="preserve">Respondent in person </w:t>
      </w:r>
    </w:p>
    <w:p w:rsidR="006919BD" w:rsidRDefault="006919BD" w:rsidP="003E5395">
      <w:pPr>
        <w:spacing w:after="0"/>
        <w:jc w:val="both"/>
        <w:rPr>
          <w:rFonts w:ascii="Times New Roman" w:hAnsi="Times New Roman" w:cs="Times New Roman"/>
          <w:b/>
          <w:sz w:val="24"/>
          <w:szCs w:val="24"/>
        </w:rPr>
      </w:pPr>
    </w:p>
    <w:p w:rsidR="00C26757" w:rsidRDefault="00C26757" w:rsidP="003E5395">
      <w:pPr>
        <w:spacing w:after="0"/>
        <w:jc w:val="both"/>
        <w:rPr>
          <w:rFonts w:ascii="Times New Roman" w:hAnsi="Times New Roman" w:cs="Times New Roman"/>
          <w:b/>
          <w:sz w:val="24"/>
          <w:szCs w:val="24"/>
        </w:rPr>
      </w:pPr>
    </w:p>
    <w:p w:rsidR="00216ACB" w:rsidRDefault="00391A60" w:rsidP="00391A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w:t>
      </w:r>
      <w:r w:rsidR="00AD6211">
        <w:rPr>
          <w:rFonts w:ascii="Times New Roman" w:hAnsi="Times New Roman" w:cs="Times New Roman"/>
          <w:sz w:val="24"/>
          <w:szCs w:val="24"/>
        </w:rPr>
        <w:t xml:space="preserve"> J: </w:t>
      </w:r>
      <w:r>
        <w:rPr>
          <w:rFonts w:ascii="Times New Roman" w:hAnsi="Times New Roman" w:cs="Times New Roman"/>
          <w:sz w:val="24"/>
          <w:szCs w:val="24"/>
        </w:rPr>
        <w:t xml:space="preserve">This is an appeal against the determination of the Provincial Magistrate </w:t>
      </w:r>
      <w:proofErr w:type="gramStart"/>
      <w:r>
        <w:rPr>
          <w:rFonts w:ascii="Times New Roman" w:hAnsi="Times New Roman" w:cs="Times New Roman"/>
          <w:sz w:val="24"/>
          <w:szCs w:val="24"/>
        </w:rPr>
        <w:t>sitting</w:t>
      </w:r>
      <w:proofErr w:type="gramEnd"/>
      <w:r>
        <w:rPr>
          <w:rFonts w:ascii="Times New Roman" w:hAnsi="Times New Roman" w:cs="Times New Roman"/>
          <w:sz w:val="24"/>
          <w:szCs w:val="24"/>
        </w:rPr>
        <w:t xml:space="preserve"> at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The Pro</w:t>
      </w:r>
      <w:r w:rsidR="0088188E">
        <w:rPr>
          <w:rFonts w:ascii="Times New Roman" w:hAnsi="Times New Roman" w:cs="Times New Roman"/>
          <w:sz w:val="24"/>
          <w:szCs w:val="24"/>
        </w:rPr>
        <w:t>vincial Magistrate ordered the a</w:t>
      </w:r>
      <w:r>
        <w:rPr>
          <w:rFonts w:ascii="Times New Roman" w:hAnsi="Times New Roman" w:cs="Times New Roman"/>
          <w:sz w:val="24"/>
          <w:szCs w:val="24"/>
        </w:rPr>
        <w:t xml:space="preserve">ppellant to deliver 33 bags of </w:t>
      </w:r>
      <w:r w:rsidR="00F04CF8">
        <w:rPr>
          <w:rFonts w:ascii="Times New Roman" w:hAnsi="Times New Roman" w:cs="Times New Roman"/>
          <w:sz w:val="24"/>
          <w:szCs w:val="24"/>
        </w:rPr>
        <w:t>Lafarge</w:t>
      </w:r>
      <w:r>
        <w:rPr>
          <w:rFonts w:ascii="Times New Roman" w:hAnsi="Times New Roman" w:cs="Times New Roman"/>
          <w:sz w:val="24"/>
          <w:szCs w:val="24"/>
        </w:rPr>
        <w:t xml:space="preserve"> PC cement or the equivalent in </w:t>
      </w:r>
      <w:r w:rsidR="00F04CF8">
        <w:rPr>
          <w:rFonts w:ascii="Times New Roman" w:hAnsi="Times New Roman" w:cs="Times New Roman"/>
          <w:sz w:val="24"/>
          <w:szCs w:val="24"/>
        </w:rPr>
        <w:t>monetary</w:t>
      </w:r>
      <w:r>
        <w:rPr>
          <w:rFonts w:ascii="Times New Roman" w:hAnsi="Times New Roman" w:cs="Times New Roman"/>
          <w:sz w:val="24"/>
          <w:szCs w:val="24"/>
        </w:rPr>
        <w:t xml:space="preserve"> terms as at date of delivery or payment to the</w:t>
      </w:r>
      <w:r w:rsidR="0088188E">
        <w:rPr>
          <w:rFonts w:ascii="Times New Roman" w:hAnsi="Times New Roman" w:cs="Times New Roman"/>
          <w:sz w:val="24"/>
          <w:szCs w:val="24"/>
        </w:rPr>
        <w:t xml:space="preserve"> r</w:t>
      </w:r>
      <w:r>
        <w:rPr>
          <w:rFonts w:ascii="Times New Roman" w:hAnsi="Times New Roman" w:cs="Times New Roman"/>
          <w:sz w:val="24"/>
          <w:szCs w:val="24"/>
        </w:rPr>
        <w:t xml:space="preserve">espondent </w:t>
      </w:r>
      <w:r w:rsidR="00B3541D">
        <w:rPr>
          <w:rFonts w:ascii="Times New Roman" w:hAnsi="Times New Roman" w:cs="Times New Roman"/>
          <w:sz w:val="24"/>
          <w:szCs w:val="24"/>
        </w:rPr>
        <w:t>(</w:t>
      </w:r>
      <w:r>
        <w:rPr>
          <w:rFonts w:ascii="Times New Roman" w:hAnsi="Times New Roman" w:cs="Times New Roman"/>
          <w:sz w:val="24"/>
          <w:szCs w:val="24"/>
        </w:rPr>
        <w:t>then plaintiff</w:t>
      </w:r>
      <w:r w:rsidR="00B3541D">
        <w:rPr>
          <w:rFonts w:ascii="Times New Roman" w:hAnsi="Times New Roman" w:cs="Times New Roman"/>
          <w:sz w:val="24"/>
          <w:szCs w:val="24"/>
        </w:rPr>
        <w:t>)</w:t>
      </w:r>
      <w:r>
        <w:rPr>
          <w:rFonts w:ascii="Times New Roman" w:hAnsi="Times New Roman" w:cs="Times New Roman"/>
          <w:sz w:val="24"/>
          <w:szCs w:val="24"/>
        </w:rPr>
        <w:t>.</w:t>
      </w:r>
    </w:p>
    <w:p w:rsidR="00391A60" w:rsidRDefault="00391A60" w:rsidP="00391A60">
      <w:pPr>
        <w:spacing w:after="0" w:line="360" w:lineRule="auto"/>
        <w:jc w:val="both"/>
        <w:rPr>
          <w:rFonts w:ascii="Times New Roman" w:hAnsi="Times New Roman" w:cs="Times New Roman"/>
          <w:sz w:val="24"/>
          <w:szCs w:val="24"/>
        </w:rPr>
      </w:pPr>
    </w:p>
    <w:p w:rsidR="00391A60" w:rsidRPr="00314716" w:rsidRDefault="00391A60" w:rsidP="00391A60">
      <w:pPr>
        <w:spacing w:after="0" w:line="360" w:lineRule="auto"/>
        <w:jc w:val="both"/>
        <w:rPr>
          <w:rFonts w:ascii="Times New Roman" w:hAnsi="Times New Roman" w:cs="Times New Roman"/>
          <w:sz w:val="24"/>
          <w:szCs w:val="24"/>
          <w:u w:val="single"/>
        </w:rPr>
      </w:pPr>
      <w:r w:rsidRPr="00314716">
        <w:rPr>
          <w:rFonts w:ascii="Times New Roman" w:hAnsi="Times New Roman" w:cs="Times New Roman"/>
          <w:sz w:val="24"/>
          <w:szCs w:val="24"/>
          <w:u w:val="single"/>
        </w:rPr>
        <w:t>Factual background.</w:t>
      </w:r>
    </w:p>
    <w:p w:rsidR="009216E0" w:rsidRDefault="00391A60" w:rsidP="00391A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(plaintiff in court </w:t>
      </w:r>
      <w:r w:rsidRPr="0088188E">
        <w:rPr>
          <w:rFonts w:ascii="Times New Roman" w:hAnsi="Times New Roman" w:cs="Times New Roman"/>
          <w:i/>
          <w:sz w:val="24"/>
          <w:szCs w:val="24"/>
        </w:rPr>
        <w:t>a quo</w:t>
      </w:r>
      <w:r>
        <w:rPr>
          <w:rFonts w:ascii="Times New Roman" w:hAnsi="Times New Roman" w:cs="Times New Roman"/>
          <w:sz w:val="24"/>
          <w:szCs w:val="24"/>
        </w:rPr>
        <w:t xml:space="preserve">) purchased 45 bags of 50kg PC </w:t>
      </w:r>
      <w:r w:rsidR="00F04CF8">
        <w:rPr>
          <w:rFonts w:ascii="Times New Roman" w:hAnsi="Times New Roman" w:cs="Times New Roman"/>
          <w:sz w:val="24"/>
          <w:szCs w:val="24"/>
        </w:rPr>
        <w:t>15 ce</w:t>
      </w:r>
      <w:r>
        <w:rPr>
          <w:rFonts w:ascii="Times New Roman" w:hAnsi="Times New Roman" w:cs="Times New Roman"/>
          <w:sz w:val="24"/>
          <w:szCs w:val="24"/>
        </w:rPr>
        <w:t xml:space="preserve">ment from </w:t>
      </w:r>
      <w:r w:rsidR="00F04CF8">
        <w:rPr>
          <w:rFonts w:ascii="Times New Roman" w:hAnsi="Times New Roman" w:cs="Times New Roman"/>
          <w:sz w:val="24"/>
          <w:szCs w:val="24"/>
        </w:rPr>
        <w:t>N.</w:t>
      </w:r>
      <w:r>
        <w:rPr>
          <w:rFonts w:ascii="Times New Roman" w:hAnsi="Times New Roman" w:cs="Times New Roman"/>
          <w:sz w:val="24"/>
          <w:szCs w:val="24"/>
        </w:rPr>
        <w:t xml:space="preserve"> Richards </w:t>
      </w:r>
      <w:proofErr w:type="spellStart"/>
      <w:r w:rsidR="00F04CF8">
        <w:rPr>
          <w:rFonts w:ascii="Times New Roman" w:hAnsi="Times New Roman" w:cs="Times New Roman"/>
          <w:sz w:val="24"/>
          <w:szCs w:val="24"/>
        </w:rPr>
        <w:t>Rus</w:t>
      </w:r>
      <w:r>
        <w:rPr>
          <w:rFonts w:ascii="Times New Roman" w:hAnsi="Times New Roman" w:cs="Times New Roman"/>
          <w:sz w:val="24"/>
          <w:szCs w:val="24"/>
        </w:rPr>
        <w:t>ape</w:t>
      </w:r>
      <w:proofErr w:type="spellEnd"/>
      <w:r>
        <w:rPr>
          <w:rFonts w:ascii="Times New Roman" w:hAnsi="Times New Roman" w:cs="Times New Roman"/>
          <w:sz w:val="24"/>
          <w:szCs w:val="24"/>
        </w:rPr>
        <w:t xml:space="preserve"> </w:t>
      </w:r>
      <w:r w:rsidR="007F7941">
        <w:rPr>
          <w:rFonts w:ascii="Times New Roman" w:hAnsi="Times New Roman" w:cs="Times New Roman"/>
          <w:sz w:val="24"/>
          <w:szCs w:val="24"/>
        </w:rPr>
        <w:t>sometime</w:t>
      </w:r>
      <w:r w:rsidR="0088188E">
        <w:rPr>
          <w:rFonts w:ascii="Times New Roman" w:hAnsi="Times New Roman" w:cs="Times New Roman"/>
          <w:sz w:val="24"/>
          <w:szCs w:val="24"/>
        </w:rPr>
        <w:t xml:space="preserve"> in October 2017. The a</w:t>
      </w:r>
      <w:r w:rsidR="00F04CF8">
        <w:rPr>
          <w:rFonts w:ascii="Times New Roman" w:hAnsi="Times New Roman" w:cs="Times New Roman"/>
          <w:sz w:val="24"/>
          <w:szCs w:val="24"/>
        </w:rPr>
        <w:t>ppellant who was employed at N. Richards agreed to look after the cem</w:t>
      </w:r>
      <w:r w:rsidR="0088188E">
        <w:rPr>
          <w:rFonts w:ascii="Times New Roman" w:hAnsi="Times New Roman" w:cs="Times New Roman"/>
          <w:sz w:val="24"/>
          <w:szCs w:val="24"/>
        </w:rPr>
        <w:t>ent which the r</w:t>
      </w:r>
      <w:r w:rsidR="00F04CF8">
        <w:rPr>
          <w:rFonts w:ascii="Times New Roman" w:hAnsi="Times New Roman" w:cs="Times New Roman"/>
          <w:sz w:val="24"/>
          <w:szCs w:val="24"/>
        </w:rPr>
        <w:t xml:space="preserve">espondent was to collect later. The Respondent sent in One </w:t>
      </w:r>
      <w:proofErr w:type="spellStart"/>
      <w:r w:rsidR="00F04CF8">
        <w:rPr>
          <w:rFonts w:ascii="Times New Roman" w:hAnsi="Times New Roman" w:cs="Times New Roman"/>
          <w:sz w:val="24"/>
          <w:szCs w:val="24"/>
        </w:rPr>
        <w:t>Nyakurima</w:t>
      </w:r>
      <w:proofErr w:type="spellEnd"/>
      <w:r w:rsidR="00F04CF8">
        <w:rPr>
          <w:rFonts w:ascii="Times New Roman" w:hAnsi="Times New Roman" w:cs="Times New Roman"/>
          <w:sz w:val="24"/>
          <w:szCs w:val="24"/>
        </w:rPr>
        <w:t xml:space="preserve"> to collect some of the cement leaving a balance of 33 bags. Upon request to coll</w:t>
      </w:r>
      <w:r w:rsidR="0088188E">
        <w:rPr>
          <w:rFonts w:ascii="Times New Roman" w:hAnsi="Times New Roman" w:cs="Times New Roman"/>
          <w:sz w:val="24"/>
          <w:szCs w:val="24"/>
        </w:rPr>
        <w:t>ect the outstanding cement the a</w:t>
      </w:r>
      <w:r w:rsidR="00F04CF8">
        <w:rPr>
          <w:rFonts w:ascii="Times New Roman" w:hAnsi="Times New Roman" w:cs="Times New Roman"/>
          <w:sz w:val="24"/>
          <w:szCs w:val="24"/>
        </w:rPr>
        <w:t>ppellant was not forthcoming. The parties ended up convening a me</w:t>
      </w:r>
      <w:r w:rsidR="009216E0">
        <w:rPr>
          <w:rFonts w:ascii="Times New Roman" w:hAnsi="Times New Roman" w:cs="Times New Roman"/>
          <w:sz w:val="24"/>
          <w:szCs w:val="24"/>
        </w:rPr>
        <w:t>e</w:t>
      </w:r>
      <w:r w:rsidR="00F04CF8">
        <w:rPr>
          <w:rFonts w:ascii="Times New Roman" w:hAnsi="Times New Roman" w:cs="Times New Roman"/>
          <w:sz w:val="24"/>
          <w:szCs w:val="24"/>
        </w:rPr>
        <w:t>ting with the manager</w:t>
      </w:r>
      <w:r w:rsidR="009216E0">
        <w:rPr>
          <w:rFonts w:ascii="Times New Roman" w:hAnsi="Times New Roman" w:cs="Times New Roman"/>
          <w:sz w:val="24"/>
          <w:szCs w:val="24"/>
        </w:rPr>
        <w:t xml:space="preserve"> of N. Richards </w:t>
      </w:r>
      <w:proofErr w:type="spellStart"/>
      <w:r w:rsidR="009216E0">
        <w:rPr>
          <w:rFonts w:ascii="Times New Roman" w:hAnsi="Times New Roman" w:cs="Times New Roman"/>
          <w:sz w:val="24"/>
          <w:szCs w:val="24"/>
        </w:rPr>
        <w:t>Rusape</w:t>
      </w:r>
      <w:proofErr w:type="spellEnd"/>
      <w:r w:rsidR="009216E0">
        <w:rPr>
          <w:rFonts w:ascii="Times New Roman" w:hAnsi="Times New Roman" w:cs="Times New Roman"/>
          <w:sz w:val="24"/>
          <w:szCs w:val="24"/>
        </w:rPr>
        <w:t xml:space="preserve">. </w:t>
      </w:r>
      <w:r w:rsidR="007F7941">
        <w:rPr>
          <w:rFonts w:ascii="Times New Roman" w:hAnsi="Times New Roman" w:cs="Times New Roman"/>
          <w:sz w:val="24"/>
          <w:szCs w:val="24"/>
        </w:rPr>
        <w:t>The appellant sign</w:t>
      </w:r>
      <w:r w:rsidR="009216E0">
        <w:rPr>
          <w:rFonts w:ascii="Times New Roman" w:hAnsi="Times New Roman" w:cs="Times New Roman"/>
          <w:sz w:val="24"/>
          <w:szCs w:val="24"/>
        </w:rPr>
        <w:t xml:space="preserve">ed an acknowledgement of debt </w:t>
      </w:r>
      <w:r w:rsidR="0088188E">
        <w:rPr>
          <w:rFonts w:ascii="Times New Roman" w:hAnsi="Times New Roman" w:cs="Times New Roman"/>
          <w:sz w:val="24"/>
          <w:szCs w:val="24"/>
        </w:rPr>
        <w:t>and committed to reimburse the r</w:t>
      </w:r>
      <w:r w:rsidR="009216E0">
        <w:rPr>
          <w:rFonts w:ascii="Times New Roman" w:hAnsi="Times New Roman" w:cs="Times New Roman"/>
          <w:sz w:val="24"/>
          <w:szCs w:val="24"/>
        </w:rPr>
        <w:t>espondent. The appellant reimbursed a few of the bags and upon further demand the respondent failed to make good what he owed. This then prompted the respondent to issue summons claim</w:t>
      </w:r>
      <w:r w:rsidR="00B3541D">
        <w:rPr>
          <w:rFonts w:ascii="Times New Roman" w:hAnsi="Times New Roman" w:cs="Times New Roman"/>
          <w:sz w:val="24"/>
          <w:szCs w:val="24"/>
        </w:rPr>
        <w:t>ing</w:t>
      </w:r>
      <w:r w:rsidR="009216E0">
        <w:rPr>
          <w:rFonts w:ascii="Times New Roman" w:hAnsi="Times New Roman" w:cs="Times New Roman"/>
          <w:sz w:val="24"/>
          <w:szCs w:val="24"/>
        </w:rPr>
        <w:t xml:space="preserve"> the balance or reimbursement. The court </w:t>
      </w:r>
      <w:r w:rsidR="009216E0" w:rsidRPr="00235861">
        <w:rPr>
          <w:rFonts w:ascii="Times New Roman" w:hAnsi="Times New Roman" w:cs="Times New Roman"/>
          <w:i/>
          <w:sz w:val="24"/>
          <w:szCs w:val="24"/>
        </w:rPr>
        <w:t>a quo</w:t>
      </w:r>
      <w:r w:rsidR="009216E0">
        <w:rPr>
          <w:rFonts w:ascii="Times New Roman" w:hAnsi="Times New Roman" w:cs="Times New Roman"/>
          <w:sz w:val="24"/>
          <w:szCs w:val="24"/>
        </w:rPr>
        <w:t xml:space="preserve"> ruled in favour of the respondent much to the dissatisfaction of the appellant who then lodged the present appeal.</w:t>
      </w:r>
    </w:p>
    <w:p w:rsidR="00314716" w:rsidRDefault="009216E0" w:rsidP="00391A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14716" w:rsidRDefault="009216E0" w:rsidP="00314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filed a notice of appeal and the following grounds of appeal </w:t>
      </w:r>
    </w:p>
    <w:p w:rsidR="00391A60" w:rsidRDefault="00314716" w:rsidP="00314716">
      <w:pPr>
        <w:spacing w:after="0" w:line="360" w:lineRule="auto"/>
        <w:jc w:val="both"/>
        <w:rPr>
          <w:rFonts w:ascii="Times New Roman" w:hAnsi="Times New Roman" w:cs="Times New Roman"/>
          <w:sz w:val="24"/>
          <w:szCs w:val="24"/>
          <w:u w:val="single"/>
        </w:rPr>
      </w:pPr>
      <w:r w:rsidRPr="00314716">
        <w:rPr>
          <w:rFonts w:ascii="Times New Roman" w:hAnsi="Times New Roman" w:cs="Times New Roman"/>
          <w:sz w:val="24"/>
          <w:szCs w:val="24"/>
          <w:u w:val="single"/>
        </w:rPr>
        <w:t>Grounds of Appeal</w:t>
      </w:r>
      <w:r w:rsidR="009216E0" w:rsidRPr="00314716">
        <w:rPr>
          <w:rFonts w:ascii="Times New Roman" w:hAnsi="Times New Roman" w:cs="Times New Roman"/>
          <w:sz w:val="24"/>
          <w:szCs w:val="24"/>
          <w:u w:val="single"/>
        </w:rPr>
        <w:t xml:space="preserve"> </w:t>
      </w:r>
      <w:r w:rsidR="00F04CF8" w:rsidRPr="00314716">
        <w:rPr>
          <w:rFonts w:ascii="Times New Roman" w:hAnsi="Times New Roman" w:cs="Times New Roman"/>
          <w:sz w:val="24"/>
          <w:szCs w:val="24"/>
          <w:u w:val="single"/>
        </w:rPr>
        <w:t xml:space="preserve"> </w:t>
      </w:r>
      <w:r w:rsidR="00391A60" w:rsidRPr="00314716">
        <w:rPr>
          <w:rFonts w:ascii="Times New Roman" w:hAnsi="Times New Roman" w:cs="Times New Roman"/>
          <w:sz w:val="24"/>
          <w:szCs w:val="24"/>
          <w:u w:val="single"/>
        </w:rPr>
        <w:t xml:space="preserve"> </w:t>
      </w:r>
    </w:p>
    <w:p w:rsidR="00314716" w:rsidRDefault="00314716" w:rsidP="0031471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lastRenderedPageBreak/>
        <w:t>The learned Magistrate erred when he did not take note that the citation in this claim was improper in the circumstances when the appellant was merely an employee of a company and all transactions were between the company and its customer, the respondent.</w:t>
      </w:r>
    </w:p>
    <w:p w:rsidR="00314716" w:rsidRDefault="00314716" w:rsidP="0031471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It was evident that there was no proof of any personal dealing nor agreements between the parties to make appellant personally liab</w:t>
      </w:r>
      <w:r w:rsidR="00235861">
        <w:rPr>
          <w:rFonts w:ascii="Times New Roman" w:hAnsi="Times New Roman" w:cs="Times New Roman"/>
          <w:sz w:val="24"/>
        </w:rPr>
        <w:t>l</w:t>
      </w:r>
      <w:r>
        <w:rPr>
          <w:rFonts w:ascii="Times New Roman" w:hAnsi="Times New Roman" w:cs="Times New Roman"/>
          <w:sz w:val="24"/>
        </w:rPr>
        <w:t>e to respondent.</w:t>
      </w:r>
    </w:p>
    <w:p w:rsidR="00314716" w:rsidRDefault="00314716" w:rsidP="0031471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The issue of missing cement bags was a criminal matter, in the absence of the requested police investigation report or at last CCTV confirmation report</w:t>
      </w:r>
      <w:r w:rsidR="007F7941">
        <w:rPr>
          <w:rFonts w:ascii="Times New Roman" w:hAnsi="Times New Roman" w:cs="Times New Roman"/>
          <w:sz w:val="24"/>
        </w:rPr>
        <w:t xml:space="preserve"> from the company. To ink </w:t>
      </w:r>
      <w:r w:rsidR="0088188E">
        <w:rPr>
          <w:rFonts w:ascii="Times New Roman" w:hAnsi="Times New Roman" w:cs="Times New Roman"/>
          <w:sz w:val="24"/>
        </w:rPr>
        <w:t>the a</w:t>
      </w:r>
      <w:r>
        <w:rPr>
          <w:rFonts w:ascii="Times New Roman" w:hAnsi="Times New Roman" w:cs="Times New Roman"/>
          <w:sz w:val="24"/>
        </w:rPr>
        <w:t xml:space="preserve">ppellant with these missing cement bags, the Magistrate erred by proceeding to hear this matter and therefore got misled in his ruling. </w:t>
      </w:r>
    </w:p>
    <w:p w:rsidR="00314716" w:rsidRDefault="00314716" w:rsidP="0031471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The learned Magistrate did not analyse and recognise that the company’s operating systems and procedures were so clearly outlined that there was no link or jurisdiction at all for the appellant in connection with the allegedly submitted facts of this matter by respondent.</w:t>
      </w:r>
    </w:p>
    <w:p w:rsidR="00314716" w:rsidRDefault="00314716" w:rsidP="00314716">
      <w:pPr>
        <w:spacing w:after="0" w:line="360" w:lineRule="auto"/>
        <w:ind w:left="360"/>
        <w:jc w:val="both"/>
        <w:rPr>
          <w:rFonts w:ascii="Times New Roman" w:hAnsi="Times New Roman" w:cs="Times New Roman"/>
          <w:sz w:val="24"/>
        </w:rPr>
      </w:pPr>
    </w:p>
    <w:p w:rsidR="00314716" w:rsidRPr="00314716" w:rsidRDefault="00314716" w:rsidP="007F7941">
      <w:pPr>
        <w:spacing w:after="0" w:line="360" w:lineRule="auto"/>
        <w:ind w:firstLine="720"/>
        <w:jc w:val="both"/>
        <w:rPr>
          <w:rFonts w:ascii="Times New Roman" w:hAnsi="Times New Roman" w:cs="Times New Roman"/>
          <w:sz w:val="24"/>
        </w:rPr>
      </w:pPr>
      <w:r>
        <w:rPr>
          <w:rFonts w:ascii="Times New Roman" w:hAnsi="Times New Roman" w:cs="Times New Roman"/>
          <w:sz w:val="24"/>
        </w:rPr>
        <w:t>In an appe</w:t>
      </w:r>
      <w:r w:rsidR="00235861">
        <w:rPr>
          <w:rFonts w:ascii="Times New Roman" w:hAnsi="Times New Roman" w:cs="Times New Roman"/>
          <w:sz w:val="24"/>
        </w:rPr>
        <w:t>a</w:t>
      </w:r>
      <w:r>
        <w:rPr>
          <w:rFonts w:ascii="Times New Roman" w:hAnsi="Times New Roman" w:cs="Times New Roman"/>
          <w:sz w:val="24"/>
        </w:rPr>
        <w:t>l of this</w:t>
      </w:r>
      <w:r w:rsidR="007F7941">
        <w:rPr>
          <w:rFonts w:ascii="Times New Roman" w:hAnsi="Times New Roman" w:cs="Times New Roman"/>
          <w:sz w:val="24"/>
        </w:rPr>
        <w:t xml:space="preserve"> matter the appellate</w:t>
      </w:r>
      <w:r w:rsidR="00235861">
        <w:rPr>
          <w:rFonts w:ascii="Times New Roman" w:hAnsi="Times New Roman" w:cs="Times New Roman"/>
          <w:sz w:val="24"/>
        </w:rPr>
        <w:t xml:space="preserve"> court has to consider whether or not the decision made by the court </w:t>
      </w:r>
      <w:r w:rsidR="00235861" w:rsidRPr="00235861">
        <w:rPr>
          <w:rFonts w:ascii="Times New Roman" w:hAnsi="Times New Roman" w:cs="Times New Roman"/>
          <w:i/>
          <w:sz w:val="24"/>
        </w:rPr>
        <w:t>a quo</w:t>
      </w:r>
      <w:r w:rsidR="00235861">
        <w:rPr>
          <w:rFonts w:ascii="Times New Roman" w:hAnsi="Times New Roman" w:cs="Times New Roman"/>
          <w:sz w:val="24"/>
        </w:rPr>
        <w:t xml:space="preserve"> is wrong on fact</w:t>
      </w:r>
      <w:r w:rsidR="00B3541D">
        <w:rPr>
          <w:rFonts w:ascii="Times New Roman" w:hAnsi="Times New Roman" w:cs="Times New Roman"/>
          <w:sz w:val="24"/>
        </w:rPr>
        <w:t>s</w:t>
      </w:r>
      <w:r w:rsidR="00235861">
        <w:rPr>
          <w:rFonts w:ascii="Times New Roman" w:hAnsi="Times New Roman" w:cs="Times New Roman"/>
          <w:sz w:val="24"/>
        </w:rPr>
        <w:t xml:space="preserve"> and law.</w:t>
      </w:r>
      <w:r>
        <w:rPr>
          <w:rFonts w:ascii="Times New Roman" w:hAnsi="Times New Roman" w:cs="Times New Roman"/>
          <w:sz w:val="24"/>
        </w:rPr>
        <w:t xml:space="preserve"> </w:t>
      </w:r>
      <w:r w:rsidR="00653C7A">
        <w:rPr>
          <w:rFonts w:ascii="Times New Roman" w:hAnsi="Times New Roman" w:cs="Times New Roman"/>
          <w:sz w:val="24"/>
        </w:rPr>
        <w:t>It is apparent from the record that the appellant was employed by N. Richards</w:t>
      </w:r>
      <w:r w:rsidR="00B3541D">
        <w:rPr>
          <w:rFonts w:ascii="Times New Roman" w:hAnsi="Times New Roman" w:cs="Times New Roman"/>
          <w:sz w:val="24"/>
        </w:rPr>
        <w:t>. He personally</w:t>
      </w:r>
      <w:r w:rsidR="00653C7A">
        <w:rPr>
          <w:rFonts w:ascii="Times New Roman" w:hAnsi="Times New Roman" w:cs="Times New Roman"/>
          <w:sz w:val="24"/>
        </w:rPr>
        <w:t xml:space="preserve"> entered into an arrangement with the appellant for storage of the cement which the respondent </w:t>
      </w:r>
      <w:r w:rsidR="00B3541D">
        <w:rPr>
          <w:rFonts w:ascii="Times New Roman" w:hAnsi="Times New Roman" w:cs="Times New Roman"/>
          <w:sz w:val="24"/>
        </w:rPr>
        <w:t xml:space="preserve">had purchased and </w:t>
      </w:r>
      <w:r w:rsidR="00F45940">
        <w:rPr>
          <w:rFonts w:ascii="Times New Roman" w:hAnsi="Times New Roman" w:cs="Times New Roman"/>
          <w:sz w:val="24"/>
        </w:rPr>
        <w:t>was to collect lat</w:t>
      </w:r>
      <w:r w:rsidR="00653C7A">
        <w:rPr>
          <w:rFonts w:ascii="Times New Roman" w:hAnsi="Times New Roman" w:cs="Times New Roman"/>
          <w:sz w:val="24"/>
        </w:rPr>
        <w:t>er. Both the appellant and respondent were known to each other prior to the request for storage. Basing on the evidence adduced which was buttressed by the ac</w:t>
      </w:r>
      <w:r w:rsidR="00F45940">
        <w:rPr>
          <w:rFonts w:ascii="Times New Roman" w:hAnsi="Times New Roman" w:cs="Times New Roman"/>
          <w:sz w:val="24"/>
        </w:rPr>
        <w:t xml:space="preserve">knowledgment of debt signed by </w:t>
      </w:r>
      <w:r w:rsidR="00653C7A">
        <w:rPr>
          <w:rFonts w:ascii="Times New Roman" w:hAnsi="Times New Roman" w:cs="Times New Roman"/>
          <w:sz w:val="24"/>
        </w:rPr>
        <w:t>the parties the court issued an order in</w:t>
      </w:r>
      <w:r w:rsidR="00485F4D">
        <w:rPr>
          <w:rFonts w:ascii="Times New Roman" w:hAnsi="Times New Roman" w:cs="Times New Roman"/>
          <w:sz w:val="24"/>
        </w:rPr>
        <w:t xml:space="preserve"> </w:t>
      </w:r>
      <w:r w:rsidR="00653C7A">
        <w:rPr>
          <w:rFonts w:ascii="Times New Roman" w:hAnsi="Times New Roman" w:cs="Times New Roman"/>
          <w:sz w:val="24"/>
        </w:rPr>
        <w:t>favour of the respondent. It can</w:t>
      </w:r>
      <w:r w:rsidR="00B3541D">
        <w:rPr>
          <w:rFonts w:ascii="Times New Roman" w:hAnsi="Times New Roman" w:cs="Times New Roman"/>
          <w:sz w:val="24"/>
        </w:rPr>
        <w:t xml:space="preserve"> clearly be deduced that out</w:t>
      </w:r>
      <w:r w:rsidR="00653C7A">
        <w:rPr>
          <w:rFonts w:ascii="Times New Roman" w:hAnsi="Times New Roman" w:cs="Times New Roman"/>
          <w:sz w:val="24"/>
        </w:rPr>
        <w:t xml:space="preserve"> of the outstanding bags of cement</w:t>
      </w:r>
      <w:r w:rsidR="00485F4D">
        <w:rPr>
          <w:rFonts w:ascii="Times New Roman" w:hAnsi="Times New Roman" w:cs="Times New Roman"/>
          <w:sz w:val="24"/>
        </w:rPr>
        <w:t xml:space="preserve"> the appellant reimbursed</w:t>
      </w:r>
      <w:r w:rsidR="00D42D28">
        <w:rPr>
          <w:rFonts w:ascii="Times New Roman" w:hAnsi="Times New Roman" w:cs="Times New Roman"/>
          <w:sz w:val="24"/>
        </w:rPr>
        <w:t xml:space="preserve"> 3 bags per month pursuant to the acknowledgement date of 12 February 2019. The reimbursement </w:t>
      </w:r>
      <w:r w:rsidR="00485F4D">
        <w:rPr>
          <w:rFonts w:ascii="Times New Roman" w:hAnsi="Times New Roman" w:cs="Times New Roman"/>
          <w:sz w:val="24"/>
        </w:rPr>
        <w:t xml:space="preserve">of cement was direct from the appellant to Victor </w:t>
      </w:r>
      <w:proofErr w:type="spellStart"/>
      <w:r w:rsidR="00485F4D">
        <w:rPr>
          <w:rFonts w:ascii="Times New Roman" w:hAnsi="Times New Roman" w:cs="Times New Roman"/>
          <w:sz w:val="24"/>
        </w:rPr>
        <w:t>Nyakurima</w:t>
      </w:r>
      <w:proofErr w:type="spellEnd"/>
      <w:r w:rsidR="00485F4D">
        <w:rPr>
          <w:rFonts w:ascii="Times New Roman" w:hAnsi="Times New Roman" w:cs="Times New Roman"/>
          <w:sz w:val="24"/>
        </w:rPr>
        <w:t xml:space="preserve"> who was sent to collect cement on behalf of </w:t>
      </w:r>
      <w:r w:rsidR="00B3541D">
        <w:rPr>
          <w:rFonts w:ascii="Times New Roman" w:hAnsi="Times New Roman" w:cs="Times New Roman"/>
          <w:sz w:val="24"/>
        </w:rPr>
        <w:t>the respondent. There was no tim</w:t>
      </w:r>
      <w:r w:rsidR="00485F4D">
        <w:rPr>
          <w:rFonts w:ascii="Times New Roman" w:hAnsi="Times New Roman" w:cs="Times New Roman"/>
          <w:sz w:val="24"/>
        </w:rPr>
        <w:t>e that the claim was made to N. Richards as the storage arrangement was a private affair between the appellant and the respondent. The evidence of all the witness</w:t>
      </w:r>
      <w:r w:rsidR="00F45940">
        <w:rPr>
          <w:rFonts w:ascii="Times New Roman" w:hAnsi="Times New Roman" w:cs="Times New Roman"/>
          <w:sz w:val="24"/>
        </w:rPr>
        <w:t>es</w:t>
      </w:r>
      <w:r w:rsidR="00485F4D">
        <w:rPr>
          <w:rFonts w:ascii="Times New Roman" w:hAnsi="Times New Roman" w:cs="Times New Roman"/>
          <w:sz w:val="24"/>
        </w:rPr>
        <w:t xml:space="preserve"> who testified on behalf of the respondent including the N. Richards branch Manage</w:t>
      </w:r>
      <w:r w:rsidR="00F45940">
        <w:rPr>
          <w:rFonts w:ascii="Times New Roman" w:hAnsi="Times New Roman" w:cs="Times New Roman"/>
          <w:sz w:val="24"/>
        </w:rPr>
        <w:t>r</w:t>
      </w:r>
      <w:r w:rsidR="00485F4D">
        <w:rPr>
          <w:rFonts w:ascii="Times New Roman" w:hAnsi="Times New Roman" w:cs="Times New Roman"/>
          <w:sz w:val="24"/>
        </w:rPr>
        <w:t xml:space="preserve"> one Brian </w:t>
      </w:r>
      <w:proofErr w:type="spellStart"/>
      <w:r w:rsidR="00485F4D">
        <w:rPr>
          <w:rFonts w:ascii="Times New Roman" w:hAnsi="Times New Roman" w:cs="Times New Roman"/>
          <w:sz w:val="24"/>
        </w:rPr>
        <w:t>Mukwechwa</w:t>
      </w:r>
      <w:proofErr w:type="spellEnd"/>
      <w:r w:rsidR="00485F4D">
        <w:rPr>
          <w:rFonts w:ascii="Times New Roman" w:hAnsi="Times New Roman" w:cs="Times New Roman"/>
          <w:sz w:val="24"/>
        </w:rPr>
        <w:t xml:space="preserve"> was clear that after purchase of the cement the appellant and respondent entered into a private transaction of cement storage. Upon demand the appellant was unable to avail t</w:t>
      </w:r>
      <w:r w:rsidR="00B3541D">
        <w:rPr>
          <w:rFonts w:ascii="Times New Roman" w:hAnsi="Times New Roman" w:cs="Times New Roman"/>
          <w:sz w:val="24"/>
        </w:rPr>
        <w:t>he cement leading to negotiations</w:t>
      </w:r>
      <w:r w:rsidR="00485F4D">
        <w:rPr>
          <w:rFonts w:ascii="Times New Roman" w:hAnsi="Times New Roman" w:cs="Times New Roman"/>
          <w:sz w:val="24"/>
        </w:rPr>
        <w:t xml:space="preserve"> which culminated in the acknowledgement of owing. In partial compliance with the acknowledgement the appellant reimbursed the respondent leaving </w:t>
      </w:r>
      <w:r w:rsidR="00AD5B23">
        <w:rPr>
          <w:rFonts w:ascii="Times New Roman" w:hAnsi="Times New Roman" w:cs="Times New Roman"/>
          <w:sz w:val="24"/>
        </w:rPr>
        <w:t xml:space="preserve">an outstanding 33 bags which form the subject of the </w:t>
      </w:r>
      <w:r w:rsidR="00AD5B23">
        <w:rPr>
          <w:rFonts w:ascii="Times New Roman" w:hAnsi="Times New Roman" w:cs="Times New Roman"/>
          <w:sz w:val="24"/>
        </w:rPr>
        <w:lastRenderedPageBreak/>
        <w:t xml:space="preserve">summons and subsequent order by the court </w:t>
      </w:r>
      <w:r w:rsidR="00AD5B23" w:rsidRPr="0088188E">
        <w:rPr>
          <w:rFonts w:ascii="Times New Roman" w:hAnsi="Times New Roman" w:cs="Times New Roman"/>
          <w:i/>
          <w:sz w:val="24"/>
        </w:rPr>
        <w:t>a quo</w:t>
      </w:r>
      <w:r w:rsidR="00AD5B23">
        <w:rPr>
          <w:rFonts w:ascii="Times New Roman" w:hAnsi="Times New Roman" w:cs="Times New Roman"/>
          <w:sz w:val="24"/>
        </w:rPr>
        <w:t>. The fact that the cement was bought f</w:t>
      </w:r>
      <w:bookmarkStart w:id="0" w:name="_GoBack"/>
      <w:bookmarkEnd w:id="0"/>
      <w:r w:rsidR="00AD5B23">
        <w:rPr>
          <w:rFonts w:ascii="Times New Roman" w:hAnsi="Times New Roman" w:cs="Times New Roman"/>
          <w:sz w:val="24"/>
        </w:rPr>
        <w:t xml:space="preserve">rom </w:t>
      </w:r>
      <w:proofErr w:type="spellStart"/>
      <w:r w:rsidR="00AD5B23">
        <w:rPr>
          <w:rFonts w:ascii="Times New Roman" w:hAnsi="Times New Roman" w:cs="Times New Roman"/>
          <w:sz w:val="24"/>
        </w:rPr>
        <w:t>N.Richards</w:t>
      </w:r>
      <w:proofErr w:type="spellEnd"/>
      <w:r w:rsidR="00AD5B23">
        <w:rPr>
          <w:rFonts w:ascii="Times New Roman" w:hAnsi="Times New Roman" w:cs="Times New Roman"/>
          <w:sz w:val="24"/>
        </w:rPr>
        <w:t xml:space="preserve"> does not mean that N. Richards should be held liable for transgression </w:t>
      </w:r>
      <w:r w:rsidR="005609B2">
        <w:rPr>
          <w:rFonts w:ascii="Times New Roman" w:hAnsi="Times New Roman" w:cs="Times New Roman"/>
          <w:sz w:val="24"/>
        </w:rPr>
        <w:t>occasioned</w:t>
      </w:r>
      <w:r w:rsidR="00AD5B23">
        <w:rPr>
          <w:rFonts w:ascii="Times New Roman" w:hAnsi="Times New Roman" w:cs="Times New Roman"/>
          <w:sz w:val="24"/>
        </w:rPr>
        <w:t xml:space="preserve"> by its employee in a separate private arrangement. There is no basis for including N. Richards shop as a party to the proceeding</w:t>
      </w:r>
      <w:r w:rsidR="00F45940">
        <w:rPr>
          <w:rFonts w:ascii="Times New Roman" w:hAnsi="Times New Roman" w:cs="Times New Roman"/>
          <w:sz w:val="24"/>
        </w:rPr>
        <w:t>s</w:t>
      </w:r>
      <w:r w:rsidR="00AD5B23">
        <w:rPr>
          <w:rFonts w:ascii="Times New Roman" w:hAnsi="Times New Roman" w:cs="Times New Roman"/>
          <w:sz w:val="24"/>
        </w:rPr>
        <w:t xml:space="preserve">. There is also no evidence to establish the seller N. Richards is vicariously liable for the private storage agreement by the appellant </w:t>
      </w:r>
      <w:r w:rsidR="001C0BAD">
        <w:rPr>
          <w:rFonts w:ascii="Times New Roman" w:hAnsi="Times New Roman" w:cs="Times New Roman"/>
          <w:sz w:val="24"/>
        </w:rPr>
        <w:t xml:space="preserve">and </w:t>
      </w:r>
      <w:r w:rsidR="00AD5B23">
        <w:rPr>
          <w:rFonts w:ascii="Times New Roman" w:hAnsi="Times New Roman" w:cs="Times New Roman"/>
          <w:sz w:val="24"/>
        </w:rPr>
        <w:t xml:space="preserve">respondent. </w:t>
      </w:r>
    </w:p>
    <w:p w:rsidR="00B3541D" w:rsidRDefault="001C0BAD" w:rsidP="0056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 The first and second grounds of appeal speak to the same point of the </w:t>
      </w:r>
      <w:proofErr w:type="spellStart"/>
      <w:r>
        <w:rPr>
          <w:rFonts w:ascii="Times New Roman" w:hAnsi="Times New Roman" w:cs="Times New Roman"/>
          <w:sz w:val="24"/>
        </w:rPr>
        <w:t>non citation</w:t>
      </w:r>
      <w:proofErr w:type="spellEnd"/>
      <w:r>
        <w:rPr>
          <w:rFonts w:ascii="Times New Roman" w:hAnsi="Times New Roman" w:cs="Times New Roman"/>
          <w:sz w:val="24"/>
        </w:rPr>
        <w:t xml:space="preserve"> or inclusion of N. Richards as party to the proceedings clearly for the private arrangement between </w:t>
      </w:r>
      <w:r w:rsidR="005609B2">
        <w:rPr>
          <w:rFonts w:ascii="Times New Roman" w:hAnsi="Times New Roman" w:cs="Times New Roman"/>
          <w:sz w:val="24"/>
          <w:szCs w:val="24"/>
        </w:rPr>
        <w:t xml:space="preserve">the appellant and respondent one cannot impute vicarious liability on the employer. The evidence is devoid of a link </w:t>
      </w:r>
      <w:r w:rsidR="00B3541D">
        <w:rPr>
          <w:rFonts w:ascii="Times New Roman" w:hAnsi="Times New Roman" w:cs="Times New Roman"/>
          <w:sz w:val="24"/>
          <w:szCs w:val="24"/>
        </w:rPr>
        <w:t>since when the appellant took contro</w:t>
      </w:r>
      <w:r w:rsidR="005609B2">
        <w:rPr>
          <w:rFonts w:ascii="Times New Roman" w:hAnsi="Times New Roman" w:cs="Times New Roman"/>
          <w:sz w:val="24"/>
          <w:szCs w:val="24"/>
        </w:rPr>
        <w:t xml:space="preserve">l of the bags of cement he was not acting for and on behalf of his employer neither was he acting within the scope and course of his employer. The case referred to by the appellant </w:t>
      </w:r>
      <w:proofErr w:type="spellStart"/>
      <w:r w:rsidR="005609B2" w:rsidRPr="007B6480">
        <w:rPr>
          <w:rFonts w:ascii="Times New Roman" w:hAnsi="Times New Roman" w:cs="Times New Roman"/>
          <w:i/>
          <w:sz w:val="24"/>
          <w:szCs w:val="24"/>
        </w:rPr>
        <w:t>Gwatiringa</w:t>
      </w:r>
      <w:proofErr w:type="spellEnd"/>
      <w:r w:rsidR="005609B2" w:rsidRPr="007B6480">
        <w:rPr>
          <w:rFonts w:ascii="Times New Roman" w:hAnsi="Times New Roman" w:cs="Times New Roman"/>
          <w:i/>
          <w:sz w:val="24"/>
          <w:szCs w:val="24"/>
        </w:rPr>
        <w:t xml:space="preserve"> </w:t>
      </w:r>
      <w:r w:rsidR="005609B2" w:rsidRPr="005609B2">
        <w:rPr>
          <w:rFonts w:ascii="Times New Roman" w:hAnsi="Times New Roman" w:cs="Times New Roman"/>
          <w:sz w:val="24"/>
          <w:szCs w:val="24"/>
        </w:rPr>
        <w:t>v</w:t>
      </w:r>
      <w:r w:rsidR="005609B2" w:rsidRPr="007B6480">
        <w:rPr>
          <w:rFonts w:ascii="Times New Roman" w:hAnsi="Times New Roman" w:cs="Times New Roman"/>
          <w:i/>
          <w:sz w:val="24"/>
          <w:szCs w:val="24"/>
        </w:rPr>
        <w:t xml:space="preserve"> </w:t>
      </w:r>
      <w:proofErr w:type="spellStart"/>
      <w:r w:rsidR="005609B2" w:rsidRPr="007B6480">
        <w:rPr>
          <w:rFonts w:ascii="Times New Roman" w:hAnsi="Times New Roman" w:cs="Times New Roman"/>
          <w:i/>
          <w:sz w:val="24"/>
          <w:szCs w:val="24"/>
        </w:rPr>
        <w:t>Jaravaza</w:t>
      </w:r>
      <w:proofErr w:type="spellEnd"/>
      <w:r w:rsidR="005609B2" w:rsidRPr="007B6480">
        <w:rPr>
          <w:rFonts w:ascii="Times New Roman" w:hAnsi="Times New Roman" w:cs="Times New Roman"/>
          <w:i/>
          <w:sz w:val="24"/>
          <w:szCs w:val="24"/>
        </w:rPr>
        <w:t xml:space="preserve"> and </w:t>
      </w:r>
      <w:proofErr w:type="spellStart"/>
      <w:r w:rsidR="005609B2" w:rsidRPr="007B6480">
        <w:rPr>
          <w:rFonts w:ascii="Times New Roman" w:hAnsi="Times New Roman" w:cs="Times New Roman"/>
          <w:i/>
          <w:sz w:val="24"/>
          <w:szCs w:val="24"/>
        </w:rPr>
        <w:t>Anor</w:t>
      </w:r>
      <w:proofErr w:type="spellEnd"/>
      <w:r w:rsidR="005609B2">
        <w:rPr>
          <w:rFonts w:ascii="Times New Roman" w:hAnsi="Times New Roman" w:cs="Times New Roman"/>
          <w:sz w:val="24"/>
          <w:szCs w:val="24"/>
        </w:rPr>
        <w:t xml:space="preserve"> ZLR 2001 (1) 383 clearly spells out that employers in appropriate cases are responsible for their employees’ faults if the fault is committed in the course and within  the scope of their employment. This is not the case in the present matter. The good</w:t>
      </w:r>
      <w:r w:rsidR="00B3541D">
        <w:rPr>
          <w:rFonts w:ascii="Times New Roman" w:hAnsi="Times New Roman" w:cs="Times New Roman"/>
          <w:sz w:val="24"/>
          <w:szCs w:val="24"/>
        </w:rPr>
        <w:t>s</w:t>
      </w:r>
      <w:r w:rsidR="005609B2">
        <w:rPr>
          <w:rFonts w:ascii="Times New Roman" w:hAnsi="Times New Roman" w:cs="Times New Roman"/>
          <w:sz w:val="24"/>
          <w:szCs w:val="24"/>
        </w:rPr>
        <w:t xml:space="preserve"> that is the cement was not entrusted to the appellant, the employ</w:t>
      </w:r>
      <w:r w:rsidR="00B3541D">
        <w:rPr>
          <w:rFonts w:ascii="Times New Roman" w:hAnsi="Times New Roman" w:cs="Times New Roman"/>
          <w:sz w:val="24"/>
          <w:szCs w:val="24"/>
        </w:rPr>
        <w:t xml:space="preserve">ee by N. Richards the employer, neither was appellant acting in favour of his employer’s </w:t>
      </w:r>
      <w:proofErr w:type="spellStart"/>
      <w:r w:rsidR="00B3541D">
        <w:rPr>
          <w:rFonts w:ascii="Times New Roman" w:hAnsi="Times New Roman" w:cs="Times New Roman"/>
          <w:sz w:val="24"/>
          <w:szCs w:val="24"/>
        </w:rPr>
        <w:t>madate</w:t>
      </w:r>
      <w:proofErr w:type="spellEnd"/>
      <w:r w:rsidR="00B3541D">
        <w:rPr>
          <w:rFonts w:ascii="Times New Roman" w:hAnsi="Times New Roman" w:cs="Times New Roman"/>
          <w:sz w:val="24"/>
          <w:szCs w:val="24"/>
        </w:rPr>
        <w:t xml:space="preserve">. </w:t>
      </w:r>
      <w:r w:rsidR="005609B2">
        <w:rPr>
          <w:rFonts w:ascii="Times New Roman" w:hAnsi="Times New Roman" w:cs="Times New Roman"/>
          <w:sz w:val="24"/>
          <w:szCs w:val="24"/>
        </w:rPr>
        <w:t>It is apparent the appellant and respondent’s arrangement was outside the scope of employment. The private arrangement was not sanctioned by the employer.</w:t>
      </w:r>
      <w:r w:rsidR="00D16D42">
        <w:rPr>
          <w:rFonts w:ascii="Times New Roman" w:hAnsi="Times New Roman" w:cs="Times New Roman"/>
          <w:sz w:val="24"/>
          <w:szCs w:val="24"/>
        </w:rPr>
        <w:t xml:space="preserve"> </w:t>
      </w:r>
      <w:r w:rsidR="005609B2">
        <w:rPr>
          <w:rFonts w:ascii="Times New Roman" w:hAnsi="Times New Roman" w:cs="Times New Roman"/>
          <w:sz w:val="24"/>
          <w:szCs w:val="24"/>
        </w:rPr>
        <w:t xml:space="preserve">The court </w:t>
      </w:r>
      <w:r w:rsidR="005609B2" w:rsidRPr="004B7433">
        <w:rPr>
          <w:rFonts w:ascii="Times New Roman" w:hAnsi="Times New Roman" w:cs="Times New Roman"/>
          <w:i/>
          <w:sz w:val="24"/>
          <w:szCs w:val="24"/>
        </w:rPr>
        <w:t>a quo</w:t>
      </w:r>
      <w:r w:rsidR="005609B2">
        <w:rPr>
          <w:rFonts w:ascii="Times New Roman" w:hAnsi="Times New Roman" w:cs="Times New Roman"/>
          <w:sz w:val="24"/>
          <w:szCs w:val="24"/>
        </w:rPr>
        <w:t xml:space="preserve"> when it issued an order in favour of </w:t>
      </w:r>
      <w:r w:rsidR="00F45940">
        <w:rPr>
          <w:rFonts w:ascii="Times New Roman" w:hAnsi="Times New Roman" w:cs="Times New Roman"/>
          <w:sz w:val="24"/>
          <w:szCs w:val="24"/>
        </w:rPr>
        <w:t>the respondent was conversa</w:t>
      </w:r>
      <w:r w:rsidR="005609B2">
        <w:rPr>
          <w:rFonts w:ascii="Times New Roman" w:hAnsi="Times New Roman" w:cs="Times New Roman"/>
          <w:sz w:val="24"/>
          <w:szCs w:val="24"/>
        </w:rPr>
        <w:t xml:space="preserve">nt of the circumstances of storage and alive to the acknowledgment signed by the appellant. The first and second ground of appeal cannot be sustained in the circumstances. </w:t>
      </w:r>
    </w:p>
    <w:p w:rsidR="005609B2" w:rsidRPr="002138DE" w:rsidRDefault="005609B2" w:rsidP="005609B2">
      <w:pPr>
        <w:spacing w:after="0" w:line="360" w:lineRule="auto"/>
        <w:ind w:firstLine="720"/>
        <w:jc w:val="both"/>
        <w:rPr>
          <w:rFonts w:ascii="Times New Roman" w:hAnsi="Times New Roman" w:cs="Times New Roman"/>
        </w:rPr>
      </w:pPr>
      <w:r>
        <w:rPr>
          <w:rFonts w:ascii="Times New Roman" w:hAnsi="Times New Roman" w:cs="Times New Roman"/>
          <w:sz w:val="24"/>
          <w:szCs w:val="24"/>
        </w:rPr>
        <w:t>The third ground of appeal which is to the effect that the Magistrate erred in dealing with a criminal matter as a civil matter equally crumbles considering the evidence adduced.</w:t>
      </w:r>
      <w:r w:rsidR="00B3541D">
        <w:rPr>
          <w:rFonts w:ascii="Times New Roman" w:hAnsi="Times New Roman" w:cs="Times New Roman"/>
          <w:sz w:val="24"/>
          <w:szCs w:val="24"/>
        </w:rPr>
        <w:t xml:space="preserve"> </w:t>
      </w:r>
      <w:r>
        <w:rPr>
          <w:rFonts w:ascii="Times New Roman" w:hAnsi="Times New Roman" w:cs="Times New Roman"/>
          <w:sz w:val="24"/>
          <w:szCs w:val="24"/>
        </w:rPr>
        <w:t>The company N. Richards did not co</w:t>
      </w:r>
      <w:r w:rsidR="000102A0">
        <w:rPr>
          <w:rFonts w:ascii="Times New Roman" w:hAnsi="Times New Roman" w:cs="Times New Roman"/>
          <w:sz w:val="24"/>
          <w:szCs w:val="24"/>
        </w:rPr>
        <w:t>mplain of theft of bags of cement from their shop.</w:t>
      </w:r>
      <w:r>
        <w:rPr>
          <w:rFonts w:ascii="Times New Roman" w:hAnsi="Times New Roman" w:cs="Times New Roman"/>
          <w:sz w:val="24"/>
          <w:szCs w:val="24"/>
        </w:rPr>
        <w:t xml:space="preserve"> There was no need for them to resort to CCTV footage as no property had been </w:t>
      </w:r>
      <w:proofErr w:type="gramStart"/>
      <w:r>
        <w:rPr>
          <w:rFonts w:ascii="Times New Roman" w:hAnsi="Times New Roman" w:cs="Times New Roman"/>
          <w:sz w:val="24"/>
          <w:szCs w:val="24"/>
        </w:rPr>
        <w:t>stolen.</w:t>
      </w:r>
      <w:proofErr w:type="gramEnd"/>
      <w:r>
        <w:rPr>
          <w:rFonts w:ascii="Times New Roman" w:hAnsi="Times New Roman" w:cs="Times New Roman"/>
          <w:sz w:val="24"/>
          <w:szCs w:val="24"/>
        </w:rPr>
        <w:t xml:space="preserve"> The purchased cement was properly sold. What transpired between the appellant and respondent was a private arrangement. The respondent did not report theft of cement by the appellant because the parties reached an agreement. In fact the appellant partly made good what he owed by availing some bags of cement. It was only after the appellant abrogated from availing the cement per the acknowledgment document that respondent issued summons claiming for the outstanding bags of cement.</w:t>
      </w:r>
    </w:p>
    <w:p w:rsidR="005609B2" w:rsidRDefault="005609B2" w:rsidP="005609B2">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The last ground of appeal that the court did not analyse and recognise the company’s </w:t>
      </w:r>
      <w:r w:rsidR="00B3541D">
        <w:rPr>
          <w:rFonts w:ascii="Times New Roman" w:hAnsi="Times New Roman" w:cs="Times New Roman"/>
          <w:sz w:val="24"/>
        </w:rPr>
        <w:t>operating systems and procedure</w:t>
      </w:r>
      <w:r>
        <w:rPr>
          <w:rFonts w:ascii="Times New Roman" w:hAnsi="Times New Roman" w:cs="Times New Roman"/>
          <w:sz w:val="24"/>
        </w:rPr>
        <w:t>s is baseless and has no merit. It must fail because the court properly analysed all the evidence presented before it. It is clear from the record</w:t>
      </w:r>
      <w:r w:rsidR="00F45940">
        <w:rPr>
          <w:rFonts w:ascii="Times New Roman" w:hAnsi="Times New Roman" w:cs="Times New Roman"/>
          <w:sz w:val="24"/>
        </w:rPr>
        <w:t>s of</w:t>
      </w:r>
      <w:r>
        <w:rPr>
          <w:rFonts w:ascii="Times New Roman" w:hAnsi="Times New Roman" w:cs="Times New Roman"/>
          <w:sz w:val="24"/>
        </w:rPr>
        <w:t xml:space="preserve"> the </w:t>
      </w:r>
      <w:r>
        <w:rPr>
          <w:rFonts w:ascii="Times New Roman" w:hAnsi="Times New Roman" w:cs="Times New Roman"/>
          <w:sz w:val="24"/>
        </w:rPr>
        <w:lastRenderedPageBreak/>
        <w:t xml:space="preserve">company N. Richards </w:t>
      </w:r>
      <w:r w:rsidR="00F45940">
        <w:rPr>
          <w:rFonts w:ascii="Times New Roman" w:hAnsi="Times New Roman" w:cs="Times New Roman"/>
          <w:sz w:val="24"/>
        </w:rPr>
        <w:t xml:space="preserve">that it </w:t>
      </w:r>
      <w:r>
        <w:rPr>
          <w:rFonts w:ascii="Times New Roman" w:hAnsi="Times New Roman" w:cs="Times New Roman"/>
          <w:sz w:val="24"/>
        </w:rPr>
        <w:t xml:space="preserve">only sold cement to the respondent. What transpired after the sale between appellant and respondent is not company business. The court </w:t>
      </w:r>
      <w:r w:rsidRPr="000E77CF">
        <w:rPr>
          <w:rFonts w:ascii="Times New Roman" w:hAnsi="Times New Roman" w:cs="Times New Roman"/>
          <w:i/>
          <w:sz w:val="24"/>
        </w:rPr>
        <w:t>a quo</w:t>
      </w:r>
      <w:r>
        <w:rPr>
          <w:rFonts w:ascii="Times New Roman" w:hAnsi="Times New Roman" w:cs="Times New Roman"/>
          <w:sz w:val="24"/>
        </w:rPr>
        <w:t xml:space="preserve"> basing on facts and evidence adduced properly ascribed liability to the appellant. The appellant undertook to pay back goods he had agreed to safe keep for the respondent in circumstances in which there was no undue influence exerted in him. He actually commenced partly reimbursing. The court </w:t>
      </w:r>
      <w:r w:rsidRPr="000E77CF">
        <w:rPr>
          <w:rFonts w:ascii="Times New Roman" w:hAnsi="Times New Roman" w:cs="Times New Roman"/>
          <w:i/>
          <w:sz w:val="24"/>
        </w:rPr>
        <w:t xml:space="preserve">a quo </w:t>
      </w:r>
      <w:r>
        <w:rPr>
          <w:rFonts w:ascii="Times New Roman" w:hAnsi="Times New Roman" w:cs="Times New Roman"/>
          <w:sz w:val="24"/>
        </w:rPr>
        <w:t>properly concluded that the appellant had no defence to the claim and thus ordered</w:t>
      </w:r>
      <w:r w:rsidR="00B3541D">
        <w:rPr>
          <w:rFonts w:ascii="Times New Roman" w:hAnsi="Times New Roman" w:cs="Times New Roman"/>
          <w:sz w:val="24"/>
        </w:rPr>
        <w:t xml:space="preserve"> appellant</w:t>
      </w:r>
      <w:r>
        <w:rPr>
          <w:rFonts w:ascii="Times New Roman" w:hAnsi="Times New Roman" w:cs="Times New Roman"/>
          <w:sz w:val="24"/>
        </w:rPr>
        <w:t xml:space="preserve"> to pay back to the respondent.</w:t>
      </w:r>
    </w:p>
    <w:p w:rsidR="005609B2" w:rsidRDefault="005609B2" w:rsidP="005609B2">
      <w:pPr>
        <w:spacing w:after="0" w:line="360" w:lineRule="auto"/>
        <w:jc w:val="both"/>
        <w:rPr>
          <w:rFonts w:ascii="Times New Roman" w:hAnsi="Times New Roman" w:cs="Times New Roman"/>
          <w:sz w:val="24"/>
        </w:rPr>
      </w:pPr>
      <w:r>
        <w:rPr>
          <w:rFonts w:ascii="Times New Roman" w:hAnsi="Times New Roman" w:cs="Times New Roman"/>
          <w:sz w:val="24"/>
        </w:rPr>
        <w:tab/>
        <w:t>All the grounds of appeal cannot be sustained. As such the appeal must fail.</w:t>
      </w:r>
    </w:p>
    <w:p w:rsidR="005609B2" w:rsidRDefault="005609B2" w:rsidP="005609B2">
      <w:pPr>
        <w:spacing w:after="0" w:line="360" w:lineRule="auto"/>
        <w:jc w:val="both"/>
        <w:rPr>
          <w:rFonts w:ascii="Times New Roman" w:hAnsi="Times New Roman" w:cs="Times New Roman"/>
          <w:sz w:val="24"/>
        </w:rPr>
      </w:pPr>
      <w:r>
        <w:rPr>
          <w:rFonts w:ascii="Times New Roman" w:hAnsi="Times New Roman" w:cs="Times New Roman"/>
          <w:sz w:val="24"/>
        </w:rPr>
        <w:tab/>
        <w:t>Accordingly it is ordered that:</w:t>
      </w:r>
    </w:p>
    <w:p w:rsidR="005609B2" w:rsidRDefault="005609B2" w:rsidP="005609B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The appeal be and is hereby dismissed.</w:t>
      </w:r>
    </w:p>
    <w:p w:rsidR="005609B2" w:rsidRPr="000E77CF" w:rsidRDefault="005609B2" w:rsidP="005609B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The appellant shall bear the costs.</w:t>
      </w:r>
    </w:p>
    <w:p w:rsidR="005609B2" w:rsidRPr="00620EC2" w:rsidRDefault="005609B2"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B3541D" w:rsidRDefault="00B3541D" w:rsidP="005609B2">
      <w:pPr>
        <w:spacing w:after="0" w:line="360" w:lineRule="auto"/>
        <w:jc w:val="both"/>
        <w:rPr>
          <w:rFonts w:ascii="Times New Roman" w:hAnsi="Times New Roman" w:cs="Times New Roman"/>
          <w:sz w:val="24"/>
        </w:rPr>
      </w:pPr>
    </w:p>
    <w:p w:rsidR="005609B2" w:rsidRDefault="00755601" w:rsidP="005609B2">
      <w:pPr>
        <w:spacing w:after="0" w:line="360" w:lineRule="auto"/>
        <w:jc w:val="both"/>
        <w:rPr>
          <w:rFonts w:ascii="Times New Roman" w:hAnsi="Times New Roman" w:cs="Times New Roman"/>
          <w:sz w:val="24"/>
        </w:rPr>
      </w:pPr>
      <w:r>
        <w:rPr>
          <w:rFonts w:ascii="Times New Roman" w:hAnsi="Times New Roman" w:cs="Times New Roman"/>
          <w:sz w:val="24"/>
        </w:rPr>
        <w:t>MWAYERA J ___________________________________</w:t>
      </w:r>
    </w:p>
    <w:p w:rsidR="00755601" w:rsidRDefault="00755601"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755601" w:rsidRDefault="00755601" w:rsidP="005609B2">
      <w:pPr>
        <w:spacing w:after="0" w:line="360" w:lineRule="auto"/>
        <w:jc w:val="both"/>
        <w:rPr>
          <w:rFonts w:ascii="Times New Roman" w:hAnsi="Times New Roman" w:cs="Times New Roman"/>
          <w:sz w:val="24"/>
        </w:rPr>
      </w:pPr>
    </w:p>
    <w:p w:rsidR="00755601" w:rsidRPr="00B26776" w:rsidRDefault="00755601" w:rsidP="005609B2">
      <w:pPr>
        <w:spacing w:after="0" w:line="360" w:lineRule="auto"/>
        <w:jc w:val="both"/>
        <w:rPr>
          <w:rFonts w:ascii="Times New Roman" w:hAnsi="Times New Roman" w:cs="Times New Roman"/>
          <w:sz w:val="24"/>
        </w:rPr>
      </w:pPr>
      <w:r>
        <w:rPr>
          <w:rFonts w:ascii="Times New Roman" w:hAnsi="Times New Roman" w:cs="Times New Roman"/>
          <w:sz w:val="24"/>
        </w:rPr>
        <w:t>MUZENDA J Agrees _______________________________</w:t>
      </w:r>
    </w:p>
    <w:p w:rsidR="005609B2" w:rsidRPr="00464F4D" w:rsidRDefault="005609B2" w:rsidP="005609B2">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609B2" w:rsidRDefault="005609B2" w:rsidP="005609B2">
      <w:pPr>
        <w:spacing w:after="0" w:line="360" w:lineRule="auto"/>
        <w:jc w:val="both"/>
        <w:rPr>
          <w:rFonts w:ascii="Times New Roman" w:hAnsi="Times New Roman" w:cs="Times New Roman"/>
          <w:sz w:val="24"/>
          <w:szCs w:val="24"/>
        </w:rPr>
      </w:pPr>
    </w:p>
    <w:p w:rsidR="005609B2" w:rsidRDefault="005609B2" w:rsidP="005609B2">
      <w:pPr>
        <w:spacing w:after="0" w:line="360" w:lineRule="auto"/>
        <w:jc w:val="both"/>
        <w:rPr>
          <w:rFonts w:ascii="Times New Roman" w:hAnsi="Times New Roman" w:cs="Times New Roman"/>
          <w:sz w:val="24"/>
          <w:szCs w:val="24"/>
        </w:rPr>
      </w:pPr>
    </w:p>
    <w:p w:rsidR="005609B2" w:rsidRPr="002A02CC" w:rsidRDefault="005609B2" w:rsidP="005609B2">
      <w:pPr>
        <w:spacing w:after="0" w:line="360" w:lineRule="auto"/>
        <w:jc w:val="both"/>
        <w:rPr>
          <w:rFonts w:ascii="Times New Roman" w:hAnsi="Times New Roman" w:cs="Times New Roman"/>
          <w:sz w:val="24"/>
          <w:szCs w:val="24"/>
        </w:rPr>
      </w:pPr>
    </w:p>
    <w:p w:rsidR="005609B2" w:rsidRPr="003167D2" w:rsidRDefault="005609B2" w:rsidP="005609B2">
      <w:pPr>
        <w:spacing w:after="0" w:line="240" w:lineRule="auto"/>
        <w:jc w:val="both"/>
        <w:rPr>
          <w:rFonts w:ascii="Times New Roman" w:hAnsi="Times New Roman" w:cs="Times New Roman"/>
          <w:szCs w:val="24"/>
        </w:rPr>
      </w:pPr>
    </w:p>
    <w:p w:rsidR="005609B2" w:rsidRPr="00117998" w:rsidRDefault="005609B2" w:rsidP="005609B2">
      <w:pPr>
        <w:spacing w:after="0" w:line="240" w:lineRule="auto"/>
        <w:jc w:val="both"/>
        <w:rPr>
          <w:rFonts w:ascii="Times New Roman" w:hAnsi="Times New Roman" w:cs="Times New Roman"/>
          <w:sz w:val="24"/>
          <w:szCs w:val="24"/>
        </w:rPr>
      </w:pPr>
    </w:p>
    <w:p w:rsidR="005609B2" w:rsidRDefault="005609B2" w:rsidP="005609B2">
      <w:pPr>
        <w:spacing w:after="0" w:line="360" w:lineRule="auto"/>
        <w:jc w:val="both"/>
        <w:rPr>
          <w:rFonts w:ascii="Times New Roman" w:hAnsi="Times New Roman" w:cs="Times New Roman"/>
          <w:sz w:val="24"/>
          <w:szCs w:val="24"/>
        </w:rPr>
      </w:pPr>
    </w:p>
    <w:p w:rsidR="005609B2" w:rsidRDefault="005609B2" w:rsidP="005609B2">
      <w:pPr>
        <w:spacing w:after="0" w:line="360" w:lineRule="auto"/>
        <w:jc w:val="both"/>
        <w:rPr>
          <w:rFonts w:ascii="Times New Roman" w:hAnsi="Times New Roman" w:cs="Times New Roman"/>
          <w:sz w:val="24"/>
          <w:szCs w:val="24"/>
        </w:rPr>
      </w:pPr>
    </w:p>
    <w:p w:rsidR="005609B2" w:rsidRDefault="005609B2" w:rsidP="005609B2">
      <w:pPr>
        <w:spacing w:after="0" w:line="360" w:lineRule="auto"/>
        <w:ind w:firstLine="720"/>
        <w:jc w:val="both"/>
        <w:rPr>
          <w:rFonts w:ascii="Times New Roman" w:hAnsi="Times New Roman" w:cs="Times New Roman"/>
          <w:sz w:val="24"/>
          <w:szCs w:val="24"/>
        </w:rPr>
      </w:pPr>
    </w:p>
    <w:p w:rsidR="005609B2" w:rsidRDefault="005609B2" w:rsidP="005609B2">
      <w:pPr>
        <w:spacing w:after="0" w:line="360" w:lineRule="auto"/>
        <w:ind w:firstLine="720"/>
        <w:jc w:val="both"/>
        <w:rPr>
          <w:rFonts w:ascii="Times New Roman" w:hAnsi="Times New Roman" w:cs="Times New Roman"/>
          <w:sz w:val="24"/>
          <w:szCs w:val="24"/>
        </w:rPr>
      </w:pPr>
    </w:p>
    <w:p w:rsidR="00216ACB" w:rsidRPr="00EE60B7" w:rsidRDefault="00216ACB" w:rsidP="00B03D14">
      <w:pPr>
        <w:tabs>
          <w:tab w:val="left" w:pos="709"/>
        </w:tabs>
        <w:spacing w:after="0" w:line="240" w:lineRule="auto"/>
        <w:jc w:val="both"/>
        <w:rPr>
          <w:rFonts w:ascii="Times New Roman" w:hAnsi="Times New Roman" w:cs="Times New Roman"/>
          <w:sz w:val="24"/>
        </w:rPr>
      </w:pPr>
    </w:p>
    <w:p w:rsidR="00216ACB" w:rsidRPr="00EE60B7" w:rsidRDefault="00216ACB" w:rsidP="00B03D14">
      <w:pPr>
        <w:tabs>
          <w:tab w:val="left" w:pos="709"/>
        </w:tabs>
        <w:spacing w:after="0" w:line="240" w:lineRule="auto"/>
        <w:jc w:val="both"/>
        <w:rPr>
          <w:rFonts w:ascii="Times New Roman" w:hAnsi="Times New Roman" w:cs="Times New Roman"/>
          <w:sz w:val="24"/>
        </w:rPr>
      </w:pPr>
    </w:p>
    <w:sectPr w:rsidR="00216ACB" w:rsidRPr="00EE60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2A" w:rsidRDefault="0091312A" w:rsidP="003E5395">
      <w:pPr>
        <w:spacing w:after="0" w:line="240" w:lineRule="auto"/>
      </w:pPr>
      <w:r>
        <w:separator/>
      </w:r>
    </w:p>
  </w:endnote>
  <w:endnote w:type="continuationSeparator" w:id="0">
    <w:p w:rsidR="0091312A" w:rsidRDefault="0091312A"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2A" w:rsidRDefault="0091312A" w:rsidP="003E5395">
      <w:pPr>
        <w:spacing w:after="0" w:line="240" w:lineRule="auto"/>
      </w:pPr>
      <w:r>
        <w:separator/>
      </w:r>
    </w:p>
  </w:footnote>
  <w:footnote w:type="continuationSeparator" w:id="0">
    <w:p w:rsidR="0091312A" w:rsidRDefault="0091312A"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887D08">
          <w:rPr>
            <w:noProof/>
          </w:rPr>
          <w:t>4</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D16D42">
          <w:rPr>
            <w:noProof/>
          </w:rPr>
          <w:t xml:space="preserve"> 25</w:t>
        </w:r>
        <w:r w:rsidR="0096091F">
          <w:rPr>
            <w:noProof/>
          </w:rPr>
          <w:t>-21</w:t>
        </w:r>
      </w:p>
      <w:p w:rsidR="00ED62DC" w:rsidRDefault="00391A60">
        <w:pPr>
          <w:pStyle w:val="Header"/>
          <w:jc w:val="right"/>
        </w:pPr>
        <w:r>
          <w:rPr>
            <w:noProof/>
          </w:rPr>
          <w:t>CIV ‘A’ 25</w:t>
        </w:r>
        <w:r w:rsidR="00114297">
          <w:rPr>
            <w:noProof/>
          </w:rPr>
          <w:t>/20</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CE3EB0"/>
    <w:multiLevelType w:val="hybridMultilevel"/>
    <w:tmpl w:val="93DAABFE"/>
    <w:lvl w:ilvl="0" w:tplc="CD0CF3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6977390A"/>
    <w:multiLevelType w:val="hybridMultilevel"/>
    <w:tmpl w:val="E9C6D2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5"/>
  </w:num>
  <w:num w:numId="3">
    <w:abstractNumId w:val="3"/>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02A0"/>
    <w:rsid w:val="00015B3F"/>
    <w:rsid w:val="00070E72"/>
    <w:rsid w:val="00087474"/>
    <w:rsid w:val="000C0432"/>
    <w:rsid w:val="000C6489"/>
    <w:rsid w:val="000E19AD"/>
    <w:rsid w:val="000E4BD2"/>
    <w:rsid w:val="000F4D02"/>
    <w:rsid w:val="000F552B"/>
    <w:rsid w:val="000F7DC3"/>
    <w:rsid w:val="00104802"/>
    <w:rsid w:val="0010488F"/>
    <w:rsid w:val="00114297"/>
    <w:rsid w:val="00115148"/>
    <w:rsid w:val="0012359E"/>
    <w:rsid w:val="0013250A"/>
    <w:rsid w:val="001346D4"/>
    <w:rsid w:val="00144471"/>
    <w:rsid w:val="00146D70"/>
    <w:rsid w:val="00154188"/>
    <w:rsid w:val="001869FA"/>
    <w:rsid w:val="0018710C"/>
    <w:rsid w:val="001C0BAD"/>
    <w:rsid w:val="001D4EA3"/>
    <w:rsid w:val="001F0D4B"/>
    <w:rsid w:val="00210185"/>
    <w:rsid w:val="0021639B"/>
    <w:rsid w:val="00216ACB"/>
    <w:rsid w:val="00235861"/>
    <w:rsid w:val="002651F1"/>
    <w:rsid w:val="0026554D"/>
    <w:rsid w:val="00293DDA"/>
    <w:rsid w:val="002D0861"/>
    <w:rsid w:val="00314716"/>
    <w:rsid w:val="00321A76"/>
    <w:rsid w:val="00346764"/>
    <w:rsid w:val="003501AA"/>
    <w:rsid w:val="00364128"/>
    <w:rsid w:val="003646BB"/>
    <w:rsid w:val="003744AE"/>
    <w:rsid w:val="00385FBF"/>
    <w:rsid w:val="00390475"/>
    <w:rsid w:val="00391A60"/>
    <w:rsid w:val="003E4B54"/>
    <w:rsid w:val="003E5395"/>
    <w:rsid w:val="00412DB0"/>
    <w:rsid w:val="00433E81"/>
    <w:rsid w:val="004410A9"/>
    <w:rsid w:val="00453E5C"/>
    <w:rsid w:val="00482DDB"/>
    <w:rsid w:val="00485F4D"/>
    <w:rsid w:val="004E379D"/>
    <w:rsid w:val="004E5E8F"/>
    <w:rsid w:val="00507AC3"/>
    <w:rsid w:val="0052397F"/>
    <w:rsid w:val="005609B2"/>
    <w:rsid w:val="0058164A"/>
    <w:rsid w:val="005A7E4B"/>
    <w:rsid w:val="005B25C7"/>
    <w:rsid w:val="005B4E17"/>
    <w:rsid w:val="005B7780"/>
    <w:rsid w:val="005C78D9"/>
    <w:rsid w:val="005F4B9F"/>
    <w:rsid w:val="005F58C1"/>
    <w:rsid w:val="005F593A"/>
    <w:rsid w:val="00624BA4"/>
    <w:rsid w:val="00630461"/>
    <w:rsid w:val="00641E2D"/>
    <w:rsid w:val="00653C7A"/>
    <w:rsid w:val="00657959"/>
    <w:rsid w:val="00661148"/>
    <w:rsid w:val="00673EA2"/>
    <w:rsid w:val="006919BD"/>
    <w:rsid w:val="00692CDE"/>
    <w:rsid w:val="006B0F9B"/>
    <w:rsid w:val="006B3EB8"/>
    <w:rsid w:val="006C0175"/>
    <w:rsid w:val="006C1A1B"/>
    <w:rsid w:val="006D02F0"/>
    <w:rsid w:val="006D1676"/>
    <w:rsid w:val="006E2BA9"/>
    <w:rsid w:val="00707AF7"/>
    <w:rsid w:val="00750A6D"/>
    <w:rsid w:val="00755601"/>
    <w:rsid w:val="00757054"/>
    <w:rsid w:val="00764B32"/>
    <w:rsid w:val="007909D0"/>
    <w:rsid w:val="00791502"/>
    <w:rsid w:val="007E4C33"/>
    <w:rsid w:val="007F7941"/>
    <w:rsid w:val="008060D2"/>
    <w:rsid w:val="0081189A"/>
    <w:rsid w:val="00816002"/>
    <w:rsid w:val="00830B4E"/>
    <w:rsid w:val="00837D2B"/>
    <w:rsid w:val="00840687"/>
    <w:rsid w:val="00855787"/>
    <w:rsid w:val="00867A47"/>
    <w:rsid w:val="0088188E"/>
    <w:rsid w:val="00887D08"/>
    <w:rsid w:val="0089426E"/>
    <w:rsid w:val="008A1AA0"/>
    <w:rsid w:val="008E4C7C"/>
    <w:rsid w:val="008F5CA2"/>
    <w:rsid w:val="0091312A"/>
    <w:rsid w:val="009216E0"/>
    <w:rsid w:val="00930673"/>
    <w:rsid w:val="009567BC"/>
    <w:rsid w:val="0096091F"/>
    <w:rsid w:val="009649B0"/>
    <w:rsid w:val="00966FB7"/>
    <w:rsid w:val="00975813"/>
    <w:rsid w:val="00982D2A"/>
    <w:rsid w:val="009846C9"/>
    <w:rsid w:val="009A4A95"/>
    <w:rsid w:val="009B473A"/>
    <w:rsid w:val="009D4440"/>
    <w:rsid w:val="009E0F4F"/>
    <w:rsid w:val="009E5892"/>
    <w:rsid w:val="00A203AA"/>
    <w:rsid w:val="00A246EA"/>
    <w:rsid w:val="00A26EE4"/>
    <w:rsid w:val="00A6501D"/>
    <w:rsid w:val="00A777C6"/>
    <w:rsid w:val="00AD5B23"/>
    <w:rsid w:val="00AD6211"/>
    <w:rsid w:val="00AD7F6D"/>
    <w:rsid w:val="00AE0B32"/>
    <w:rsid w:val="00AF5344"/>
    <w:rsid w:val="00B03D14"/>
    <w:rsid w:val="00B3541D"/>
    <w:rsid w:val="00B53B5C"/>
    <w:rsid w:val="00B57151"/>
    <w:rsid w:val="00BA167A"/>
    <w:rsid w:val="00BC3CF7"/>
    <w:rsid w:val="00C0408D"/>
    <w:rsid w:val="00C2159D"/>
    <w:rsid w:val="00C26757"/>
    <w:rsid w:val="00C37FDA"/>
    <w:rsid w:val="00C40160"/>
    <w:rsid w:val="00C452B1"/>
    <w:rsid w:val="00C45A43"/>
    <w:rsid w:val="00CA2375"/>
    <w:rsid w:val="00CA307F"/>
    <w:rsid w:val="00CB17FE"/>
    <w:rsid w:val="00CC3C3C"/>
    <w:rsid w:val="00CD0187"/>
    <w:rsid w:val="00CF7133"/>
    <w:rsid w:val="00D045DA"/>
    <w:rsid w:val="00D13C32"/>
    <w:rsid w:val="00D16D42"/>
    <w:rsid w:val="00D36A3C"/>
    <w:rsid w:val="00D420AA"/>
    <w:rsid w:val="00D42D28"/>
    <w:rsid w:val="00D47BF5"/>
    <w:rsid w:val="00D5301E"/>
    <w:rsid w:val="00D64A97"/>
    <w:rsid w:val="00D74042"/>
    <w:rsid w:val="00D75E50"/>
    <w:rsid w:val="00D76C2E"/>
    <w:rsid w:val="00DC2361"/>
    <w:rsid w:val="00DD4D1C"/>
    <w:rsid w:val="00DE436F"/>
    <w:rsid w:val="00DE4DDC"/>
    <w:rsid w:val="00DF173C"/>
    <w:rsid w:val="00E10353"/>
    <w:rsid w:val="00E15381"/>
    <w:rsid w:val="00E23D1C"/>
    <w:rsid w:val="00E52DE5"/>
    <w:rsid w:val="00E549E3"/>
    <w:rsid w:val="00E572B9"/>
    <w:rsid w:val="00E6790A"/>
    <w:rsid w:val="00E83CCE"/>
    <w:rsid w:val="00E873C4"/>
    <w:rsid w:val="00E970A9"/>
    <w:rsid w:val="00EA1EF1"/>
    <w:rsid w:val="00EA4024"/>
    <w:rsid w:val="00EA6A1E"/>
    <w:rsid w:val="00ED62DC"/>
    <w:rsid w:val="00EE60B7"/>
    <w:rsid w:val="00EE76F4"/>
    <w:rsid w:val="00EE78D1"/>
    <w:rsid w:val="00EF03A1"/>
    <w:rsid w:val="00EF05BC"/>
    <w:rsid w:val="00EF1166"/>
    <w:rsid w:val="00F04CF8"/>
    <w:rsid w:val="00F12ECC"/>
    <w:rsid w:val="00F20763"/>
    <w:rsid w:val="00F22EC1"/>
    <w:rsid w:val="00F45940"/>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33BE-551F-475C-8BE6-FA704A4D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8</cp:revision>
  <cp:lastPrinted>2021-05-20T09:01:00Z</cp:lastPrinted>
  <dcterms:created xsi:type="dcterms:W3CDTF">2021-05-17T14:11:00Z</dcterms:created>
  <dcterms:modified xsi:type="dcterms:W3CDTF">2021-05-20T09:14:00Z</dcterms:modified>
</cp:coreProperties>
</file>